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2F02CA">
      <w:pPr>
        <w:spacing w:line="360" w:lineRule="auto"/>
        <w:jc w:val="center"/>
        <w:rPr>
          <w:rFonts w:hint="eastAsia" w:ascii="宋体" w:hAnsi="宋体"/>
          <w:b/>
          <w:bCs/>
          <w:sz w:val="72"/>
          <w:szCs w:val="72"/>
        </w:rPr>
      </w:pPr>
    </w:p>
    <w:p w14:paraId="3D0CEE1B">
      <w:pPr>
        <w:tabs>
          <w:tab w:val="left" w:pos="8360"/>
        </w:tabs>
        <w:spacing w:line="360" w:lineRule="auto"/>
        <w:jc w:val="center"/>
        <w:rPr>
          <w:rFonts w:hint="eastAsia" w:ascii="宋体" w:hAnsi="宋体"/>
          <w:b w:val="0"/>
          <w:bCs w:val="0"/>
          <w:sz w:val="72"/>
          <w:szCs w:val="72"/>
        </w:rPr>
      </w:pPr>
    </w:p>
    <w:p w14:paraId="134ABFA4">
      <w:pPr>
        <w:tabs>
          <w:tab w:val="left" w:pos="8360"/>
        </w:tabs>
        <w:spacing w:line="360" w:lineRule="auto"/>
        <w:jc w:val="center"/>
        <w:rPr>
          <w:rFonts w:hint="eastAsia" w:ascii="宋体" w:hAnsi="宋体"/>
          <w:b w:val="0"/>
          <w:bCs w:val="0"/>
          <w:sz w:val="72"/>
          <w:szCs w:val="72"/>
        </w:rPr>
      </w:pPr>
    </w:p>
    <w:p w14:paraId="362379FA">
      <w:pPr>
        <w:tabs>
          <w:tab w:val="left" w:pos="8360"/>
        </w:tabs>
        <w:spacing w:line="360" w:lineRule="auto"/>
        <w:jc w:val="center"/>
        <w:rPr>
          <w:rFonts w:ascii="宋体" w:hAnsi="宋体"/>
          <w:b w:val="0"/>
          <w:bCs w:val="0"/>
          <w:color w:val="auto"/>
          <w:sz w:val="72"/>
          <w:szCs w:val="72"/>
          <w:highlight w:val="none"/>
        </w:rPr>
      </w:pPr>
      <w:r>
        <w:rPr>
          <w:rFonts w:hint="eastAsia" w:ascii="宋体" w:hAnsi="宋体"/>
          <w:b w:val="0"/>
          <w:bCs w:val="0"/>
          <w:color w:val="auto"/>
          <w:sz w:val="72"/>
          <w:szCs w:val="72"/>
          <w:highlight w:val="none"/>
        </w:rPr>
        <w:t>竞争性谈判文件</w:t>
      </w:r>
    </w:p>
    <w:p w14:paraId="77EB4144">
      <w:pPr>
        <w:pStyle w:val="18"/>
        <w:spacing w:line="360" w:lineRule="auto"/>
        <w:ind w:firstLine="883" w:firstLineChars="200"/>
        <w:jc w:val="center"/>
        <w:rPr>
          <w:rFonts w:hint="eastAsia" w:hAnsi="宋体"/>
          <w:b/>
          <w:color w:val="auto"/>
          <w:sz w:val="44"/>
          <w:highlight w:val="none"/>
        </w:rPr>
      </w:pPr>
    </w:p>
    <w:p w14:paraId="05D5A568">
      <w:pPr>
        <w:pStyle w:val="18"/>
        <w:spacing w:line="360" w:lineRule="auto"/>
        <w:ind w:firstLine="643" w:firstLineChars="200"/>
        <w:rPr>
          <w:rFonts w:hint="eastAsia" w:hAnsi="宋体"/>
          <w:b/>
          <w:bCs/>
          <w:color w:val="auto"/>
          <w:sz w:val="32"/>
          <w:highlight w:val="none"/>
        </w:rPr>
      </w:pPr>
    </w:p>
    <w:p w14:paraId="18F505C8">
      <w:pPr>
        <w:pStyle w:val="18"/>
        <w:spacing w:line="360" w:lineRule="auto"/>
        <w:ind w:firstLine="643" w:firstLineChars="200"/>
        <w:rPr>
          <w:rFonts w:hint="eastAsia" w:hAnsi="宋体"/>
          <w:b/>
          <w:bCs/>
          <w:color w:val="auto"/>
          <w:sz w:val="32"/>
          <w:highlight w:val="none"/>
        </w:rPr>
      </w:pPr>
    </w:p>
    <w:p w14:paraId="362F7325">
      <w:pPr>
        <w:pStyle w:val="18"/>
        <w:spacing w:line="360" w:lineRule="auto"/>
        <w:ind w:firstLine="320" w:firstLineChars="100"/>
        <w:rPr>
          <w:rFonts w:hint="eastAsia" w:hAnsi="宋体" w:cs="Times New Roman"/>
          <w:bCs/>
          <w:color w:val="auto"/>
          <w:sz w:val="32"/>
          <w:szCs w:val="20"/>
          <w:highlight w:val="none"/>
        </w:rPr>
      </w:pPr>
    </w:p>
    <w:p w14:paraId="38547BBD">
      <w:pPr>
        <w:pStyle w:val="18"/>
        <w:spacing w:line="360" w:lineRule="auto"/>
        <w:ind w:firstLine="320" w:firstLineChars="100"/>
        <w:rPr>
          <w:rFonts w:hint="eastAsia" w:hAnsi="宋体" w:eastAsia="宋体" w:cs="Times New Roman"/>
          <w:bCs/>
          <w:color w:val="auto"/>
          <w:sz w:val="32"/>
          <w:szCs w:val="20"/>
          <w:highlight w:val="none"/>
          <w:lang w:eastAsia="zh-CN"/>
        </w:rPr>
      </w:pPr>
      <w:r>
        <w:rPr>
          <w:rFonts w:hint="eastAsia" w:hAnsi="宋体" w:cs="Times New Roman"/>
          <w:bCs/>
          <w:color w:val="auto"/>
          <w:sz w:val="32"/>
          <w:szCs w:val="20"/>
          <w:highlight w:val="none"/>
        </w:rPr>
        <w:t>项目编号：</w:t>
      </w:r>
      <w:r>
        <w:rPr>
          <w:rFonts w:hint="eastAsia" w:hAnsi="宋体" w:cs="Times New Roman"/>
          <w:bCs/>
          <w:color w:val="auto"/>
          <w:sz w:val="32"/>
          <w:szCs w:val="20"/>
          <w:highlight w:val="none"/>
          <w:lang w:eastAsia="zh-CN"/>
        </w:rPr>
        <w:t>FJYSLY2025-02</w:t>
      </w:r>
      <w:r>
        <w:rPr>
          <w:rFonts w:hint="eastAsia" w:hAnsi="宋体" w:cs="Times New Roman"/>
          <w:bCs/>
          <w:color w:val="auto"/>
          <w:sz w:val="32"/>
          <w:szCs w:val="20"/>
          <w:highlight w:val="none"/>
          <w:lang w:val="en-US" w:eastAsia="zh-CN"/>
        </w:rPr>
        <w:t>4</w:t>
      </w:r>
    </w:p>
    <w:p w14:paraId="1918FF97">
      <w:pPr>
        <w:pStyle w:val="18"/>
        <w:spacing w:line="360" w:lineRule="auto"/>
        <w:ind w:left="1950" w:leftChars="150" w:hanging="1635" w:hangingChars="511"/>
        <w:rPr>
          <w:rFonts w:hint="eastAsia" w:hAnsi="宋体" w:eastAsia="宋体" w:cs="Times New Roman"/>
          <w:bCs/>
          <w:color w:val="auto"/>
          <w:sz w:val="32"/>
          <w:szCs w:val="20"/>
          <w:highlight w:val="none"/>
          <w:lang w:eastAsia="zh-CN"/>
        </w:rPr>
      </w:pPr>
      <w:r>
        <w:rPr>
          <w:rFonts w:hint="eastAsia" w:hAnsi="宋体" w:cs="Times New Roman"/>
          <w:bCs/>
          <w:color w:val="auto"/>
          <w:sz w:val="32"/>
          <w:szCs w:val="20"/>
          <w:highlight w:val="none"/>
        </w:rPr>
        <w:t>项目名称：</w:t>
      </w:r>
      <w:r>
        <w:rPr>
          <w:rFonts w:hint="eastAsia" w:hAnsi="宋体" w:cs="Times New Roman"/>
          <w:bCs/>
          <w:color w:val="auto"/>
          <w:sz w:val="32"/>
          <w:szCs w:val="20"/>
          <w:highlight w:val="none"/>
          <w:lang w:val="en-US" w:eastAsia="zh-CN"/>
        </w:rPr>
        <w:t>福建省龙岩华侨职业中专学校“龙飞凤舞”非遗嘉年华排练点心配送服务采购</w:t>
      </w:r>
    </w:p>
    <w:p w14:paraId="3E77C92A">
      <w:pPr>
        <w:pStyle w:val="18"/>
        <w:spacing w:line="360" w:lineRule="auto"/>
        <w:ind w:firstLine="320" w:firstLineChars="100"/>
        <w:rPr>
          <w:rFonts w:hint="default" w:hAnsi="宋体" w:cs="Times New Roman"/>
          <w:bCs/>
          <w:color w:val="auto"/>
          <w:sz w:val="32"/>
          <w:szCs w:val="20"/>
          <w:highlight w:val="none"/>
          <w:lang w:val="en-US"/>
        </w:rPr>
      </w:pPr>
      <w:r>
        <w:rPr>
          <w:rFonts w:hint="eastAsia" w:hAnsi="宋体" w:cs="Times New Roman"/>
          <w:bCs/>
          <w:color w:val="auto"/>
          <w:sz w:val="32"/>
          <w:szCs w:val="20"/>
          <w:highlight w:val="none"/>
        </w:rPr>
        <w:t>采 购 人：</w:t>
      </w:r>
      <w:r>
        <w:rPr>
          <w:rFonts w:hint="eastAsia" w:hAnsi="宋体" w:cs="Times New Roman"/>
          <w:bCs/>
          <w:color w:val="auto"/>
          <w:sz w:val="32"/>
          <w:szCs w:val="20"/>
          <w:highlight w:val="none"/>
          <w:lang w:val="en-US" w:eastAsia="zh-CN"/>
        </w:rPr>
        <w:t>福建省龙岩华侨职业中专学校</w:t>
      </w:r>
    </w:p>
    <w:p w14:paraId="31A32D03">
      <w:pPr>
        <w:pStyle w:val="10"/>
        <w:spacing w:line="360" w:lineRule="auto"/>
        <w:ind w:firstLine="562" w:firstLineChars="200"/>
        <w:rPr>
          <w:rFonts w:hint="eastAsia" w:ascii="宋体" w:hAnsi="宋体"/>
          <w:b/>
          <w:color w:val="auto"/>
          <w:sz w:val="28"/>
          <w:highlight w:val="none"/>
        </w:rPr>
      </w:pPr>
    </w:p>
    <w:p w14:paraId="408CC9F3">
      <w:pPr>
        <w:pStyle w:val="18"/>
        <w:spacing w:line="360" w:lineRule="auto"/>
        <w:ind w:firstLine="1987" w:firstLineChars="550"/>
        <w:jc w:val="left"/>
        <w:rPr>
          <w:rFonts w:hint="eastAsia" w:hAnsi="宋体"/>
          <w:b/>
          <w:color w:val="auto"/>
          <w:spacing w:val="20"/>
          <w:sz w:val="32"/>
          <w:highlight w:val="none"/>
        </w:rPr>
      </w:pPr>
    </w:p>
    <w:p w14:paraId="0F6863FB">
      <w:pPr>
        <w:pStyle w:val="18"/>
        <w:spacing w:line="360" w:lineRule="auto"/>
        <w:jc w:val="center"/>
        <w:rPr>
          <w:rFonts w:hint="eastAsia" w:hAnsi="宋体"/>
          <w:b/>
          <w:color w:val="auto"/>
          <w:sz w:val="32"/>
          <w:szCs w:val="22"/>
          <w:highlight w:val="none"/>
          <w:lang w:eastAsia="zh-CN"/>
        </w:rPr>
      </w:pPr>
    </w:p>
    <w:p w14:paraId="067A004D">
      <w:pPr>
        <w:pStyle w:val="18"/>
        <w:spacing w:line="360" w:lineRule="auto"/>
        <w:jc w:val="center"/>
        <w:rPr>
          <w:rFonts w:hint="eastAsia" w:hAnsi="宋体"/>
          <w:b w:val="0"/>
          <w:bCs/>
          <w:color w:val="auto"/>
          <w:sz w:val="32"/>
          <w:szCs w:val="22"/>
          <w:highlight w:val="none"/>
          <w:lang w:eastAsia="zh-CN"/>
        </w:rPr>
      </w:pPr>
    </w:p>
    <w:p w14:paraId="7694F51C">
      <w:pPr>
        <w:pStyle w:val="18"/>
        <w:spacing w:line="360" w:lineRule="auto"/>
        <w:jc w:val="center"/>
        <w:rPr>
          <w:rFonts w:hint="eastAsia" w:hAnsi="宋体"/>
          <w:b w:val="0"/>
          <w:bCs/>
          <w:color w:val="auto"/>
          <w:sz w:val="32"/>
          <w:highlight w:val="none"/>
        </w:rPr>
      </w:pPr>
      <w:bookmarkStart w:id="16" w:name="_GoBack"/>
      <w:r>
        <w:rPr>
          <w:rFonts w:hint="eastAsia" w:hAnsi="宋体"/>
          <w:b w:val="0"/>
          <w:bCs/>
          <w:color w:val="auto"/>
          <w:sz w:val="32"/>
          <w:szCs w:val="22"/>
          <w:highlight w:val="none"/>
          <w:lang w:eastAsia="zh-CN"/>
        </w:rPr>
        <w:t>采购代理机构：福建优胜招标项目管理集团有限公司</w:t>
      </w:r>
    </w:p>
    <w:p w14:paraId="0100E7C6">
      <w:pPr>
        <w:pStyle w:val="18"/>
        <w:spacing w:line="360" w:lineRule="auto"/>
        <w:jc w:val="center"/>
        <w:rPr>
          <w:rFonts w:hint="eastAsia" w:hAnsi="宋体"/>
          <w:b w:val="0"/>
          <w:bCs/>
          <w:color w:val="auto"/>
          <w:sz w:val="32"/>
          <w:highlight w:val="none"/>
        </w:rPr>
      </w:pPr>
      <w:r>
        <w:rPr>
          <w:rFonts w:hint="eastAsia" w:hAnsi="宋体"/>
          <w:b w:val="0"/>
          <w:bCs/>
          <w:color w:val="auto"/>
          <w:sz w:val="32"/>
          <w:highlight w:val="none"/>
        </w:rPr>
        <w:t>二○二</w:t>
      </w:r>
      <w:r>
        <w:rPr>
          <w:rFonts w:hint="eastAsia" w:hAnsi="宋体"/>
          <w:b w:val="0"/>
          <w:bCs/>
          <w:color w:val="auto"/>
          <w:sz w:val="32"/>
          <w:highlight w:val="none"/>
          <w:lang w:val="en-US" w:eastAsia="zh-CN"/>
        </w:rPr>
        <w:t>五</w:t>
      </w:r>
      <w:r>
        <w:rPr>
          <w:rFonts w:hint="eastAsia" w:hAnsi="宋体"/>
          <w:b w:val="0"/>
          <w:bCs/>
          <w:color w:val="auto"/>
          <w:sz w:val="32"/>
          <w:highlight w:val="none"/>
        </w:rPr>
        <w:t>年</w:t>
      </w:r>
      <w:r>
        <w:rPr>
          <w:rFonts w:hint="eastAsia" w:hAnsi="宋体"/>
          <w:b w:val="0"/>
          <w:bCs/>
          <w:color w:val="auto"/>
          <w:sz w:val="32"/>
          <w:highlight w:val="none"/>
          <w:lang w:val="en-US" w:eastAsia="zh-CN"/>
        </w:rPr>
        <w:t>九</w:t>
      </w:r>
      <w:r>
        <w:rPr>
          <w:rFonts w:hint="eastAsia" w:hAnsi="宋体"/>
          <w:b w:val="0"/>
          <w:bCs/>
          <w:color w:val="auto"/>
          <w:sz w:val="32"/>
          <w:highlight w:val="none"/>
        </w:rPr>
        <w:t>月</w:t>
      </w:r>
    </w:p>
    <w:p w14:paraId="29F6B18C">
      <w:pPr>
        <w:jc w:val="center"/>
        <w:rPr>
          <w:rFonts w:ascii="宋体" w:hAnsi="宋体"/>
          <w:color w:val="auto"/>
          <w:highlight w:val="none"/>
        </w:rPr>
        <w:sectPr>
          <w:pgSz w:w="11907" w:h="16840"/>
          <w:pgMar w:top="1134" w:right="1134" w:bottom="1134" w:left="1701" w:header="851" w:footer="992" w:gutter="0"/>
          <w:pgNumType w:fmt="decimal" w:start="0"/>
          <w:cols w:space="720" w:num="1"/>
          <w:docGrid w:type="lines" w:linePitch="323" w:charSpace="-2"/>
        </w:sectPr>
      </w:pPr>
    </w:p>
    <w:bookmarkEnd w:id="16"/>
    <w:p w14:paraId="4FDCE887">
      <w:pPr>
        <w:jc w:val="center"/>
        <w:rPr>
          <w:rFonts w:ascii="宋体" w:hAnsi="宋体"/>
          <w:color w:val="auto"/>
          <w:highlight w:val="none"/>
        </w:rPr>
      </w:pPr>
    </w:p>
    <w:p w14:paraId="5E7E336B">
      <w:pPr>
        <w:jc w:val="center"/>
        <w:rPr>
          <w:rFonts w:ascii="宋体" w:hAnsi="宋体"/>
          <w:b/>
          <w:bCs/>
          <w:color w:val="auto"/>
          <w:sz w:val="36"/>
          <w:szCs w:val="36"/>
          <w:highlight w:val="none"/>
        </w:rPr>
      </w:pPr>
      <w:r>
        <w:rPr>
          <w:rFonts w:ascii="宋体" w:hAnsi="宋体"/>
          <w:b/>
          <w:bCs/>
          <w:color w:val="auto"/>
          <w:sz w:val="36"/>
          <w:szCs w:val="36"/>
          <w:highlight w:val="none"/>
        </w:rPr>
        <w:t>目录</w:t>
      </w:r>
    </w:p>
    <w:p w14:paraId="0832B326">
      <w:pPr>
        <w:jc w:val="center"/>
        <w:rPr>
          <w:rFonts w:ascii="宋体" w:hAnsi="宋体"/>
          <w:b/>
          <w:bCs/>
          <w:color w:val="auto"/>
          <w:sz w:val="32"/>
          <w:szCs w:val="32"/>
          <w:highlight w:val="none"/>
        </w:rPr>
      </w:pPr>
    </w:p>
    <w:p w14:paraId="573E584D">
      <w:pPr>
        <w:pStyle w:val="23"/>
        <w:tabs>
          <w:tab w:val="right" w:leader="dot" w:pos="9072"/>
        </w:tabs>
        <w:spacing w:line="360" w:lineRule="auto"/>
        <w:rPr>
          <w:rFonts w:hint="eastAsia" w:ascii="宋体" w:hAnsi="宋体" w:cs="宋体"/>
          <w:color w:val="auto"/>
          <w:sz w:val="24"/>
          <w:highlight w:val="none"/>
        </w:rPr>
      </w:pPr>
      <w:r>
        <w:rPr>
          <w:rFonts w:hint="eastAsia" w:ascii="宋体" w:hAnsi="宋体" w:cs="宋体"/>
          <w:b/>
          <w:bCs/>
          <w:color w:val="auto"/>
          <w:sz w:val="24"/>
          <w:highlight w:val="none"/>
        </w:rPr>
        <w:fldChar w:fldCharType="begin"/>
      </w:r>
      <w:r>
        <w:rPr>
          <w:rFonts w:hint="eastAsia" w:ascii="宋体" w:hAnsi="宋体" w:cs="宋体"/>
          <w:b/>
          <w:bCs/>
          <w:color w:val="auto"/>
          <w:sz w:val="24"/>
          <w:highlight w:val="none"/>
        </w:rPr>
        <w:instrText xml:space="preserve">TOC \o "1-2" \h \u </w:instrText>
      </w:r>
      <w:r>
        <w:rPr>
          <w:rFonts w:hint="eastAsia" w:ascii="宋体" w:hAnsi="宋体" w:cs="宋体"/>
          <w:b/>
          <w:bCs/>
          <w:color w:val="auto"/>
          <w:sz w:val="24"/>
          <w:highlight w:val="none"/>
        </w:rPr>
        <w:fldChar w:fldCharType="separate"/>
      </w:r>
      <w:r>
        <w:rPr>
          <w:rFonts w:hint="eastAsia" w:ascii="宋体" w:hAnsi="宋体" w:cs="宋体"/>
          <w:bCs/>
          <w:color w:val="auto"/>
          <w:sz w:val="24"/>
          <w:highlight w:val="none"/>
        </w:rPr>
        <w:fldChar w:fldCharType="begin"/>
      </w:r>
      <w:r>
        <w:rPr>
          <w:rFonts w:hint="eastAsia" w:ascii="宋体" w:hAnsi="宋体" w:cs="宋体"/>
          <w:bCs/>
          <w:color w:val="auto"/>
          <w:sz w:val="24"/>
          <w:highlight w:val="none"/>
        </w:rPr>
        <w:instrText xml:space="preserve"> HYPERLINK \l _Toc26103 </w:instrText>
      </w:r>
      <w:r>
        <w:rPr>
          <w:rFonts w:hint="eastAsia" w:ascii="宋体" w:hAnsi="宋体" w:cs="宋体"/>
          <w:bCs/>
          <w:color w:val="auto"/>
          <w:sz w:val="24"/>
          <w:highlight w:val="none"/>
        </w:rPr>
        <w:fldChar w:fldCharType="separate"/>
      </w:r>
      <w:r>
        <w:rPr>
          <w:rFonts w:hint="eastAsia" w:ascii="宋体" w:hAnsi="宋体" w:cs="宋体"/>
          <w:bCs/>
          <w:color w:val="auto"/>
          <w:sz w:val="24"/>
          <w:highlight w:val="none"/>
        </w:rPr>
        <w:t>第一章  竞争性谈判邀请</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_Toc26103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2</w:t>
      </w:r>
      <w:r>
        <w:rPr>
          <w:rFonts w:hint="eastAsia" w:ascii="宋体" w:hAnsi="宋体" w:cs="宋体"/>
          <w:color w:val="auto"/>
          <w:sz w:val="24"/>
          <w:highlight w:val="none"/>
        </w:rPr>
        <w:fldChar w:fldCharType="end"/>
      </w:r>
      <w:r>
        <w:rPr>
          <w:rFonts w:hint="eastAsia" w:ascii="宋体" w:hAnsi="宋体" w:cs="宋体"/>
          <w:bCs/>
          <w:color w:val="auto"/>
          <w:sz w:val="24"/>
          <w:highlight w:val="none"/>
        </w:rPr>
        <w:fldChar w:fldCharType="end"/>
      </w:r>
    </w:p>
    <w:p w14:paraId="08403BF1">
      <w:pPr>
        <w:pStyle w:val="25"/>
        <w:tabs>
          <w:tab w:val="right" w:leader="dot" w:pos="9072"/>
        </w:tabs>
        <w:spacing w:line="360" w:lineRule="auto"/>
        <w:rPr>
          <w:rFonts w:hint="eastAsia" w:ascii="宋体" w:hAnsi="宋体" w:cs="宋体"/>
          <w:color w:val="auto"/>
          <w:sz w:val="24"/>
          <w:highlight w:val="none"/>
        </w:rPr>
      </w:pPr>
      <w:r>
        <w:rPr>
          <w:rFonts w:hint="eastAsia" w:ascii="宋体" w:hAnsi="宋体" w:cs="宋体"/>
          <w:bCs/>
          <w:color w:val="auto"/>
          <w:sz w:val="24"/>
          <w:highlight w:val="none"/>
        </w:rPr>
        <w:fldChar w:fldCharType="begin"/>
      </w:r>
      <w:r>
        <w:rPr>
          <w:rFonts w:hint="eastAsia" w:ascii="宋体" w:hAnsi="宋体" w:cs="宋体"/>
          <w:bCs/>
          <w:color w:val="auto"/>
          <w:sz w:val="24"/>
          <w:highlight w:val="none"/>
        </w:rPr>
        <w:instrText xml:space="preserve"> HYPERLINK \l _Toc3628 </w:instrText>
      </w:r>
      <w:r>
        <w:rPr>
          <w:rFonts w:hint="eastAsia" w:ascii="宋体" w:hAnsi="宋体" w:cs="宋体"/>
          <w:bCs/>
          <w:color w:val="auto"/>
          <w:sz w:val="24"/>
          <w:highlight w:val="none"/>
        </w:rPr>
        <w:fldChar w:fldCharType="separate"/>
      </w:r>
      <w:r>
        <w:rPr>
          <w:rFonts w:hint="eastAsia" w:ascii="宋体" w:hAnsi="宋体" w:cs="宋体"/>
          <w:bCs/>
          <w:color w:val="auto"/>
          <w:sz w:val="24"/>
          <w:highlight w:val="none"/>
        </w:rPr>
        <w:t>一、竞争性谈判邀请</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_Toc3628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2</w:t>
      </w:r>
      <w:r>
        <w:rPr>
          <w:rFonts w:hint="eastAsia" w:ascii="宋体" w:hAnsi="宋体" w:cs="宋体"/>
          <w:color w:val="auto"/>
          <w:sz w:val="24"/>
          <w:highlight w:val="none"/>
        </w:rPr>
        <w:fldChar w:fldCharType="end"/>
      </w:r>
      <w:r>
        <w:rPr>
          <w:rFonts w:hint="eastAsia" w:ascii="宋体" w:hAnsi="宋体" w:cs="宋体"/>
          <w:bCs/>
          <w:color w:val="auto"/>
          <w:sz w:val="24"/>
          <w:highlight w:val="none"/>
        </w:rPr>
        <w:fldChar w:fldCharType="end"/>
      </w:r>
    </w:p>
    <w:p w14:paraId="2FD4582C">
      <w:pPr>
        <w:pStyle w:val="25"/>
        <w:tabs>
          <w:tab w:val="right" w:leader="dot" w:pos="9072"/>
        </w:tabs>
        <w:spacing w:line="360" w:lineRule="auto"/>
        <w:rPr>
          <w:rFonts w:hint="eastAsia" w:ascii="宋体" w:hAnsi="宋体" w:cs="宋体"/>
          <w:color w:val="auto"/>
          <w:sz w:val="24"/>
          <w:highlight w:val="none"/>
        </w:rPr>
      </w:pPr>
      <w:r>
        <w:rPr>
          <w:rFonts w:hint="eastAsia" w:ascii="宋体" w:hAnsi="宋体" w:cs="宋体"/>
          <w:bCs/>
          <w:color w:val="auto"/>
          <w:sz w:val="24"/>
          <w:highlight w:val="none"/>
        </w:rPr>
        <w:fldChar w:fldCharType="begin"/>
      </w:r>
      <w:r>
        <w:rPr>
          <w:rFonts w:hint="eastAsia" w:ascii="宋体" w:hAnsi="宋体" w:cs="宋体"/>
          <w:bCs/>
          <w:color w:val="auto"/>
          <w:sz w:val="24"/>
          <w:highlight w:val="none"/>
        </w:rPr>
        <w:instrText xml:space="preserve"> HYPERLINK \l _Toc9001 </w:instrText>
      </w:r>
      <w:r>
        <w:rPr>
          <w:rFonts w:hint="eastAsia" w:ascii="宋体" w:hAnsi="宋体" w:cs="宋体"/>
          <w:bCs/>
          <w:color w:val="auto"/>
          <w:sz w:val="24"/>
          <w:highlight w:val="none"/>
        </w:rPr>
        <w:fldChar w:fldCharType="separate"/>
      </w:r>
      <w:r>
        <w:rPr>
          <w:rFonts w:hint="eastAsia" w:ascii="宋体" w:hAnsi="宋体" w:cs="宋体"/>
          <w:color w:val="auto"/>
          <w:sz w:val="24"/>
          <w:highlight w:val="none"/>
        </w:rPr>
        <w:t>二、竞争性谈判服务一览表</w:t>
      </w:r>
      <w:r>
        <w:rPr>
          <w:rFonts w:hint="eastAsia" w:ascii="宋体" w:hAnsi="宋体" w:cs="宋体"/>
          <w:color w:val="auto"/>
          <w:sz w:val="24"/>
          <w:highlight w:val="none"/>
        </w:rPr>
        <w:tab/>
      </w:r>
      <w:r>
        <w:rPr>
          <w:rFonts w:hint="eastAsia" w:ascii="宋体" w:hAnsi="宋体" w:cs="宋体"/>
          <w:color w:val="auto"/>
          <w:sz w:val="24"/>
          <w:highlight w:val="none"/>
        </w:rPr>
        <w:t>3</w:t>
      </w:r>
      <w:r>
        <w:rPr>
          <w:rFonts w:hint="eastAsia" w:ascii="宋体" w:hAnsi="宋体" w:cs="宋体"/>
          <w:bCs/>
          <w:color w:val="auto"/>
          <w:sz w:val="24"/>
          <w:highlight w:val="none"/>
        </w:rPr>
        <w:fldChar w:fldCharType="end"/>
      </w:r>
    </w:p>
    <w:p w14:paraId="59CDEABF">
      <w:pPr>
        <w:pStyle w:val="23"/>
        <w:tabs>
          <w:tab w:val="right" w:leader="dot" w:pos="9072"/>
        </w:tabs>
        <w:spacing w:line="360" w:lineRule="auto"/>
        <w:rPr>
          <w:rFonts w:hint="eastAsia" w:ascii="宋体" w:hAnsi="宋体" w:cs="宋体"/>
          <w:color w:val="auto"/>
          <w:sz w:val="24"/>
          <w:highlight w:val="none"/>
        </w:rPr>
      </w:pPr>
      <w:r>
        <w:rPr>
          <w:rFonts w:hint="eastAsia" w:ascii="宋体" w:hAnsi="宋体" w:cs="宋体"/>
          <w:bCs/>
          <w:color w:val="auto"/>
          <w:sz w:val="24"/>
          <w:highlight w:val="none"/>
        </w:rPr>
        <w:fldChar w:fldCharType="begin"/>
      </w:r>
      <w:r>
        <w:rPr>
          <w:rFonts w:hint="eastAsia" w:ascii="宋体" w:hAnsi="宋体" w:cs="宋体"/>
          <w:bCs/>
          <w:color w:val="auto"/>
          <w:sz w:val="24"/>
          <w:highlight w:val="none"/>
        </w:rPr>
        <w:instrText xml:space="preserve"> HYPERLINK \l _Toc27151 </w:instrText>
      </w:r>
      <w:r>
        <w:rPr>
          <w:rFonts w:hint="eastAsia" w:ascii="宋体" w:hAnsi="宋体" w:cs="宋体"/>
          <w:bCs/>
          <w:color w:val="auto"/>
          <w:sz w:val="24"/>
          <w:highlight w:val="none"/>
        </w:rPr>
        <w:fldChar w:fldCharType="separate"/>
      </w:r>
      <w:r>
        <w:rPr>
          <w:rFonts w:hint="eastAsia" w:ascii="宋体" w:hAnsi="宋体" w:cs="宋体"/>
          <w:bCs/>
          <w:color w:val="auto"/>
          <w:sz w:val="24"/>
          <w:highlight w:val="none"/>
        </w:rPr>
        <w:t>第二章  谈判供应商须知</w:t>
      </w:r>
      <w:r>
        <w:rPr>
          <w:rFonts w:hint="eastAsia" w:ascii="宋体" w:hAnsi="宋体" w:cs="宋体"/>
          <w:color w:val="auto"/>
          <w:sz w:val="24"/>
          <w:highlight w:val="none"/>
        </w:rPr>
        <w:tab/>
      </w:r>
      <w:r>
        <w:rPr>
          <w:rFonts w:hint="eastAsia" w:ascii="宋体" w:hAnsi="宋体" w:cs="宋体"/>
          <w:color w:val="auto"/>
          <w:sz w:val="24"/>
          <w:highlight w:val="none"/>
        </w:rPr>
        <w:t>4</w:t>
      </w:r>
      <w:r>
        <w:rPr>
          <w:rFonts w:hint="eastAsia" w:ascii="宋体" w:hAnsi="宋体" w:cs="宋体"/>
          <w:bCs/>
          <w:color w:val="auto"/>
          <w:sz w:val="24"/>
          <w:highlight w:val="none"/>
        </w:rPr>
        <w:fldChar w:fldCharType="end"/>
      </w:r>
    </w:p>
    <w:p w14:paraId="23AB3553">
      <w:pPr>
        <w:pStyle w:val="25"/>
        <w:tabs>
          <w:tab w:val="right" w:leader="dot" w:pos="9072"/>
        </w:tabs>
        <w:spacing w:line="360" w:lineRule="auto"/>
        <w:rPr>
          <w:rFonts w:hint="eastAsia" w:ascii="宋体" w:hAnsi="宋体" w:cs="宋体"/>
          <w:color w:val="auto"/>
          <w:sz w:val="24"/>
          <w:highlight w:val="none"/>
        </w:rPr>
      </w:pPr>
      <w:r>
        <w:rPr>
          <w:rFonts w:hint="eastAsia" w:ascii="宋体" w:hAnsi="宋体" w:cs="宋体"/>
          <w:bCs/>
          <w:color w:val="auto"/>
          <w:sz w:val="24"/>
          <w:highlight w:val="none"/>
        </w:rPr>
        <w:fldChar w:fldCharType="begin"/>
      </w:r>
      <w:r>
        <w:rPr>
          <w:rFonts w:hint="eastAsia" w:ascii="宋体" w:hAnsi="宋体" w:cs="宋体"/>
          <w:bCs/>
          <w:color w:val="auto"/>
          <w:sz w:val="24"/>
          <w:highlight w:val="none"/>
        </w:rPr>
        <w:instrText xml:space="preserve"> HYPERLINK \l _Toc14266 </w:instrText>
      </w:r>
      <w:r>
        <w:rPr>
          <w:rFonts w:hint="eastAsia" w:ascii="宋体" w:hAnsi="宋体" w:cs="宋体"/>
          <w:bCs/>
          <w:color w:val="auto"/>
          <w:sz w:val="24"/>
          <w:highlight w:val="none"/>
        </w:rPr>
        <w:fldChar w:fldCharType="separate"/>
      </w:r>
      <w:r>
        <w:rPr>
          <w:rFonts w:hint="eastAsia" w:ascii="宋体" w:hAnsi="宋体" w:cs="宋体"/>
          <w:color w:val="auto"/>
          <w:sz w:val="24"/>
          <w:highlight w:val="none"/>
        </w:rPr>
        <w:t>谈判供应商须知前附表</w:t>
      </w:r>
      <w:r>
        <w:rPr>
          <w:rFonts w:hint="eastAsia" w:ascii="宋体" w:hAnsi="宋体" w:cs="宋体"/>
          <w:color w:val="auto"/>
          <w:sz w:val="24"/>
          <w:highlight w:val="none"/>
        </w:rPr>
        <w:tab/>
      </w:r>
      <w:r>
        <w:rPr>
          <w:rFonts w:hint="eastAsia" w:ascii="宋体" w:hAnsi="宋体" w:cs="宋体"/>
          <w:color w:val="auto"/>
          <w:sz w:val="24"/>
          <w:highlight w:val="none"/>
        </w:rPr>
        <w:t>4</w:t>
      </w:r>
      <w:r>
        <w:rPr>
          <w:rFonts w:hint="eastAsia" w:ascii="宋体" w:hAnsi="宋体" w:cs="宋体"/>
          <w:bCs/>
          <w:color w:val="auto"/>
          <w:sz w:val="24"/>
          <w:highlight w:val="none"/>
        </w:rPr>
        <w:fldChar w:fldCharType="end"/>
      </w:r>
    </w:p>
    <w:p w14:paraId="669B360E">
      <w:pPr>
        <w:pStyle w:val="25"/>
        <w:tabs>
          <w:tab w:val="right" w:leader="dot" w:pos="9072"/>
        </w:tabs>
        <w:spacing w:line="360" w:lineRule="auto"/>
        <w:rPr>
          <w:rFonts w:hint="eastAsia" w:ascii="宋体" w:hAnsi="宋体" w:cs="宋体"/>
          <w:color w:val="auto"/>
          <w:sz w:val="24"/>
          <w:highlight w:val="none"/>
        </w:rPr>
      </w:pPr>
      <w:r>
        <w:rPr>
          <w:rFonts w:hint="eastAsia" w:ascii="宋体" w:hAnsi="宋体" w:cs="宋体"/>
          <w:bCs/>
          <w:color w:val="auto"/>
          <w:sz w:val="24"/>
          <w:highlight w:val="none"/>
        </w:rPr>
        <w:fldChar w:fldCharType="begin"/>
      </w:r>
      <w:r>
        <w:rPr>
          <w:rFonts w:hint="eastAsia" w:ascii="宋体" w:hAnsi="宋体" w:cs="宋体"/>
          <w:bCs/>
          <w:color w:val="auto"/>
          <w:sz w:val="24"/>
          <w:highlight w:val="none"/>
        </w:rPr>
        <w:instrText xml:space="preserve"> HYPERLINK \l _Toc3031 </w:instrText>
      </w:r>
      <w:r>
        <w:rPr>
          <w:rFonts w:hint="eastAsia" w:ascii="宋体" w:hAnsi="宋体" w:cs="宋体"/>
          <w:bCs/>
          <w:color w:val="auto"/>
          <w:sz w:val="24"/>
          <w:highlight w:val="none"/>
        </w:rPr>
        <w:fldChar w:fldCharType="separate"/>
      </w:r>
      <w:r>
        <w:rPr>
          <w:rFonts w:hint="eastAsia" w:ascii="宋体" w:hAnsi="宋体" w:cs="宋体"/>
          <w:bCs/>
          <w:color w:val="auto"/>
          <w:sz w:val="24"/>
          <w:highlight w:val="none"/>
        </w:rPr>
        <w:t>一、说明</w:t>
      </w:r>
      <w:r>
        <w:rPr>
          <w:rFonts w:hint="eastAsia" w:ascii="宋体" w:hAnsi="宋体" w:cs="宋体"/>
          <w:color w:val="auto"/>
          <w:sz w:val="24"/>
          <w:highlight w:val="none"/>
        </w:rPr>
        <w:tab/>
      </w:r>
      <w:r>
        <w:rPr>
          <w:rFonts w:hint="eastAsia" w:ascii="宋体" w:hAnsi="宋体" w:cs="宋体"/>
          <w:color w:val="auto"/>
          <w:sz w:val="24"/>
          <w:highlight w:val="none"/>
        </w:rPr>
        <w:t>6</w:t>
      </w:r>
      <w:r>
        <w:rPr>
          <w:rFonts w:hint="eastAsia" w:ascii="宋体" w:hAnsi="宋体" w:cs="宋体"/>
          <w:bCs/>
          <w:color w:val="auto"/>
          <w:sz w:val="24"/>
          <w:highlight w:val="none"/>
        </w:rPr>
        <w:fldChar w:fldCharType="end"/>
      </w:r>
    </w:p>
    <w:p w14:paraId="47E5EF42">
      <w:pPr>
        <w:pStyle w:val="25"/>
        <w:tabs>
          <w:tab w:val="right" w:leader="dot" w:pos="9072"/>
        </w:tabs>
        <w:spacing w:line="360" w:lineRule="auto"/>
        <w:rPr>
          <w:rFonts w:hint="eastAsia" w:ascii="宋体" w:hAnsi="宋体" w:cs="宋体"/>
          <w:color w:val="auto"/>
          <w:sz w:val="24"/>
          <w:highlight w:val="none"/>
        </w:rPr>
      </w:pPr>
      <w:r>
        <w:rPr>
          <w:rFonts w:hint="eastAsia" w:ascii="宋体" w:hAnsi="宋体" w:cs="宋体"/>
          <w:bCs/>
          <w:color w:val="auto"/>
          <w:sz w:val="24"/>
          <w:highlight w:val="none"/>
        </w:rPr>
        <w:fldChar w:fldCharType="begin"/>
      </w:r>
      <w:r>
        <w:rPr>
          <w:rFonts w:hint="eastAsia" w:ascii="宋体" w:hAnsi="宋体" w:cs="宋体"/>
          <w:bCs/>
          <w:color w:val="auto"/>
          <w:sz w:val="24"/>
          <w:highlight w:val="none"/>
        </w:rPr>
        <w:instrText xml:space="preserve"> HYPERLINK \l _Toc11158 </w:instrText>
      </w:r>
      <w:r>
        <w:rPr>
          <w:rFonts w:hint="eastAsia" w:ascii="宋体" w:hAnsi="宋体" w:cs="宋体"/>
          <w:bCs/>
          <w:color w:val="auto"/>
          <w:sz w:val="24"/>
          <w:highlight w:val="none"/>
        </w:rPr>
        <w:fldChar w:fldCharType="separate"/>
      </w:r>
      <w:r>
        <w:rPr>
          <w:rFonts w:hint="eastAsia" w:ascii="宋体" w:hAnsi="宋体" w:cs="宋体"/>
          <w:bCs/>
          <w:color w:val="auto"/>
          <w:sz w:val="24"/>
          <w:highlight w:val="none"/>
        </w:rPr>
        <w:t>二、竞争性谈判采购文件</w:t>
      </w:r>
      <w:r>
        <w:rPr>
          <w:rFonts w:hint="eastAsia" w:ascii="宋体" w:hAnsi="宋体" w:cs="宋体"/>
          <w:color w:val="auto"/>
          <w:sz w:val="24"/>
          <w:highlight w:val="none"/>
        </w:rPr>
        <w:tab/>
      </w:r>
      <w:r>
        <w:rPr>
          <w:rFonts w:hint="eastAsia" w:ascii="宋体" w:hAnsi="宋体" w:cs="宋体"/>
          <w:color w:val="auto"/>
          <w:sz w:val="24"/>
          <w:highlight w:val="none"/>
        </w:rPr>
        <w:t>7</w:t>
      </w:r>
      <w:r>
        <w:rPr>
          <w:rFonts w:hint="eastAsia" w:ascii="宋体" w:hAnsi="宋体" w:cs="宋体"/>
          <w:bCs/>
          <w:color w:val="auto"/>
          <w:sz w:val="24"/>
          <w:highlight w:val="none"/>
        </w:rPr>
        <w:fldChar w:fldCharType="end"/>
      </w:r>
    </w:p>
    <w:p w14:paraId="25D4DCE8">
      <w:pPr>
        <w:pStyle w:val="25"/>
        <w:tabs>
          <w:tab w:val="right" w:leader="dot" w:pos="9072"/>
        </w:tabs>
        <w:spacing w:line="360" w:lineRule="auto"/>
        <w:rPr>
          <w:rFonts w:hint="eastAsia" w:ascii="宋体" w:hAnsi="宋体" w:cs="宋体"/>
          <w:color w:val="auto"/>
          <w:sz w:val="24"/>
          <w:highlight w:val="none"/>
        </w:rPr>
      </w:pPr>
      <w:r>
        <w:rPr>
          <w:rFonts w:hint="eastAsia" w:ascii="宋体" w:hAnsi="宋体" w:cs="宋体"/>
          <w:bCs/>
          <w:color w:val="auto"/>
          <w:sz w:val="24"/>
          <w:highlight w:val="none"/>
        </w:rPr>
        <w:fldChar w:fldCharType="begin"/>
      </w:r>
      <w:r>
        <w:rPr>
          <w:rFonts w:hint="eastAsia" w:ascii="宋体" w:hAnsi="宋体" w:cs="宋体"/>
          <w:bCs/>
          <w:color w:val="auto"/>
          <w:sz w:val="24"/>
          <w:highlight w:val="none"/>
        </w:rPr>
        <w:instrText xml:space="preserve"> HYPERLINK \l _Toc15815 </w:instrText>
      </w:r>
      <w:r>
        <w:rPr>
          <w:rFonts w:hint="eastAsia" w:ascii="宋体" w:hAnsi="宋体" w:cs="宋体"/>
          <w:bCs/>
          <w:color w:val="auto"/>
          <w:sz w:val="24"/>
          <w:highlight w:val="none"/>
        </w:rPr>
        <w:fldChar w:fldCharType="separate"/>
      </w:r>
      <w:r>
        <w:rPr>
          <w:rFonts w:hint="eastAsia" w:ascii="宋体" w:hAnsi="宋体" w:cs="宋体"/>
          <w:bCs/>
          <w:color w:val="auto"/>
          <w:sz w:val="24"/>
          <w:highlight w:val="none"/>
        </w:rPr>
        <w:t>三、竞争性谈判响应文件的编写</w:t>
      </w:r>
      <w:r>
        <w:rPr>
          <w:rFonts w:hint="eastAsia" w:ascii="宋体" w:hAnsi="宋体" w:cs="宋体"/>
          <w:color w:val="auto"/>
          <w:sz w:val="24"/>
          <w:highlight w:val="none"/>
        </w:rPr>
        <w:tab/>
      </w:r>
      <w:r>
        <w:rPr>
          <w:rFonts w:hint="eastAsia" w:ascii="宋体" w:hAnsi="宋体" w:cs="宋体"/>
          <w:color w:val="auto"/>
          <w:sz w:val="24"/>
          <w:highlight w:val="none"/>
        </w:rPr>
        <w:t>9</w:t>
      </w:r>
      <w:r>
        <w:rPr>
          <w:rFonts w:hint="eastAsia" w:ascii="宋体" w:hAnsi="宋体" w:cs="宋体"/>
          <w:bCs/>
          <w:color w:val="auto"/>
          <w:sz w:val="24"/>
          <w:highlight w:val="none"/>
        </w:rPr>
        <w:fldChar w:fldCharType="end"/>
      </w:r>
    </w:p>
    <w:p w14:paraId="664EB1DE">
      <w:pPr>
        <w:pStyle w:val="25"/>
        <w:tabs>
          <w:tab w:val="right" w:leader="dot" w:pos="9072"/>
        </w:tabs>
        <w:spacing w:line="360" w:lineRule="auto"/>
        <w:rPr>
          <w:rFonts w:hint="eastAsia" w:ascii="宋体" w:hAnsi="宋体" w:cs="宋体"/>
          <w:color w:val="auto"/>
          <w:sz w:val="24"/>
          <w:highlight w:val="none"/>
        </w:rPr>
      </w:pPr>
      <w:r>
        <w:rPr>
          <w:rFonts w:hint="eastAsia" w:ascii="宋体" w:hAnsi="宋体" w:cs="宋体"/>
          <w:bCs/>
          <w:color w:val="auto"/>
          <w:sz w:val="24"/>
          <w:highlight w:val="none"/>
        </w:rPr>
        <w:fldChar w:fldCharType="begin"/>
      </w:r>
      <w:r>
        <w:rPr>
          <w:rFonts w:hint="eastAsia" w:ascii="宋体" w:hAnsi="宋体" w:cs="宋体"/>
          <w:bCs/>
          <w:color w:val="auto"/>
          <w:sz w:val="24"/>
          <w:highlight w:val="none"/>
        </w:rPr>
        <w:instrText xml:space="preserve"> HYPERLINK \l _Toc8662 </w:instrText>
      </w:r>
      <w:r>
        <w:rPr>
          <w:rFonts w:hint="eastAsia" w:ascii="宋体" w:hAnsi="宋体" w:cs="宋体"/>
          <w:bCs/>
          <w:color w:val="auto"/>
          <w:sz w:val="24"/>
          <w:highlight w:val="none"/>
        </w:rPr>
        <w:fldChar w:fldCharType="separate"/>
      </w:r>
      <w:r>
        <w:rPr>
          <w:rFonts w:hint="eastAsia" w:ascii="宋体" w:hAnsi="宋体" w:cs="宋体"/>
          <w:bCs/>
          <w:color w:val="auto"/>
          <w:sz w:val="24"/>
          <w:highlight w:val="none"/>
        </w:rPr>
        <w:t>四、谈判响应文件的递交</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_Toc8662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12</w:t>
      </w:r>
      <w:r>
        <w:rPr>
          <w:rFonts w:hint="eastAsia" w:ascii="宋体" w:hAnsi="宋体" w:cs="宋体"/>
          <w:color w:val="auto"/>
          <w:sz w:val="24"/>
          <w:highlight w:val="none"/>
        </w:rPr>
        <w:fldChar w:fldCharType="end"/>
      </w:r>
      <w:r>
        <w:rPr>
          <w:rFonts w:hint="eastAsia" w:ascii="宋体" w:hAnsi="宋体" w:cs="宋体"/>
          <w:bCs/>
          <w:color w:val="auto"/>
          <w:sz w:val="24"/>
          <w:highlight w:val="none"/>
        </w:rPr>
        <w:fldChar w:fldCharType="end"/>
      </w:r>
    </w:p>
    <w:p w14:paraId="3B28FB43">
      <w:pPr>
        <w:pStyle w:val="25"/>
        <w:tabs>
          <w:tab w:val="right" w:leader="dot" w:pos="9072"/>
        </w:tabs>
        <w:spacing w:line="360" w:lineRule="auto"/>
        <w:rPr>
          <w:rFonts w:hint="eastAsia" w:ascii="宋体" w:hAnsi="宋体" w:cs="宋体"/>
          <w:color w:val="auto"/>
          <w:sz w:val="24"/>
          <w:highlight w:val="none"/>
        </w:rPr>
      </w:pPr>
      <w:r>
        <w:rPr>
          <w:rFonts w:hint="eastAsia" w:ascii="宋体" w:hAnsi="宋体" w:cs="宋体"/>
          <w:bCs/>
          <w:color w:val="auto"/>
          <w:sz w:val="24"/>
          <w:highlight w:val="none"/>
        </w:rPr>
        <w:fldChar w:fldCharType="begin"/>
      </w:r>
      <w:r>
        <w:rPr>
          <w:rFonts w:hint="eastAsia" w:ascii="宋体" w:hAnsi="宋体" w:cs="宋体"/>
          <w:bCs/>
          <w:color w:val="auto"/>
          <w:sz w:val="24"/>
          <w:highlight w:val="none"/>
        </w:rPr>
        <w:instrText xml:space="preserve"> HYPERLINK \l _Toc6384 </w:instrText>
      </w:r>
      <w:r>
        <w:rPr>
          <w:rFonts w:hint="eastAsia" w:ascii="宋体" w:hAnsi="宋体" w:cs="宋体"/>
          <w:bCs/>
          <w:color w:val="auto"/>
          <w:sz w:val="24"/>
          <w:highlight w:val="none"/>
        </w:rPr>
        <w:fldChar w:fldCharType="separate"/>
      </w:r>
      <w:r>
        <w:rPr>
          <w:rFonts w:hint="eastAsia" w:ascii="宋体" w:hAnsi="宋体" w:cs="宋体"/>
          <w:bCs/>
          <w:color w:val="auto"/>
          <w:sz w:val="24"/>
          <w:highlight w:val="none"/>
        </w:rPr>
        <w:t>五、谈判程序与评审方法</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_Toc6384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13</w:t>
      </w:r>
      <w:r>
        <w:rPr>
          <w:rFonts w:hint="eastAsia" w:ascii="宋体" w:hAnsi="宋体" w:cs="宋体"/>
          <w:color w:val="auto"/>
          <w:sz w:val="24"/>
          <w:highlight w:val="none"/>
        </w:rPr>
        <w:fldChar w:fldCharType="end"/>
      </w:r>
      <w:r>
        <w:rPr>
          <w:rFonts w:hint="eastAsia" w:ascii="宋体" w:hAnsi="宋体" w:cs="宋体"/>
          <w:bCs/>
          <w:color w:val="auto"/>
          <w:sz w:val="24"/>
          <w:highlight w:val="none"/>
        </w:rPr>
        <w:fldChar w:fldCharType="end"/>
      </w:r>
    </w:p>
    <w:p w14:paraId="4950C083">
      <w:pPr>
        <w:pStyle w:val="25"/>
        <w:tabs>
          <w:tab w:val="right" w:leader="dot" w:pos="9072"/>
        </w:tabs>
        <w:spacing w:line="360" w:lineRule="auto"/>
        <w:rPr>
          <w:rFonts w:hint="eastAsia" w:ascii="宋体" w:hAnsi="宋体" w:cs="宋体"/>
          <w:color w:val="auto"/>
          <w:sz w:val="24"/>
          <w:highlight w:val="none"/>
        </w:rPr>
      </w:pPr>
      <w:r>
        <w:rPr>
          <w:rFonts w:hint="eastAsia" w:ascii="宋体" w:hAnsi="宋体" w:cs="宋体"/>
          <w:bCs/>
          <w:color w:val="auto"/>
          <w:sz w:val="24"/>
          <w:highlight w:val="none"/>
        </w:rPr>
        <w:fldChar w:fldCharType="begin"/>
      </w:r>
      <w:r>
        <w:rPr>
          <w:rFonts w:hint="eastAsia" w:ascii="宋体" w:hAnsi="宋体" w:cs="宋体"/>
          <w:bCs/>
          <w:color w:val="auto"/>
          <w:sz w:val="24"/>
          <w:highlight w:val="none"/>
        </w:rPr>
        <w:instrText xml:space="preserve"> HYPERLINK \l _Toc12350 </w:instrText>
      </w:r>
      <w:r>
        <w:rPr>
          <w:rFonts w:hint="eastAsia" w:ascii="宋体" w:hAnsi="宋体" w:cs="宋体"/>
          <w:bCs/>
          <w:color w:val="auto"/>
          <w:sz w:val="24"/>
          <w:highlight w:val="none"/>
        </w:rPr>
        <w:fldChar w:fldCharType="separate"/>
      </w:r>
      <w:r>
        <w:rPr>
          <w:rFonts w:hint="eastAsia" w:ascii="宋体" w:hAnsi="宋体" w:cs="宋体"/>
          <w:color w:val="auto"/>
          <w:sz w:val="24"/>
          <w:highlight w:val="none"/>
        </w:rPr>
        <w:t>六、确定成交供应商与签订合同</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_Toc12350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16</w:t>
      </w:r>
      <w:r>
        <w:rPr>
          <w:rFonts w:hint="eastAsia" w:ascii="宋体" w:hAnsi="宋体" w:cs="宋体"/>
          <w:color w:val="auto"/>
          <w:sz w:val="24"/>
          <w:highlight w:val="none"/>
        </w:rPr>
        <w:fldChar w:fldCharType="end"/>
      </w:r>
      <w:r>
        <w:rPr>
          <w:rFonts w:hint="eastAsia" w:ascii="宋体" w:hAnsi="宋体" w:cs="宋体"/>
          <w:bCs/>
          <w:color w:val="auto"/>
          <w:sz w:val="24"/>
          <w:highlight w:val="none"/>
        </w:rPr>
        <w:fldChar w:fldCharType="end"/>
      </w:r>
    </w:p>
    <w:p w14:paraId="55E5670C">
      <w:pPr>
        <w:pStyle w:val="25"/>
        <w:tabs>
          <w:tab w:val="right" w:leader="dot" w:pos="9072"/>
        </w:tabs>
        <w:spacing w:line="360" w:lineRule="auto"/>
        <w:rPr>
          <w:rFonts w:hint="eastAsia" w:ascii="宋体" w:hAnsi="宋体" w:cs="宋体"/>
          <w:color w:val="auto"/>
          <w:sz w:val="24"/>
          <w:highlight w:val="none"/>
        </w:rPr>
      </w:pPr>
      <w:r>
        <w:rPr>
          <w:rFonts w:hint="eastAsia" w:ascii="宋体" w:hAnsi="宋体" w:cs="宋体"/>
          <w:bCs/>
          <w:color w:val="auto"/>
          <w:sz w:val="24"/>
          <w:highlight w:val="none"/>
        </w:rPr>
        <w:fldChar w:fldCharType="begin"/>
      </w:r>
      <w:r>
        <w:rPr>
          <w:rFonts w:hint="eastAsia" w:ascii="宋体" w:hAnsi="宋体" w:cs="宋体"/>
          <w:bCs/>
          <w:color w:val="auto"/>
          <w:sz w:val="24"/>
          <w:highlight w:val="none"/>
        </w:rPr>
        <w:instrText xml:space="preserve"> HYPERLINK \l _Toc305 </w:instrText>
      </w:r>
      <w:r>
        <w:rPr>
          <w:rFonts w:hint="eastAsia" w:ascii="宋体" w:hAnsi="宋体" w:cs="宋体"/>
          <w:bCs/>
          <w:color w:val="auto"/>
          <w:sz w:val="24"/>
          <w:highlight w:val="none"/>
        </w:rPr>
        <w:fldChar w:fldCharType="separate"/>
      </w:r>
      <w:r>
        <w:rPr>
          <w:rFonts w:hint="eastAsia" w:ascii="宋体" w:hAnsi="宋体" w:cs="宋体"/>
          <w:color w:val="auto"/>
          <w:sz w:val="24"/>
          <w:highlight w:val="none"/>
        </w:rPr>
        <w:t>七、质疑与投诉</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_Toc305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18</w:t>
      </w:r>
      <w:r>
        <w:rPr>
          <w:rFonts w:hint="eastAsia" w:ascii="宋体" w:hAnsi="宋体" w:cs="宋体"/>
          <w:color w:val="auto"/>
          <w:sz w:val="24"/>
          <w:highlight w:val="none"/>
        </w:rPr>
        <w:fldChar w:fldCharType="end"/>
      </w:r>
      <w:r>
        <w:rPr>
          <w:rFonts w:hint="eastAsia" w:ascii="宋体" w:hAnsi="宋体" w:cs="宋体"/>
          <w:bCs/>
          <w:color w:val="auto"/>
          <w:sz w:val="24"/>
          <w:highlight w:val="none"/>
        </w:rPr>
        <w:fldChar w:fldCharType="end"/>
      </w:r>
    </w:p>
    <w:p w14:paraId="13A3F3EE">
      <w:pPr>
        <w:pStyle w:val="23"/>
        <w:tabs>
          <w:tab w:val="right" w:leader="dot" w:pos="9072"/>
        </w:tabs>
        <w:spacing w:line="360" w:lineRule="auto"/>
        <w:rPr>
          <w:rFonts w:hint="eastAsia" w:ascii="宋体" w:hAnsi="宋体" w:cs="宋体"/>
          <w:color w:val="auto"/>
          <w:sz w:val="24"/>
          <w:highlight w:val="none"/>
        </w:rPr>
      </w:pPr>
      <w:r>
        <w:rPr>
          <w:rFonts w:hint="eastAsia" w:ascii="宋体" w:hAnsi="宋体" w:cs="宋体"/>
          <w:bCs/>
          <w:color w:val="auto"/>
          <w:sz w:val="24"/>
          <w:highlight w:val="none"/>
        </w:rPr>
        <w:fldChar w:fldCharType="begin"/>
      </w:r>
      <w:r>
        <w:rPr>
          <w:rFonts w:hint="eastAsia" w:ascii="宋体" w:hAnsi="宋体" w:cs="宋体"/>
          <w:bCs/>
          <w:color w:val="auto"/>
          <w:sz w:val="24"/>
          <w:highlight w:val="none"/>
        </w:rPr>
        <w:instrText xml:space="preserve"> HYPERLINK \l _Toc25519 </w:instrText>
      </w:r>
      <w:r>
        <w:rPr>
          <w:rFonts w:hint="eastAsia" w:ascii="宋体" w:hAnsi="宋体" w:cs="宋体"/>
          <w:bCs/>
          <w:color w:val="auto"/>
          <w:sz w:val="24"/>
          <w:highlight w:val="none"/>
        </w:rPr>
        <w:fldChar w:fldCharType="separate"/>
      </w:r>
      <w:r>
        <w:rPr>
          <w:rFonts w:hint="eastAsia" w:ascii="宋体" w:hAnsi="宋体" w:cs="宋体"/>
          <w:bCs/>
          <w:color w:val="auto"/>
          <w:sz w:val="24"/>
          <w:highlight w:val="none"/>
        </w:rPr>
        <w:t>第三章  采购内容及要求</w:t>
      </w:r>
      <w:r>
        <w:rPr>
          <w:rFonts w:hint="eastAsia" w:ascii="宋体" w:hAnsi="宋体" w:cs="宋体"/>
          <w:color w:val="auto"/>
          <w:sz w:val="24"/>
          <w:highlight w:val="none"/>
        </w:rPr>
        <w:tab/>
      </w:r>
      <w:r>
        <w:rPr>
          <w:rFonts w:hint="eastAsia" w:ascii="宋体" w:hAnsi="宋体" w:cs="宋体"/>
          <w:color w:val="auto"/>
          <w:sz w:val="24"/>
          <w:highlight w:val="none"/>
        </w:rPr>
        <w:t>1</w:t>
      </w:r>
      <w:r>
        <w:rPr>
          <w:rFonts w:hint="eastAsia" w:ascii="宋体" w:hAnsi="宋体" w:cs="宋体"/>
          <w:bCs/>
          <w:color w:val="auto"/>
          <w:sz w:val="24"/>
          <w:highlight w:val="none"/>
        </w:rPr>
        <w:fldChar w:fldCharType="end"/>
      </w:r>
      <w:r>
        <w:rPr>
          <w:rFonts w:hint="eastAsia" w:ascii="宋体" w:hAnsi="宋体" w:cs="宋体"/>
          <w:bCs/>
          <w:color w:val="auto"/>
          <w:sz w:val="24"/>
          <w:highlight w:val="none"/>
        </w:rPr>
        <w:t>9</w:t>
      </w:r>
    </w:p>
    <w:p w14:paraId="03D9A62D">
      <w:pPr>
        <w:pStyle w:val="23"/>
        <w:tabs>
          <w:tab w:val="right" w:leader="dot" w:pos="9072"/>
        </w:tabs>
        <w:spacing w:line="360" w:lineRule="auto"/>
        <w:rPr>
          <w:rFonts w:hint="eastAsia" w:ascii="宋体" w:hAnsi="宋体" w:eastAsia="宋体" w:cs="宋体"/>
          <w:color w:val="auto"/>
          <w:sz w:val="24"/>
          <w:highlight w:val="none"/>
          <w:lang w:val="en-US" w:eastAsia="zh-CN"/>
        </w:rPr>
      </w:pPr>
      <w:r>
        <w:rPr>
          <w:rFonts w:hint="eastAsia" w:ascii="宋体" w:hAnsi="宋体" w:cs="宋体"/>
          <w:bCs/>
          <w:color w:val="auto"/>
          <w:sz w:val="24"/>
          <w:highlight w:val="none"/>
        </w:rPr>
        <w:fldChar w:fldCharType="begin"/>
      </w:r>
      <w:r>
        <w:rPr>
          <w:rFonts w:hint="eastAsia" w:ascii="宋体" w:hAnsi="宋体" w:cs="宋体"/>
          <w:bCs/>
          <w:color w:val="auto"/>
          <w:sz w:val="24"/>
          <w:highlight w:val="none"/>
        </w:rPr>
        <w:instrText xml:space="preserve"> HYPERLINK \l _Toc11873 </w:instrText>
      </w:r>
      <w:r>
        <w:rPr>
          <w:rFonts w:hint="eastAsia" w:ascii="宋体" w:hAnsi="宋体" w:cs="宋体"/>
          <w:bCs/>
          <w:color w:val="auto"/>
          <w:sz w:val="24"/>
          <w:highlight w:val="none"/>
        </w:rPr>
        <w:fldChar w:fldCharType="separate"/>
      </w:r>
      <w:r>
        <w:rPr>
          <w:rFonts w:hint="eastAsia" w:ascii="宋体" w:hAnsi="宋体" w:cs="宋体"/>
          <w:bCs/>
          <w:color w:val="auto"/>
          <w:sz w:val="24"/>
          <w:highlight w:val="none"/>
        </w:rPr>
        <w:t>第四章  采购合同（参考文本）</w:t>
      </w:r>
      <w:r>
        <w:rPr>
          <w:rFonts w:hint="eastAsia" w:ascii="宋体" w:hAnsi="宋体" w:cs="宋体"/>
          <w:color w:val="auto"/>
          <w:sz w:val="24"/>
          <w:highlight w:val="none"/>
        </w:rPr>
        <w:tab/>
      </w:r>
      <w:r>
        <w:rPr>
          <w:rFonts w:hint="eastAsia" w:ascii="宋体" w:hAnsi="宋体" w:cs="宋体"/>
          <w:color w:val="auto"/>
          <w:sz w:val="24"/>
          <w:highlight w:val="none"/>
          <w:lang w:val="en-US" w:eastAsia="zh-CN"/>
        </w:rPr>
        <w:t>3</w:t>
      </w:r>
      <w:r>
        <w:rPr>
          <w:rFonts w:hint="eastAsia" w:ascii="宋体" w:hAnsi="宋体" w:cs="宋体"/>
          <w:bCs/>
          <w:color w:val="auto"/>
          <w:sz w:val="24"/>
          <w:highlight w:val="none"/>
        </w:rPr>
        <w:fldChar w:fldCharType="end"/>
      </w:r>
      <w:r>
        <w:rPr>
          <w:rFonts w:hint="eastAsia" w:ascii="宋体" w:hAnsi="宋体" w:cs="宋体"/>
          <w:bCs/>
          <w:color w:val="auto"/>
          <w:sz w:val="24"/>
          <w:highlight w:val="none"/>
          <w:lang w:val="en-US" w:eastAsia="zh-CN"/>
        </w:rPr>
        <w:t>2</w:t>
      </w:r>
    </w:p>
    <w:p w14:paraId="1ABDDF2F">
      <w:pPr>
        <w:pStyle w:val="23"/>
        <w:tabs>
          <w:tab w:val="right" w:leader="dot" w:pos="9072"/>
        </w:tabs>
        <w:spacing w:line="360" w:lineRule="auto"/>
        <w:rPr>
          <w:rFonts w:hint="default" w:ascii="宋体" w:hAnsi="宋体" w:eastAsia="宋体" w:cs="宋体"/>
          <w:color w:val="auto"/>
          <w:sz w:val="24"/>
          <w:highlight w:val="none"/>
          <w:lang w:val="en-US" w:eastAsia="zh-CN"/>
        </w:rPr>
      </w:pPr>
      <w:r>
        <w:rPr>
          <w:rFonts w:hint="eastAsia" w:ascii="宋体" w:hAnsi="宋体" w:cs="宋体"/>
          <w:bCs/>
          <w:color w:val="auto"/>
          <w:sz w:val="24"/>
          <w:highlight w:val="none"/>
        </w:rPr>
        <w:fldChar w:fldCharType="begin"/>
      </w:r>
      <w:r>
        <w:rPr>
          <w:rFonts w:hint="eastAsia" w:ascii="宋体" w:hAnsi="宋体" w:cs="宋体"/>
          <w:bCs/>
          <w:color w:val="auto"/>
          <w:sz w:val="24"/>
          <w:highlight w:val="none"/>
        </w:rPr>
        <w:instrText xml:space="preserve"> HYPERLINK \l _Toc24889 </w:instrText>
      </w:r>
      <w:r>
        <w:rPr>
          <w:rFonts w:hint="eastAsia" w:ascii="宋体" w:hAnsi="宋体" w:cs="宋体"/>
          <w:bCs/>
          <w:color w:val="auto"/>
          <w:sz w:val="24"/>
          <w:highlight w:val="none"/>
        </w:rPr>
        <w:fldChar w:fldCharType="separate"/>
      </w:r>
      <w:r>
        <w:rPr>
          <w:rFonts w:hint="eastAsia" w:ascii="宋体" w:hAnsi="宋体" w:cs="宋体"/>
          <w:bCs/>
          <w:color w:val="auto"/>
          <w:sz w:val="24"/>
          <w:highlight w:val="none"/>
        </w:rPr>
        <w:t>第五章  竞争性谈判响应文件格式</w:t>
      </w:r>
      <w:r>
        <w:rPr>
          <w:rFonts w:hint="eastAsia" w:ascii="宋体" w:hAnsi="宋体" w:cs="宋体"/>
          <w:color w:val="auto"/>
          <w:sz w:val="24"/>
          <w:highlight w:val="none"/>
        </w:rPr>
        <w:tab/>
      </w:r>
      <w:r>
        <w:rPr>
          <w:rFonts w:hint="eastAsia" w:ascii="宋体" w:hAnsi="宋体" w:cs="宋体"/>
          <w:color w:val="auto"/>
          <w:sz w:val="24"/>
          <w:highlight w:val="none"/>
          <w:lang w:val="en-US" w:eastAsia="zh-CN"/>
        </w:rPr>
        <w:t>4</w:t>
      </w:r>
      <w:r>
        <w:rPr>
          <w:rFonts w:hint="eastAsia" w:ascii="宋体" w:hAnsi="宋体" w:cs="宋体"/>
          <w:bCs/>
          <w:color w:val="auto"/>
          <w:sz w:val="24"/>
          <w:highlight w:val="none"/>
        </w:rPr>
        <w:fldChar w:fldCharType="end"/>
      </w:r>
      <w:r>
        <w:rPr>
          <w:rFonts w:hint="eastAsia" w:ascii="宋体" w:hAnsi="宋体" w:cs="宋体"/>
          <w:bCs/>
          <w:color w:val="auto"/>
          <w:sz w:val="24"/>
          <w:highlight w:val="none"/>
          <w:lang w:val="en-US" w:eastAsia="zh-CN"/>
        </w:rPr>
        <w:t>8</w:t>
      </w:r>
    </w:p>
    <w:p w14:paraId="660C7EEC">
      <w:pPr>
        <w:pStyle w:val="18"/>
        <w:spacing w:line="360" w:lineRule="auto"/>
        <w:ind w:firstLine="480" w:firstLineChars="200"/>
        <w:jc w:val="center"/>
        <w:rPr>
          <w:rFonts w:hint="eastAsia" w:hAnsi="宋体" w:cs="宋体"/>
          <w:bCs/>
          <w:color w:val="auto"/>
          <w:highlight w:val="none"/>
        </w:rPr>
      </w:pPr>
      <w:r>
        <w:rPr>
          <w:rFonts w:hint="eastAsia" w:hAnsi="宋体" w:cs="宋体"/>
          <w:bCs/>
          <w:color w:val="auto"/>
          <w:sz w:val="24"/>
          <w:szCs w:val="24"/>
          <w:highlight w:val="none"/>
        </w:rPr>
        <w:fldChar w:fldCharType="end"/>
      </w:r>
      <w:bookmarkStart w:id="0" w:name="_Toc26103"/>
    </w:p>
    <w:p w14:paraId="217BBF5B">
      <w:pPr>
        <w:spacing w:line="360" w:lineRule="auto"/>
        <w:jc w:val="center"/>
        <w:outlineLvl w:val="0"/>
        <w:rPr>
          <w:rFonts w:hint="eastAsia" w:ascii="宋体" w:hAnsi="宋体" w:cs="宋体"/>
          <w:b/>
          <w:bCs/>
          <w:color w:val="auto"/>
          <w:sz w:val="30"/>
          <w:szCs w:val="30"/>
          <w:highlight w:val="none"/>
        </w:rPr>
        <w:sectPr>
          <w:footerReference r:id="rId3" w:type="default"/>
          <w:pgSz w:w="11907" w:h="16840"/>
          <w:pgMar w:top="1134" w:right="1417" w:bottom="1134" w:left="1417" w:header="851" w:footer="992" w:gutter="0"/>
          <w:pgNumType w:fmt="decimal" w:start="1"/>
          <w:cols w:space="720" w:num="1"/>
          <w:docGrid w:type="lines" w:linePitch="323" w:charSpace="-2"/>
        </w:sectPr>
      </w:pPr>
    </w:p>
    <w:p w14:paraId="7B3D9829">
      <w:pPr>
        <w:spacing w:line="360" w:lineRule="auto"/>
        <w:jc w:val="center"/>
        <w:outlineLvl w:val="0"/>
        <w:rPr>
          <w:rFonts w:hint="eastAsia" w:ascii="宋体" w:hAnsi="宋体"/>
          <w:b/>
          <w:bCs/>
          <w:color w:val="auto"/>
          <w:sz w:val="30"/>
          <w:szCs w:val="30"/>
          <w:highlight w:val="none"/>
        </w:rPr>
      </w:pPr>
      <w:r>
        <w:rPr>
          <w:rFonts w:hint="eastAsia" w:ascii="宋体" w:hAnsi="宋体"/>
          <w:b/>
          <w:bCs/>
          <w:color w:val="auto"/>
          <w:sz w:val="30"/>
          <w:szCs w:val="30"/>
          <w:highlight w:val="none"/>
        </w:rPr>
        <w:t>第一章  竞争性谈判邀请</w:t>
      </w:r>
      <w:bookmarkEnd w:id="0"/>
    </w:p>
    <w:p w14:paraId="2F3D5EE7">
      <w:pPr>
        <w:spacing w:line="360" w:lineRule="auto"/>
        <w:ind w:left="482"/>
        <w:jc w:val="center"/>
        <w:outlineLvl w:val="1"/>
        <w:rPr>
          <w:rFonts w:hint="eastAsia" w:ascii="宋体" w:hAnsi="宋体"/>
          <w:b/>
          <w:bCs/>
          <w:color w:val="auto"/>
          <w:sz w:val="24"/>
          <w:highlight w:val="none"/>
        </w:rPr>
      </w:pPr>
      <w:bookmarkStart w:id="1" w:name="_Toc3628"/>
      <w:r>
        <w:rPr>
          <w:rFonts w:hint="eastAsia" w:ascii="宋体" w:hAnsi="宋体"/>
          <w:b/>
          <w:bCs/>
          <w:color w:val="auto"/>
          <w:sz w:val="24"/>
          <w:highlight w:val="none"/>
        </w:rPr>
        <w:t>一、竞争性谈判邀请</w:t>
      </w:r>
      <w:bookmarkEnd w:id="1"/>
    </w:p>
    <w:p w14:paraId="0F2E16A6">
      <w:pPr>
        <w:pStyle w:val="17"/>
        <w:spacing w:line="360" w:lineRule="auto"/>
        <w:ind w:firstLine="480"/>
        <w:rPr>
          <w:rFonts w:hint="eastAsia" w:ascii="宋体" w:hAnsi="宋体" w:eastAsia="宋体"/>
          <w:color w:val="auto"/>
          <w:sz w:val="24"/>
          <w:highlight w:val="none"/>
        </w:rPr>
      </w:pPr>
      <w:r>
        <w:rPr>
          <w:rFonts w:hint="eastAsia" w:ascii="宋体" w:hAnsi="宋体" w:eastAsia="宋体"/>
          <w:color w:val="auto"/>
          <w:sz w:val="24"/>
          <w:highlight w:val="none"/>
        </w:rPr>
        <w:t>受</w:t>
      </w:r>
      <w:r>
        <w:rPr>
          <w:rFonts w:hint="eastAsia" w:ascii="宋体" w:hAnsi="宋体" w:eastAsia="宋体"/>
          <w:color w:val="auto"/>
          <w:sz w:val="24"/>
          <w:highlight w:val="none"/>
          <w:lang w:eastAsia="zh-CN"/>
        </w:rPr>
        <w:t>福建省龙岩华侨职业中专学校</w:t>
      </w:r>
      <w:r>
        <w:rPr>
          <w:rFonts w:hint="eastAsia" w:ascii="宋体" w:hAnsi="宋体" w:eastAsia="宋体"/>
          <w:color w:val="auto"/>
          <w:sz w:val="24"/>
          <w:highlight w:val="none"/>
        </w:rPr>
        <w:t>委托，以竞争性谈判方式进行下述范围的采购。欢迎符合竞争性谈判文件要求的供应商参加谈判。</w:t>
      </w:r>
    </w:p>
    <w:p w14:paraId="4DA0417D">
      <w:pPr>
        <w:spacing w:line="360" w:lineRule="auto"/>
        <w:ind w:firstLine="482" w:firstLineChars="200"/>
        <w:rPr>
          <w:rFonts w:hint="eastAsia" w:ascii="宋体" w:hAnsi="宋体" w:eastAsia="宋体" w:cs="Arial"/>
          <w:b/>
          <w:bCs/>
          <w:color w:val="auto"/>
          <w:sz w:val="24"/>
          <w:highlight w:val="none"/>
          <w:lang w:eastAsia="zh-CN"/>
        </w:rPr>
      </w:pPr>
      <w:r>
        <w:rPr>
          <w:rFonts w:hint="eastAsia" w:ascii="宋体" w:hAnsi="宋体"/>
          <w:b/>
          <w:bCs/>
          <w:color w:val="auto"/>
          <w:sz w:val="24"/>
          <w:highlight w:val="none"/>
        </w:rPr>
        <w:t>一、项目编号：</w:t>
      </w:r>
      <w:r>
        <w:rPr>
          <w:rFonts w:hint="eastAsia" w:ascii="宋体" w:hAnsi="宋体"/>
          <w:b/>
          <w:bCs/>
          <w:color w:val="auto"/>
          <w:sz w:val="24"/>
          <w:highlight w:val="none"/>
          <w:lang w:eastAsia="zh-CN"/>
        </w:rPr>
        <w:t>FJYSLY2025-02</w:t>
      </w:r>
      <w:r>
        <w:rPr>
          <w:rFonts w:hint="eastAsia" w:ascii="宋体" w:hAnsi="宋体"/>
          <w:b/>
          <w:bCs/>
          <w:color w:val="auto"/>
          <w:sz w:val="24"/>
          <w:highlight w:val="none"/>
          <w:lang w:val="en-US" w:eastAsia="zh-CN"/>
        </w:rPr>
        <w:t>4</w:t>
      </w:r>
    </w:p>
    <w:p w14:paraId="340E3FB6">
      <w:pPr>
        <w:spacing w:line="360" w:lineRule="auto"/>
        <w:ind w:firstLine="477" w:firstLineChars="198"/>
        <w:rPr>
          <w:rFonts w:hint="eastAsia" w:hAnsi="宋体" w:eastAsia="宋体"/>
          <w:b/>
          <w:bCs/>
          <w:color w:val="auto"/>
          <w:spacing w:val="-6"/>
          <w:sz w:val="24"/>
          <w:highlight w:val="none"/>
          <w:lang w:eastAsia="zh-CN"/>
        </w:rPr>
      </w:pPr>
      <w:r>
        <w:rPr>
          <w:rFonts w:hint="eastAsia" w:hAnsi="宋体"/>
          <w:b/>
          <w:bCs/>
          <w:color w:val="auto"/>
          <w:sz w:val="24"/>
          <w:highlight w:val="none"/>
        </w:rPr>
        <w:t>二</w:t>
      </w:r>
      <w:r>
        <w:rPr>
          <w:rFonts w:hint="eastAsia" w:hAnsi="宋体"/>
          <w:b/>
          <w:bCs/>
          <w:color w:val="auto"/>
          <w:spacing w:val="-6"/>
          <w:sz w:val="24"/>
          <w:highlight w:val="none"/>
        </w:rPr>
        <w:t>、项目名称：</w:t>
      </w:r>
      <w:r>
        <w:rPr>
          <w:rFonts w:hint="eastAsia" w:hAnsi="宋体"/>
          <w:b/>
          <w:bCs/>
          <w:color w:val="auto"/>
          <w:spacing w:val="-6"/>
          <w:sz w:val="24"/>
          <w:highlight w:val="none"/>
          <w:lang w:eastAsia="zh-CN"/>
        </w:rPr>
        <w:t>福建省龙岩华侨职业中专学校“龙飞凤舞”非遗嘉年华排练点心配送服务采购</w:t>
      </w:r>
    </w:p>
    <w:p w14:paraId="490D0524">
      <w:pPr>
        <w:spacing w:line="360" w:lineRule="auto"/>
        <w:ind w:firstLine="475" w:firstLineChars="198"/>
        <w:rPr>
          <w:rFonts w:ascii="宋体" w:hAnsi="宋体"/>
          <w:color w:val="auto"/>
          <w:sz w:val="24"/>
          <w:highlight w:val="none"/>
        </w:rPr>
      </w:pPr>
      <w:r>
        <w:rPr>
          <w:rFonts w:hint="eastAsia" w:ascii="宋体" w:hAnsi="宋体"/>
          <w:color w:val="auto"/>
          <w:sz w:val="24"/>
          <w:highlight w:val="none"/>
        </w:rPr>
        <w:t>三、项目内容:详见采购文件第三章。</w:t>
      </w:r>
    </w:p>
    <w:p w14:paraId="6E6BFDFA">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四、谈判供应商资质要求：</w:t>
      </w:r>
    </w:p>
    <w:p w14:paraId="52BB03D3">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（1）凡有能力提供本竞争性谈判文件所述货物及服务的，具有法人资格的境内供应商均可能成为合格的供应商。</w:t>
      </w:r>
    </w:p>
    <w:p w14:paraId="1A3111BB">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（2）谈判供应商应遵守中国的有关法律、法规和规章的规定。</w:t>
      </w:r>
    </w:p>
    <w:p w14:paraId="2DD36D00">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 谈判供应商之间存在下列互为关联关系的情形之一的，不得同时参加本项目投标：</w:t>
      </w:r>
    </w:p>
    <w:p w14:paraId="3CE04AA1">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A 法定代表人为同一人的两个及两个以上法人；</w:t>
      </w:r>
    </w:p>
    <w:p w14:paraId="68D90223">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B 母公司、直接或间接持股50％及以上的被投资公司；</w:t>
      </w:r>
    </w:p>
    <w:p w14:paraId="284E62C2">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C 均为同一家母公司直接或间接持股50％及以上的被投资公司。</w:t>
      </w:r>
    </w:p>
    <w:p w14:paraId="4BFF3E3E">
      <w:pPr>
        <w:pStyle w:val="2"/>
        <w:ind w:firstLine="482" w:firstLineChars="200"/>
        <w:rPr>
          <w:rFonts w:hint="eastAsia" w:ascii="宋体" w:hAnsi="宋体" w:eastAsia="宋体" w:cs="宋体"/>
          <w:b/>
          <w:bCs/>
          <w:color w:val="auto"/>
          <w:highlight w:val="none"/>
          <w:lang w:val="en-US" w:eastAsia="zh-CN"/>
        </w:rPr>
      </w:pPr>
      <w:r>
        <w:rPr>
          <w:rFonts w:hint="eastAsia" w:ascii="宋体" w:hAnsi="宋体" w:eastAsia="宋体" w:cs="宋体"/>
          <w:b/>
          <w:bCs/>
          <w:color w:val="auto"/>
          <w:sz w:val="24"/>
          <w:highlight w:val="none"/>
          <w:lang w:eastAsia="zh-CN"/>
        </w:rPr>
        <w:t>（</w:t>
      </w:r>
      <w:r>
        <w:rPr>
          <w:rFonts w:hint="eastAsia" w:ascii="宋体" w:hAnsi="宋体" w:eastAsia="宋体" w:cs="宋体"/>
          <w:b/>
          <w:bCs/>
          <w:color w:val="auto"/>
          <w:sz w:val="24"/>
          <w:highlight w:val="none"/>
          <w:lang w:val="en-US" w:eastAsia="zh-CN"/>
        </w:rPr>
        <w:t>4）特定条件：供应商具备有效的《食品生产许可证》或《食品经营许可证》或食品经营者备案信息采集表。</w:t>
      </w:r>
    </w:p>
    <w:p w14:paraId="66552B68">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谈判供应商如具备上述情形之一的，互为关联关系的谈判供应商的投标均被视为无效投标。</w:t>
      </w:r>
    </w:p>
    <w:p w14:paraId="68EC1685">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（5</w:t>
      </w:r>
      <w:r>
        <w:rPr>
          <w:rFonts w:hint="eastAsia" w:ascii="宋体" w:hAnsi="宋体"/>
          <w:color w:val="auto"/>
          <w:sz w:val="24"/>
          <w:highlight w:val="none"/>
          <w:lang w:eastAsia="zh-CN"/>
        </w:rPr>
        <w:t>）</w:t>
      </w:r>
      <w:r>
        <w:rPr>
          <w:rFonts w:hint="eastAsia" w:ascii="宋体" w:hAnsi="宋体"/>
          <w:b/>
          <w:color w:val="auto"/>
          <w:sz w:val="24"/>
          <w:highlight w:val="none"/>
        </w:rPr>
        <w:t>本项目不接受联合体参加投标。</w:t>
      </w:r>
    </w:p>
    <w:p w14:paraId="34670826">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（6）投标代理人在本次谈判中只能接受一个谈判供应商的委托参加投标。</w:t>
      </w:r>
    </w:p>
    <w:p w14:paraId="064889F6">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（7）谈判供应商按本竞争性谈判文件规定缴纳谈判保证金。</w:t>
      </w:r>
    </w:p>
    <w:p w14:paraId="435530AB">
      <w:pPr>
        <w:wordWrap w:val="0"/>
        <w:spacing w:line="360" w:lineRule="auto"/>
        <w:ind w:firstLine="480" w:firstLineChars="200"/>
        <w:rPr>
          <w:rFonts w:hint="eastAsia" w:ascii="宋体" w:hAnsi="宋体" w:cs="Arial"/>
          <w:color w:val="auto"/>
          <w:sz w:val="24"/>
          <w:highlight w:val="none"/>
        </w:rPr>
      </w:pPr>
      <w:r>
        <w:rPr>
          <w:rFonts w:hint="eastAsia" w:hAnsi="宋体"/>
          <w:color w:val="auto"/>
          <w:sz w:val="24"/>
          <w:highlight w:val="none"/>
        </w:rPr>
        <w:t>五、竞争性谈判文件购买时间</w:t>
      </w:r>
      <w:r>
        <w:rPr>
          <w:rFonts w:hint="eastAsia" w:hAnsi="宋体"/>
          <w:color w:val="auto"/>
          <w:sz w:val="24"/>
          <w:highlight w:val="none"/>
        </w:rPr>
        <w:t>：</w:t>
      </w:r>
      <w:r>
        <w:rPr>
          <w:rFonts w:hint="eastAsia" w:ascii="宋体" w:hAnsi="宋体" w:cs="宋体"/>
          <w:b/>
          <w:bCs/>
          <w:color w:val="auto"/>
          <w:sz w:val="24"/>
          <w:highlight w:val="none"/>
        </w:rPr>
        <w:t>202</w:t>
      </w:r>
      <w:r>
        <w:rPr>
          <w:rFonts w:hint="eastAsia" w:ascii="宋体" w:hAnsi="宋体" w:cs="宋体"/>
          <w:b/>
          <w:bCs/>
          <w:color w:val="auto"/>
          <w:sz w:val="24"/>
          <w:highlight w:val="none"/>
          <w:lang w:val="en-US" w:eastAsia="zh-CN"/>
        </w:rPr>
        <w:t>5</w:t>
      </w:r>
      <w:r>
        <w:rPr>
          <w:rFonts w:hint="eastAsia" w:ascii="宋体" w:hAnsi="宋体" w:cs="宋体"/>
          <w:b/>
          <w:bCs/>
          <w:color w:val="auto"/>
          <w:sz w:val="24"/>
          <w:highlight w:val="none"/>
        </w:rPr>
        <w:t>年0</w:t>
      </w:r>
      <w:r>
        <w:rPr>
          <w:rFonts w:hint="eastAsia" w:ascii="宋体" w:hAnsi="宋体" w:cs="宋体"/>
          <w:b/>
          <w:bCs/>
          <w:color w:val="auto"/>
          <w:sz w:val="24"/>
          <w:highlight w:val="none"/>
          <w:lang w:val="en-US" w:eastAsia="zh-CN"/>
        </w:rPr>
        <w:t>9</w:t>
      </w:r>
      <w:r>
        <w:rPr>
          <w:rFonts w:hint="eastAsia" w:ascii="宋体" w:hAnsi="宋体" w:cs="宋体"/>
          <w:b/>
          <w:bCs/>
          <w:color w:val="auto"/>
          <w:sz w:val="24"/>
          <w:highlight w:val="none"/>
        </w:rPr>
        <w:t>月</w:t>
      </w:r>
      <w:r>
        <w:rPr>
          <w:rFonts w:hint="eastAsia" w:ascii="宋体" w:hAnsi="宋体" w:cs="宋体"/>
          <w:b/>
          <w:bCs/>
          <w:color w:val="auto"/>
          <w:sz w:val="24"/>
          <w:highlight w:val="none"/>
          <w:lang w:val="en-US" w:eastAsia="zh-CN"/>
        </w:rPr>
        <w:t>01</w:t>
      </w:r>
      <w:r>
        <w:rPr>
          <w:rFonts w:hint="eastAsia" w:ascii="宋体" w:hAnsi="宋体" w:cs="宋体"/>
          <w:b/>
          <w:bCs/>
          <w:color w:val="auto"/>
          <w:sz w:val="24"/>
          <w:highlight w:val="none"/>
        </w:rPr>
        <w:t>日至202</w:t>
      </w:r>
      <w:r>
        <w:rPr>
          <w:rFonts w:hint="eastAsia" w:ascii="宋体" w:hAnsi="宋体" w:cs="宋体"/>
          <w:b/>
          <w:bCs/>
          <w:color w:val="auto"/>
          <w:sz w:val="24"/>
          <w:highlight w:val="none"/>
          <w:lang w:val="en-US" w:eastAsia="zh-CN"/>
        </w:rPr>
        <w:t>5</w:t>
      </w:r>
      <w:r>
        <w:rPr>
          <w:rFonts w:hint="eastAsia" w:ascii="宋体" w:hAnsi="宋体" w:cs="宋体"/>
          <w:b/>
          <w:bCs/>
          <w:color w:val="auto"/>
          <w:sz w:val="24"/>
          <w:highlight w:val="none"/>
        </w:rPr>
        <w:t>年0</w:t>
      </w:r>
      <w:r>
        <w:rPr>
          <w:rFonts w:hint="eastAsia" w:ascii="宋体" w:hAnsi="宋体" w:cs="宋体"/>
          <w:b/>
          <w:bCs/>
          <w:color w:val="auto"/>
          <w:sz w:val="24"/>
          <w:highlight w:val="none"/>
          <w:lang w:val="en-US" w:eastAsia="zh-CN"/>
        </w:rPr>
        <w:t>9</w:t>
      </w:r>
      <w:r>
        <w:rPr>
          <w:rFonts w:hint="eastAsia" w:ascii="宋体" w:hAnsi="宋体" w:cs="宋体"/>
          <w:b/>
          <w:bCs/>
          <w:color w:val="auto"/>
          <w:sz w:val="24"/>
          <w:highlight w:val="none"/>
        </w:rPr>
        <w:t>月</w:t>
      </w:r>
      <w:r>
        <w:rPr>
          <w:rFonts w:hint="eastAsia" w:ascii="宋体" w:hAnsi="宋体" w:cs="宋体"/>
          <w:b/>
          <w:bCs/>
          <w:color w:val="auto"/>
          <w:sz w:val="24"/>
          <w:highlight w:val="none"/>
          <w:lang w:val="en-US" w:eastAsia="zh-CN"/>
        </w:rPr>
        <w:t>03</w:t>
      </w:r>
      <w:r>
        <w:rPr>
          <w:rFonts w:hint="eastAsia" w:ascii="宋体" w:hAnsi="宋体" w:cs="宋体"/>
          <w:b/>
          <w:bCs/>
          <w:color w:val="auto"/>
          <w:sz w:val="24"/>
          <w:highlight w:val="none"/>
        </w:rPr>
        <w:t>日</w:t>
      </w:r>
      <w:r>
        <w:rPr>
          <w:rFonts w:hint="eastAsia" w:hAnsi="宋体"/>
          <w:color w:val="auto"/>
          <w:sz w:val="24"/>
          <w:highlight w:val="none"/>
        </w:rPr>
        <w:t>正常上班时间</w:t>
      </w:r>
      <w:r>
        <w:rPr>
          <w:rFonts w:hint="eastAsia" w:ascii="宋体" w:hAnsi="宋体"/>
          <w:bCs/>
          <w:color w:val="auto"/>
          <w:sz w:val="24"/>
          <w:highlight w:val="none"/>
        </w:rPr>
        <w:t>。</w:t>
      </w:r>
    </w:p>
    <w:p w14:paraId="0B9ADEC5">
      <w:pPr>
        <w:pStyle w:val="18"/>
        <w:wordWrap w:val="0"/>
        <w:spacing w:line="360" w:lineRule="auto"/>
        <w:ind w:firstLine="480" w:firstLineChars="200"/>
        <w:jc w:val="left"/>
        <w:rPr>
          <w:rFonts w:hint="eastAsia" w:hAnsi="宋体"/>
          <w:color w:val="auto"/>
          <w:sz w:val="24"/>
          <w:highlight w:val="none"/>
        </w:rPr>
      </w:pPr>
      <w:r>
        <w:rPr>
          <w:rFonts w:hint="eastAsia" w:hAnsi="宋体"/>
          <w:color w:val="auto"/>
          <w:sz w:val="24"/>
          <w:highlight w:val="none"/>
        </w:rPr>
        <w:t>六、采购文件</w:t>
      </w:r>
      <w:r>
        <w:rPr>
          <w:rFonts w:hint="eastAsia" w:hAnsi="宋体"/>
          <w:color w:val="auto"/>
          <w:sz w:val="24"/>
          <w:highlight w:val="none"/>
          <w:lang w:eastAsia="zh-CN"/>
        </w:rPr>
        <w:t>合同包1</w:t>
      </w:r>
      <w:r>
        <w:rPr>
          <w:rFonts w:hint="eastAsia" w:hAnsi="宋体"/>
          <w:color w:val="auto"/>
          <w:sz w:val="24"/>
          <w:highlight w:val="none"/>
        </w:rPr>
        <w:t>售价</w:t>
      </w:r>
      <w:r>
        <w:rPr>
          <w:rFonts w:hint="eastAsia" w:hAnsi="宋体"/>
          <w:color w:val="auto"/>
          <w:sz w:val="24"/>
          <w:highlight w:val="none"/>
          <w:u w:val="single"/>
        </w:rPr>
        <w:t>200</w:t>
      </w:r>
      <w:r>
        <w:rPr>
          <w:rFonts w:hint="eastAsia" w:hAnsi="宋体"/>
          <w:color w:val="auto"/>
          <w:sz w:val="24"/>
          <w:highlight w:val="none"/>
        </w:rPr>
        <w:t>元人民币/份，纸质竞争性谈判文件与电子竞争性谈判文件具有同等法律效力，竞争性谈判文件售后不退。</w:t>
      </w:r>
    </w:p>
    <w:p w14:paraId="1AFCD128">
      <w:pPr>
        <w:tabs>
          <w:tab w:val="center" w:pos="12420"/>
        </w:tabs>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七、接受谈判响应文件时间及地点：</w:t>
      </w:r>
      <w:r>
        <w:rPr>
          <w:rFonts w:hint="eastAsia" w:ascii="宋体" w:hAnsi="宋体"/>
          <w:b/>
          <w:bCs/>
          <w:color w:val="auto"/>
          <w:sz w:val="24"/>
          <w:highlight w:val="none"/>
        </w:rPr>
        <w:t>202</w:t>
      </w:r>
      <w:r>
        <w:rPr>
          <w:rFonts w:hint="eastAsia" w:ascii="宋体" w:hAnsi="宋体"/>
          <w:b/>
          <w:bCs/>
          <w:color w:val="auto"/>
          <w:sz w:val="24"/>
          <w:highlight w:val="none"/>
          <w:lang w:val="en-US" w:eastAsia="zh-CN"/>
        </w:rPr>
        <w:t>5</w:t>
      </w:r>
      <w:r>
        <w:rPr>
          <w:rFonts w:hint="eastAsia" w:ascii="宋体" w:hAnsi="宋体"/>
          <w:b/>
          <w:bCs/>
          <w:color w:val="auto"/>
          <w:sz w:val="24"/>
          <w:highlight w:val="none"/>
        </w:rPr>
        <w:t>年0</w:t>
      </w:r>
      <w:r>
        <w:rPr>
          <w:rFonts w:hint="eastAsia" w:ascii="宋体" w:hAnsi="宋体"/>
          <w:b/>
          <w:bCs/>
          <w:color w:val="auto"/>
          <w:sz w:val="24"/>
          <w:highlight w:val="none"/>
          <w:lang w:val="en-US" w:eastAsia="zh-CN"/>
        </w:rPr>
        <w:t>9</w:t>
      </w:r>
      <w:r>
        <w:rPr>
          <w:rFonts w:hint="eastAsia" w:ascii="宋体" w:hAnsi="宋体"/>
          <w:b/>
          <w:bCs/>
          <w:color w:val="auto"/>
          <w:sz w:val="24"/>
          <w:highlight w:val="none"/>
        </w:rPr>
        <w:t>月</w:t>
      </w:r>
      <w:r>
        <w:rPr>
          <w:rFonts w:hint="eastAsia" w:ascii="宋体" w:hAnsi="宋体"/>
          <w:b/>
          <w:bCs/>
          <w:color w:val="auto"/>
          <w:sz w:val="24"/>
          <w:highlight w:val="none"/>
          <w:lang w:val="en-US" w:eastAsia="zh-CN"/>
        </w:rPr>
        <w:t>04</w:t>
      </w:r>
      <w:r>
        <w:rPr>
          <w:rFonts w:hint="eastAsia" w:ascii="宋体" w:hAnsi="宋体"/>
          <w:b/>
          <w:bCs/>
          <w:color w:val="auto"/>
          <w:sz w:val="24"/>
          <w:highlight w:val="none"/>
        </w:rPr>
        <w:t>日</w:t>
      </w:r>
      <w:r>
        <w:rPr>
          <w:rFonts w:hint="eastAsia" w:ascii="宋体" w:hAnsi="宋体"/>
          <w:b/>
          <w:bCs/>
          <w:color w:val="auto"/>
          <w:sz w:val="24"/>
          <w:highlight w:val="none"/>
          <w:lang w:val="en-US" w:eastAsia="zh-CN"/>
        </w:rPr>
        <w:t>09</w:t>
      </w:r>
      <w:r>
        <w:rPr>
          <w:rFonts w:hint="eastAsia" w:ascii="宋体" w:hAnsi="宋体"/>
          <w:b/>
          <w:bCs/>
          <w:color w:val="auto"/>
          <w:sz w:val="24"/>
          <w:highlight w:val="none"/>
        </w:rPr>
        <w:t>:</w:t>
      </w:r>
      <w:r>
        <w:rPr>
          <w:rFonts w:hint="eastAsia" w:ascii="宋体" w:hAnsi="宋体"/>
          <w:b/>
          <w:bCs/>
          <w:color w:val="auto"/>
          <w:sz w:val="24"/>
          <w:highlight w:val="none"/>
          <w:lang w:val="en-US" w:eastAsia="zh-CN"/>
        </w:rPr>
        <w:t>00</w:t>
      </w:r>
      <w:r>
        <w:rPr>
          <w:rFonts w:ascii="宋体" w:hAnsi="宋体"/>
          <w:b/>
          <w:bCs/>
          <w:color w:val="auto"/>
          <w:sz w:val="24"/>
          <w:highlight w:val="none"/>
        </w:rPr>
        <w:t>-</w:t>
      </w:r>
      <w:r>
        <w:rPr>
          <w:rFonts w:hint="eastAsia" w:ascii="宋体" w:hAnsi="宋体"/>
          <w:b/>
          <w:bCs/>
          <w:color w:val="auto"/>
          <w:sz w:val="24"/>
          <w:highlight w:val="none"/>
          <w:lang w:val="en-US" w:eastAsia="zh-CN"/>
        </w:rPr>
        <w:t>09</w:t>
      </w:r>
      <w:r>
        <w:rPr>
          <w:rFonts w:hint="eastAsia" w:ascii="宋体" w:hAnsi="宋体"/>
          <w:b/>
          <w:bCs/>
          <w:color w:val="auto"/>
          <w:sz w:val="24"/>
          <w:highlight w:val="none"/>
        </w:rPr>
        <w:t>:</w:t>
      </w:r>
      <w:r>
        <w:rPr>
          <w:rFonts w:hint="eastAsia" w:ascii="宋体" w:hAnsi="宋体"/>
          <w:b/>
          <w:bCs/>
          <w:color w:val="auto"/>
          <w:sz w:val="24"/>
          <w:highlight w:val="none"/>
          <w:lang w:val="en-US" w:eastAsia="zh-CN"/>
        </w:rPr>
        <w:t>3</w:t>
      </w:r>
      <w:r>
        <w:rPr>
          <w:rFonts w:hint="eastAsia" w:ascii="宋体" w:hAnsi="宋体"/>
          <w:b/>
          <w:bCs/>
          <w:color w:val="auto"/>
          <w:sz w:val="24"/>
          <w:highlight w:val="none"/>
        </w:rPr>
        <w:t>0</w:t>
      </w:r>
      <w:r>
        <w:rPr>
          <w:rFonts w:hint="eastAsia" w:ascii="宋体" w:hAnsi="宋体"/>
          <w:color w:val="auto"/>
          <w:sz w:val="24"/>
          <w:highlight w:val="none"/>
        </w:rPr>
        <w:t>，</w:t>
      </w:r>
      <w:r>
        <w:rPr>
          <w:rFonts w:hint="eastAsia" w:ascii="宋体" w:hAnsi="宋体"/>
          <w:color w:val="auto"/>
          <w:sz w:val="24"/>
          <w:highlight w:val="none"/>
          <w:lang w:eastAsia="zh-CN"/>
        </w:rPr>
        <w:t>龙岩市新罗区龙岩大道万阳城A3梯1921室</w:t>
      </w:r>
      <w:r>
        <w:rPr>
          <w:rFonts w:hint="eastAsia" w:ascii="宋体" w:hAnsi="宋体"/>
          <w:color w:val="auto"/>
          <w:sz w:val="24"/>
          <w:highlight w:val="none"/>
        </w:rPr>
        <w:t>。</w:t>
      </w:r>
    </w:p>
    <w:p w14:paraId="0FF80612">
      <w:pPr>
        <w:tabs>
          <w:tab w:val="center" w:pos="12420"/>
        </w:tabs>
        <w:spacing w:line="360" w:lineRule="auto"/>
        <w:ind w:firstLine="480" w:firstLineChars="200"/>
        <w:rPr>
          <w:rFonts w:ascii="宋体" w:hAnsi="宋体"/>
          <w:color w:val="auto"/>
          <w:sz w:val="24"/>
          <w:highlight w:val="none"/>
        </w:rPr>
      </w:pPr>
      <w:r>
        <w:rPr>
          <w:rFonts w:hint="eastAsia" w:ascii="宋体" w:hAnsi="宋体"/>
          <w:color w:val="auto"/>
          <w:sz w:val="24"/>
          <w:highlight w:val="none"/>
        </w:rPr>
        <w:t>八、递交谈判响应文件截止时间：</w:t>
      </w:r>
      <w:r>
        <w:rPr>
          <w:rFonts w:hint="eastAsia" w:ascii="宋体" w:hAnsi="宋体"/>
          <w:b/>
          <w:bCs/>
          <w:color w:val="auto"/>
          <w:sz w:val="24"/>
          <w:highlight w:val="none"/>
        </w:rPr>
        <w:t>202</w:t>
      </w:r>
      <w:r>
        <w:rPr>
          <w:rFonts w:hint="eastAsia" w:ascii="宋体" w:hAnsi="宋体"/>
          <w:b/>
          <w:bCs/>
          <w:color w:val="auto"/>
          <w:sz w:val="24"/>
          <w:highlight w:val="none"/>
          <w:lang w:val="en-US" w:eastAsia="zh-CN"/>
        </w:rPr>
        <w:t>5</w:t>
      </w:r>
      <w:r>
        <w:rPr>
          <w:rFonts w:hint="eastAsia" w:ascii="宋体" w:hAnsi="宋体"/>
          <w:b/>
          <w:bCs/>
          <w:color w:val="auto"/>
          <w:sz w:val="24"/>
          <w:highlight w:val="none"/>
        </w:rPr>
        <w:t>年0</w:t>
      </w:r>
      <w:r>
        <w:rPr>
          <w:rFonts w:hint="eastAsia" w:ascii="宋体" w:hAnsi="宋体"/>
          <w:b/>
          <w:bCs/>
          <w:color w:val="auto"/>
          <w:sz w:val="24"/>
          <w:highlight w:val="none"/>
          <w:lang w:val="en-US" w:eastAsia="zh-CN"/>
        </w:rPr>
        <w:t>9</w:t>
      </w:r>
      <w:r>
        <w:rPr>
          <w:rFonts w:hint="eastAsia" w:ascii="宋体" w:hAnsi="宋体"/>
          <w:b/>
          <w:bCs/>
          <w:color w:val="auto"/>
          <w:sz w:val="24"/>
          <w:highlight w:val="none"/>
        </w:rPr>
        <w:t>月</w:t>
      </w:r>
      <w:r>
        <w:rPr>
          <w:rFonts w:hint="eastAsia" w:ascii="宋体" w:hAnsi="宋体"/>
          <w:b/>
          <w:bCs/>
          <w:color w:val="auto"/>
          <w:sz w:val="24"/>
          <w:highlight w:val="none"/>
          <w:lang w:val="en-US" w:eastAsia="zh-CN"/>
        </w:rPr>
        <w:t>04</w:t>
      </w:r>
      <w:r>
        <w:rPr>
          <w:rFonts w:hint="eastAsia" w:ascii="宋体" w:hAnsi="宋体"/>
          <w:b/>
          <w:bCs/>
          <w:color w:val="auto"/>
          <w:sz w:val="24"/>
          <w:highlight w:val="none"/>
        </w:rPr>
        <w:t>日</w:t>
      </w:r>
      <w:r>
        <w:rPr>
          <w:rFonts w:hint="eastAsia" w:ascii="宋体" w:hAnsi="宋体"/>
          <w:b/>
          <w:bCs/>
          <w:color w:val="auto"/>
          <w:sz w:val="24"/>
          <w:highlight w:val="none"/>
          <w:lang w:val="en-US" w:eastAsia="zh-CN"/>
        </w:rPr>
        <w:t>09</w:t>
      </w:r>
      <w:r>
        <w:rPr>
          <w:rFonts w:hint="eastAsia" w:ascii="宋体" w:hAnsi="宋体"/>
          <w:b/>
          <w:bCs/>
          <w:color w:val="auto"/>
          <w:sz w:val="24"/>
          <w:highlight w:val="none"/>
        </w:rPr>
        <w:t>:</w:t>
      </w:r>
      <w:r>
        <w:rPr>
          <w:rFonts w:hint="eastAsia" w:ascii="宋体" w:hAnsi="宋体"/>
          <w:b/>
          <w:bCs/>
          <w:color w:val="auto"/>
          <w:sz w:val="24"/>
          <w:highlight w:val="none"/>
          <w:lang w:val="en-US" w:eastAsia="zh-CN"/>
        </w:rPr>
        <w:t>3</w:t>
      </w:r>
      <w:r>
        <w:rPr>
          <w:rFonts w:hint="eastAsia" w:ascii="宋体" w:hAnsi="宋体"/>
          <w:b/>
          <w:bCs/>
          <w:color w:val="auto"/>
          <w:sz w:val="24"/>
          <w:highlight w:val="none"/>
        </w:rPr>
        <w:t>0</w:t>
      </w:r>
      <w:r>
        <w:rPr>
          <w:rFonts w:ascii="宋体" w:hAnsi="宋体"/>
          <w:color w:val="auto"/>
          <w:sz w:val="24"/>
          <w:highlight w:val="none"/>
        </w:rPr>
        <w:t>，逾期收到或不符合规定的</w:t>
      </w:r>
      <w:r>
        <w:rPr>
          <w:rFonts w:hint="eastAsia" w:ascii="宋体" w:hAnsi="宋体"/>
          <w:color w:val="auto"/>
          <w:sz w:val="24"/>
          <w:highlight w:val="none"/>
        </w:rPr>
        <w:t>谈判响应</w:t>
      </w:r>
      <w:r>
        <w:rPr>
          <w:rFonts w:ascii="宋体" w:hAnsi="宋体"/>
          <w:color w:val="auto"/>
          <w:sz w:val="24"/>
          <w:highlight w:val="none"/>
        </w:rPr>
        <w:t>文件恕不接受</w:t>
      </w:r>
      <w:r>
        <w:rPr>
          <w:rFonts w:hint="eastAsia" w:ascii="宋体" w:hAnsi="宋体"/>
          <w:color w:val="auto"/>
          <w:sz w:val="24"/>
          <w:highlight w:val="none"/>
        </w:rPr>
        <w:t>（时间以北京时间为准）</w:t>
      </w:r>
      <w:r>
        <w:rPr>
          <w:rFonts w:ascii="宋体" w:hAnsi="宋体"/>
          <w:color w:val="auto"/>
          <w:sz w:val="24"/>
          <w:highlight w:val="none"/>
        </w:rPr>
        <w:t>。</w:t>
      </w:r>
    </w:p>
    <w:p w14:paraId="21461D40">
      <w:pPr>
        <w:tabs>
          <w:tab w:val="center" w:pos="12420"/>
        </w:tabs>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九、谈判地点：</w:t>
      </w:r>
      <w:r>
        <w:rPr>
          <w:rFonts w:hint="eastAsia" w:ascii="宋体" w:hAnsi="宋体"/>
          <w:color w:val="auto"/>
          <w:sz w:val="24"/>
          <w:highlight w:val="none"/>
          <w:lang w:eastAsia="zh-CN"/>
        </w:rPr>
        <w:t>龙岩市新罗区龙岩大道万阳城A3梯1921室</w:t>
      </w:r>
      <w:r>
        <w:rPr>
          <w:rFonts w:hint="eastAsia" w:ascii="宋体" w:hAnsi="宋体"/>
          <w:color w:val="auto"/>
          <w:sz w:val="24"/>
          <w:highlight w:val="none"/>
        </w:rPr>
        <w:t>。</w:t>
      </w:r>
    </w:p>
    <w:p w14:paraId="33D70A78">
      <w:pPr>
        <w:tabs>
          <w:tab w:val="center" w:pos="12420"/>
        </w:tabs>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十、谈判供应商对本次采购活动事项提出疑问的，请在递交谈判响应文件截止时间2个</w:t>
      </w:r>
      <w:r>
        <w:rPr>
          <w:rFonts w:hint="eastAsia" w:ascii="宋体" w:hAnsi="宋体"/>
          <w:bCs/>
          <w:color w:val="auto"/>
          <w:sz w:val="24"/>
          <w:highlight w:val="none"/>
        </w:rPr>
        <w:t>工作日</w:t>
      </w:r>
      <w:r>
        <w:rPr>
          <w:rFonts w:hint="eastAsia" w:ascii="宋体" w:hAnsi="宋体"/>
          <w:color w:val="auto"/>
          <w:sz w:val="24"/>
          <w:highlight w:val="none"/>
        </w:rPr>
        <w:t>之前, 以书面、信函原件的形式与招标代理机构联系。</w:t>
      </w:r>
    </w:p>
    <w:p w14:paraId="790A9DA6">
      <w:pPr>
        <w:spacing w:line="360" w:lineRule="auto"/>
        <w:ind w:firstLine="480" w:firstLineChars="200"/>
        <w:rPr>
          <w:rFonts w:hint="eastAsia" w:ascii="宋体" w:hAnsi="宋体" w:cs="宋体"/>
          <w:color w:val="auto"/>
          <w:sz w:val="24"/>
          <w:highlight w:val="none"/>
        </w:rPr>
      </w:pPr>
      <w:r>
        <w:rPr>
          <w:rFonts w:hint="eastAsia" w:ascii="宋体" w:hAnsi="宋体"/>
          <w:color w:val="auto"/>
          <w:sz w:val="24"/>
          <w:highlight w:val="none"/>
        </w:rPr>
        <w:t>十一、以上若有变更，</w:t>
      </w:r>
      <w:r>
        <w:rPr>
          <w:rFonts w:hint="eastAsia" w:ascii="宋体" w:hAnsi="宋体"/>
          <w:color w:val="auto"/>
          <w:sz w:val="24"/>
          <w:highlight w:val="none"/>
          <w:lang w:eastAsia="zh-CN"/>
        </w:rPr>
        <w:t>福建优胜招标项目管理集团有限公司</w:t>
      </w:r>
      <w:r>
        <w:rPr>
          <w:rFonts w:hint="eastAsia" w:ascii="宋体" w:hAnsi="宋体"/>
          <w:color w:val="auto"/>
          <w:sz w:val="24"/>
          <w:highlight w:val="none"/>
        </w:rPr>
        <w:t>将通过</w:t>
      </w:r>
      <w:r>
        <w:rPr>
          <w:rFonts w:hint="eastAsia" w:ascii="宋体" w:hAnsi="宋体" w:cs="宋体"/>
          <w:color w:val="auto"/>
          <w:sz w:val="24"/>
          <w:highlight w:val="none"/>
        </w:rPr>
        <w:t>《</w:t>
      </w:r>
      <w:r>
        <w:rPr>
          <w:rFonts w:hint="eastAsia" w:ascii="宋体" w:hAnsi="宋体" w:cs="宋体"/>
          <w:color w:val="auto"/>
          <w:sz w:val="24"/>
          <w:highlight w:val="none"/>
          <w:lang w:eastAsia="zh-CN"/>
        </w:rPr>
        <w:t>福建优胜招标项目管理集团有限公司</w:t>
      </w:r>
      <w:r>
        <w:rPr>
          <w:rFonts w:hint="eastAsia" w:ascii="宋体" w:hAnsi="宋体" w:cs="宋体"/>
          <w:color w:val="auto"/>
          <w:sz w:val="24"/>
          <w:highlight w:val="none"/>
        </w:rPr>
        <w:t>》(</w:t>
      </w:r>
      <w:r>
        <w:rPr>
          <w:rFonts w:hint="eastAsia" w:ascii="宋体" w:hAnsi="宋体" w:cs="宋体"/>
          <w:color w:val="auto"/>
          <w:sz w:val="24"/>
          <w:highlight w:val="none"/>
          <w:lang w:eastAsia="zh-CN"/>
        </w:rPr>
        <w:t>https://www.fjyszb.com/</w:t>
      </w:r>
      <w:r>
        <w:rPr>
          <w:rFonts w:hint="eastAsia" w:ascii="宋体" w:hAnsi="宋体" w:cs="宋体"/>
          <w:color w:val="auto"/>
          <w:sz w:val="24"/>
          <w:highlight w:val="none"/>
        </w:rPr>
        <w:t>)通知，请谈判供应商关注。</w:t>
      </w:r>
    </w:p>
    <w:p w14:paraId="09AC5B6E">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招标代理机构：</w:t>
      </w:r>
      <w:r>
        <w:rPr>
          <w:rFonts w:hint="eastAsia" w:ascii="宋体" w:hAnsi="宋体" w:cs="宋体"/>
          <w:color w:val="auto"/>
          <w:sz w:val="24"/>
          <w:highlight w:val="none"/>
          <w:lang w:eastAsia="zh-CN"/>
        </w:rPr>
        <w:t>福建优胜招标项目管理集团有限公司</w:t>
      </w:r>
      <w:r>
        <w:rPr>
          <w:rFonts w:hint="eastAsia" w:ascii="宋体" w:hAnsi="宋体" w:cs="宋体"/>
          <w:color w:val="auto"/>
          <w:sz w:val="24"/>
          <w:highlight w:val="none"/>
        </w:rPr>
        <w:t>地  址：</w:t>
      </w:r>
      <w:r>
        <w:rPr>
          <w:rFonts w:hint="eastAsia" w:ascii="宋体" w:hAnsi="宋体" w:cs="宋体"/>
          <w:color w:val="auto"/>
          <w:sz w:val="24"/>
          <w:highlight w:val="none"/>
          <w:lang w:eastAsia="zh-CN"/>
        </w:rPr>
        <w:t>龙岩市新罗区龙岩大道万阳城A3梯1921室</w:t>
      </w:r>
      <w:r>
        <w:rPr>
          <w:rFonts w:hint="eastAsia" w:ascii="宋体" w:hAnsi="宋体" w:cs="宋体"/>
          <w:color w:val="auto"/>
          <w:sz w:val="24"/>
          <w:highlight w:val="none"/>
        </w:rPr>
        <w:t> </w:t>
      </w:r>
    </w:p>
    <w:p w14:paraId="050A85A4">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邮  编:364000</w:t>
      </w:r>
    </w:p>
    <w:p w14:paraId="0C24CC6E">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rPr>
        <w:t>电  话：</w:t>
      </w:r>
      <w:r>
        <w:rPr>
          <w:rFonts w:hint="eastAsia" w:ascii="宋体" w:hAnsi="宋体" w:cs="宋体"/>
          <w:color w:val="auto"/>
          <w:sz w:val="24"/>
          <w:highlight w:val="none"/>
          <w:lang w:eastAsia="zh-CN"/>
        </w:rPr>
        <w:t>0597-2283818</w:t>
      </w:r>
    </w:p>
    <w:p w14:paraId="3829D18A">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联系人：</w:t>
      </w:r>
      <w:r>
        <w:rPr>
          <w:rFonts w:hint="eastAsia" w:ascii="宋体" w:hAnsi="宋体" w:cs="宋体"/>
          <w:color w:val="auto"/>
          <w:sz w:val="24"/>
          <w:highlight w:val="none"/>
          <w:lang w:eastAsia="zh-CN"/>
        </w:rPr>
        <w:t>赖先生</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电子信箱：</w:t>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HYPERLINK "mailto:jhzbly@163.com"</w:instrText>
      </w:r>
      <w:r>
        <w:rPr>
          <w:rFonts w:hint="eastAsia" w:ascii="宋体" w:hAnsi="宋体" w:cs="宋体"/>
          <w:color w:val="auto"/>
          <w:sz w:val="24"/>
          <w:highlight w:val="none"/>
        </w:rPr>
        <w:fldChar w:fldCharType="separate"/>
      </w:r>
      <w:r>
        <w:rPr>
          <w:rFonts w:hint="eastAsia" w:ascii="宋体" w:hAnsi="宋体" w:cs="宋体"/>
          <w:color w:val="auto"/>
          <w:sz w:val="24"/>
          <w:highlight w:val="none"/>
          <w:lang w:eastAsia="zh-CN"/>
        </w:rPr>
        <w:t>fjlyyszb@163.com</w:t>
      </w:r>
      <w:r>
        <w:rPr>
          <w:rFonts w:hint="eastAsia" w:ascii="宋体" w:hAnsi="宋体" w:cs="宋体"/>
          <w:color w:val="auto"/>
          <w:sz w:val="24"/>
          <w:highlight w:val="none"/>
        </w:rPr>
        <w:fldChar w:fldCharType="end"/>
      </w:r>
    </w:p>
    <w:p w14:paraId="4CEB15B9">
      <w:pPr>
        <w:spacing w:line="440" w:lineRule="exact"/>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rPr>
        <w:t>开户名：</w:t>
      </w:r>
      <w:r>
        <w:rPr>
          <w:rFonts w:hint="eastAsia" w:ascii="宋体" w:hAnsi="宋体" w:cs="宋体"/>
          <w:color w:val="auto"/>
          <w:sz w:val="24"/>
          <w:highlight w:val="none"/>
          <w:lang w:eastAsia="zh-CN"/>
        </w:rPr>
        <w:t>福建优胜招标项目管理集团有限公司</w:t>
      </w:r>
      <w:r>
        <w:rPr>
          <w:rFonts w:hint="eastAsia" w:ascii="宋体" w:hAnsi="宋体" w:cs="宋体"/>
          <w:color w:val="auto"/>
          <w:sz w:val="24"/>
          <w:highlight w:val="none"/>
          <w:lang w:val="en-US" w:eastAsia="zh-CN"/>
        </w:rPr>
        <w:t xml:space="preserve">龙岩分公司  </w:t>
      </w:r>
    </w:p>
    <w:p w14:paraId="564C3C9F">
      <w:pPr>
        <w:spacing w:line="440" w:lineRule="exact"/>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rPr>
        <w:t>开户行：</w:t>
      </w:r>
      <w:r>
        <w:rPr>
          <w:rFonts w:hint="eastAsia" w:ascii="宋体" w:hAnsi="宋体" w:cs="宋体"/>
          <w:color w:val="auto"/>
          <w:sz w:val="24"/>
          <w:highlight w:val="none"/>
          <w:lang w:eastAsia="zh-CN"/>
        </w:rPr>
        <w:t>中国民生银行股份有限公司龙岩分行营业部</w:t>
      </w:r>
    </w:p>
    <w:p w14:paraId="2BC996FE">
      <w:pPr>
        <w:spacing w:line="44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账  号：</w:t>
      </w:r>
      <w:r>
        <w:rPr>
          <w:rFonts w:hint="eastAsia" w:ascii="宋体" w:hAnsi="宋体" w:cs="宋体"/>
          <w:color w:val="auto"/>
          <w:sz w:val="24"/>
          <w:highlight w:val="none"/>
          <w:lang w:eastAsia="zh-CN"/>
        </w:rPr>
        <w:t>65165 4604</w:t>
      </w:r>
      <w:r>
        <w:rPr>
          <w:rFonts w:hint="eastAsia" w:ascii="宋体" w:hAnsi="宋体" w:cs="宋体"/>
          <w:color w:val="auto"/>
          <w:sz w:val="24"/>
          <w:highlight w:val="none"/>
        </w:rPr>
        <w:t> </w:t>
      </w:r>
    </w:p>
    <w:p w14:paraId="5BF45CB4">
      <w:pPr>
        <w:spacing w:line="360" w:lineRule="auto"/>
        <w:ind w:firstLine="480" w:firstLineChars="200"/>
        <w:rPr>
          <w:rFonts w:hint="eastAsia" w:ascii="宋体" w:hAnsi="宋体" w:eastAsia="宋体"/>
          <w:color w:val="auto"/>
          <w:sz w:val="24"/>
          <w:highlight w:val="none"/>
          <w:lang w:eastAsia="zh-CN"/>
        </w:rPr>
      </w:pPr>
      <w:r>
        <w:rPr>
          <w:rFonts w:hint="eastAsia" w:ascii="宋体" w:hAnsi="宋体"/>
          <w:color w:val="auto"/>
          <w:sz w:val="24"/>
          <w:highlight w:val="none"/>
        </w:rPr>
        <w:t>采购人：</w:t>
      </w:r>
      <w:r>
        <w:rPr>
          <w:rFonts w:hint="eastAsia" w:ascii="宋体" w:hAnsi="宋体"/>
          <w:color w:val="auto"/>
          <w:sz w:val="24"/>
          <w:highlight w:val="none"/>
          <w:lang w:val="en-US" w:eastAsia="zh-CN"/>
        </w:rPr>
        <w:t>福建省龙岩华侨职业中专学校</w:t>
      </w:r>
    </w:p>
    <w:p w14:paraId="2785DDB7">
      <w:pPr>
        <w:spacing w:line="360" w:lineRule="auto"/>
        <w:ind w:firstLine="480" w:firstLineChars="200"/>
        <w:rPr>
          <w:rFonts w:hint="eastAsia" w:ascii="宋体" w:hAnsi="宋体"/>
          <w:color w:val="auto"/>
          <w:sz w:val="24"/>
          <w:highlight w:val="none"/>
          <w:lang w:val="en-US" w:eastAsia="zh-CN"/>
        </w:rPr>
      </w:pPr>
      <w:r>
        <w:rPr>
          <w:rFonts w:hint="eastAsia" w:ascii="宋体" w:hAnsi="宋体"/>
          <w:color w:val="auto"/>
          <w:sz w:val="24"/>
          <w:highlight w:val="none"/>
        </w:rPr>
        <w:t>采购联系人：</w:t>
      </w:r>
      <w:r>
        <w:rPr>
          <w:rFonts w:hint="eastAsia" w:ascii="宋体" w:hAnsi="宋体"/>
          <w:color w:val="auto"/>
          <w:sz w:val="24"/>
          <w:highlight w:val="none"/>
          <w:lang w:val="en-US" w:eastAsia="zh-CN"/>
        </w:rPr>
        <w:t>黄</w:t>
      </w:r>
      <w:r>
        <w:rPr>
          <w:rFonts w:hint="eastAsia" w:ascii="宋体" w:hAnsi="宋体"/>
          <w:color w:val="auto"/>
          <w:sz w:val="24"/>
          <w:highlight w:val="none"/>
        </w:rPr>
        <w:t>老师    电话：</w:t>
      </w:r>
      <w:r>
        <w:rPr>
          <w:rFonts w:hint="eastAsia" w:ascii="宋体" w:hAnsi="宋体"/>
          <w:color w:val="auto"/>
          <w:sz w:val="24"/>
          <w:highlight w:val="none"/>
          <w:lang w:val="en-US" w:eastAsia="zh-CN"/>
        </w:rPr>
        <w:t>13950808209</w:t>
      </w:r>
    </w:p>
    <w:p w14:paraId="55D2A29D">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附：竞争性谈判服务一览表</w:t>
      </w:r>
    </w:p>
    <w:p w14:paraId="577DD267">
      <w:pPr>
        <w:spacing w:line="360" w:lineRule="auto"/>
        <w:ind w:firstLine="480" w:firstLineChars="200"/>
        <w:jc w:val="center"/>
        <w:outlineLvl w:val="1"/>
        <w:rPr>
          <w:rFonts w:hint="eastAsia" w:ascii="宋体" w:hAnsi="宋体"/>
          <w:b/>
          <w:color w:val="auto"/>
          <w:sz w:val="24"/>
          <w:highlight w:val="none"/>
        </w:rPr>
      </w:pPr>
      <w:bookmarkStart w:id="2" w:name="_Toc9001"/>
      <w:r>
        <w:rPr>
          <w:rFonts w:hint="eastAsia" w:ascii="宋体" w:hAnsi="宋体"/>
          <w:color w:val="auto"/>
          <w:sz w:val="24"/>
          <w:highlight w:val="none"/>
        </w:rPr>
        <w:t>二、</w:t>
      </w:r>
      <w:r>
        <w:rPr>
          <w:rFonts w:hint="eastAsia" w:ascii="宋体" w:hAnsi="宋体"/>
          <w:b/>
          <w:color w:val="auto"/>
          <w:sz w:val="24"/>
          <w:highlight w:val="none"/>
        </w:rPr>
        <w:t>竞争性谈判服务一览表</w:t>
      </w:r>
      <w:bookmarkEnd w:id="2"/>
    </w:p>
    <w:tbl>
      <w:tblPr>
        <w:tblStyle w:val="31"/>
        <w:tblW w:w="9580" w:type="dxa"/>
        <w:jc w:val="center"/>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709"/>
        <w:gridCol w:w="1926"/>
        <w:gridCol w:w="832"/>
        <w:gridCol w:w="1322"/>
        <w:gridCol w:w="1773"/>
        <w:gridCol w:w="1548"/>
        <w:gridCol w:w="1470"/>
      </w:tblGrid>
      <w:tr w14:paraId="75C956D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PrEx>
        <w:trPr>
          <w:trHeight w:val="875" w:hRule="atLeast"/>
          <w:jc w:val="center"/>
        </w:trPr>
        <w:tc>
          <w:tcPr>
            <w:tcW w:w="709" w:type="dxa"/>
            <w:tcBorders>
              <w:top w:val="single" w:color="000000" w:sz="4" w:space="0"/>
              <w:left w:val="single" w:color="000000" w:sz="4" w:space="0"/>
              <w:bottom w:val="single" w:color="auto" w:sz="4" w:space="0"/>
              <w:right w:val="single" w:color="000000" w:sz="4" w:space="0"/>
            </w:tcBorders>
            <w:noWrap w:val="0"/>
            <w:tcMar>
              <w:top w:w="0" w:type="dxa"/>
              <w:left w:w="105" w:type="dxa"/>
              <w:bottom w:w="0" w:type="dxa"/>
              <w:right w:w="105" w:type="dxa"/>
            </w:tcMar>
            <w:vAlign w:val="center"/>
          </w:tcPr>
          <w:p w14:paraId="15B3FF9A">
            <w:pPr>
              <w:pStyle w:val="92"/>
              <w:jc w:val="center"/>
              <w:rPr>
                <w:color w:val="auto"/>
                <w:highlight w:val="none"/>
              </w:rPr>
            </w:pPr>
            <w:r>
              <w:rPr>
                <w:rFonts w:ascii="宋体" w:hAnsi="宋体" w:cs="宋体"/>
                <w:b/>
                <w:color w:val="auto"/>
                <w:sz w:val="24"/>
                <w:highlight w:val="none"/>
              </w:rPr>
              <w:t>合同包</w:t>
            </w:r>
          </w:p>
        </w:tc>
        <w:tc>
          <w:tcPr>
            <w:tcW w:w="1926" w:type="dxa"/>
            <w:tcBorders>
              <w:top w:val="single" w:color="000000" w:sz="4" w:space="0"/>
              <w:left w:val="single" w:color="000000" w:sz="4" w:space="0"/>
              <w:bottom w:val="single" w:color="auto" w:sz="4" w:space="0"/>
              <w:right w:val="single" w:color="000000" w:sz="4" w:space="0"/>
            </w:tcBorders>
            <w:noWrap w:val="0"/>
            <w:tcMar>
              <w:top w:w="0" w:type="dxa"/>
              <w:left w:w="105" w:type="dxa"/>
              <w:bottom w:w="0" w:type="dxa"/>
              <w:right w:w="105" w:type="dxa"/>
            </w:tcMar>
            <w:vAlign w:val="center"/>
          </w:tcPr>
          <w:p w14:paraId="45D4C5D6">
            <w:pPr>
              <w:jc w:val="center"/>
              <w:rPr>
                <w:color w:val="auto"/>
                <w:highlight w:val="none"/>
              </w:rPr>
            </w:pPr>
            <w:r>
              <w:rPr>
                <w:rFonts w:hint="eastAsia" w:ascii="宋体" w:hAnsi="宋体" w:cs="宋体"/>
                <w:b/>
                <w:color w:val="auto"/>
                <w:kern w:val="0"/>
                <w:sz w:val="24"/>
                <w:szCs w:val="20"/>
                <w:highlight w:val="none"/>
              </w:rPr>
              <w:t>品目名称</w:t>
            </w:r>
          </w:p>
        </w:tc>
        <w:tc>
          <w:tcPr>
            <w:tcW w:w="832" w:type="dxa"/>
            <w:tcBorders>
              <w:top w:val="single" w:color="000000" w:sz="4" w:space="0"/>
              <w:left w:val="single" w:color="000000" w:sz="4" w:space="0"/>
              <w:bottom w:val="single" w:color="auto" w:sz="4" w:space="0"/>
              <w:right w:val="single" w:color="000000" w:sz="4" w:space="0"/>
            </w:tcBorders>
            <w:noWrap w:val="0"/>
            <w:tcMar>
              <w:top w:w="0" w:type="dxa"/>
              <w:left w:w="105" w:type="dxa"/>
              <w:bottom w:w="0" w:type="dxa"/>
              <w:right w:w="105" w:type="dxa"/>
            </w:tcMar>
            <w:vAlign w:val="center"/>
          </w:tcPr>
          <w:p w14:paraId="03022ECB">
            <w:pPr>
              <w:pStyle w:val="92"/>
              <w:jc w:val="center"/>
              <w:rPr>
                <w:color w:val="auto"/>
                <w:highlight w:val="none"/>
              </w:rPr>
            </w:pPr>
            <w:r>
              <w:rPr>
                <w:rFonts w:ascii="宋体" w:hAnsi="宋体" w:cs="宋体"/>
                <w:b/>
                <w:color w:val="auto"/>
                <w:sz w:val="24"/>
                <w:highlight w:val="none"/>
              </w:rPr>
              <w:t>数量（批）</w:t>
            </w:r>
          </w:p>
        </w:tc>
        <w:tc>
          <w:tcPr>
            <w:tcW w:w="1322" w:type="dxa"/>
            <w:tcBorders>
              <w:top w:val="single" w:color="000000" w:sz="4" w:space="0"/>
              <w:left w:val="single" w:color="000000" w:sz="4" w:space="0"/>
              <w:bottom w:val="single" w:color="auto" w:sz="4" w:space="0"/>
              <w:right w:val="single" w:color="000000" w:sz="4" w:space="0"/>
            </w:tcBorders>
            <w:noWrap w:val="0"/>
            <w:tcMar>
              <w:top w:w="0" w:type="dxa"/>
              <w:left w:w="105" w:type="dxa"/>
              <w:bottom w:w="0" w:type="dxa"/>
              <w:right w:w="105" w:type="dxa"/>
            </w:tcMar>
            <w:vAlign w:val="center"/>
          </w:tcPr>
          <w:p w14:paraId="524D01B9">
            <w:pPr>
              <w:pStyle w:val="92"/>
              <w:jc w:val="center"/>
              <w:rPr>
                <w:color w:val="auto"/>
                <w:highlight w:val="none"/>
              </w:rPr>
            </w:pPr>
            <w:r>
              <w:rPr>
                <w:rFonts w:ascii="宋体" w:hAnsi="宋体" w:cs="宋体"/>
                <w:b/>
                <w:color w:val="auto"/>
                <w:sz w:val="24"/>
                <w:highlight w:val="none"/>
              </w:rPr>
              <w:t>技术参数</w:t>
            </w:r>
          </w:p>
        </w:tc>
        <w:tc>
          <w:tcPr>
            <w:tcW w:w="1773" w:type="dxa"/>
            <w:tcBorders>
              <w:top w:val="single" w:color="000000" w:sz="4" w:space="0"/>
              <w:left w:val="single" w:color="000000" w:sz="4" w:space="0"/>
              <w:bottom w:val="single" w:color="auto" w:sz="4" w:space="0"/>
              <w:right w:val="single" w:color="000000" w:sz="4" w:space="0"/>
            </w:tcBorders>
            <w:noWrap w:val="0"/>
            <w:tcMar>
              <w:top w:w="0" w:type="dxa"/>
              <w:left w:w="105" w:type="dxa"/>
              <w:bottom w:w="0" w:type="dxa"/>
              <w:right w:w="105" w:type="dxa"/>
            </w:tcMar>
            <w:vAlign w:val="center"/>
          </w:tcPr>
          <w:p w14:paraId="1139E583">
            <w:pPr>
              <w:pStyle w:val="92"/>
              <w:jc w:val="center"/>
              <w:rPr>
                <w:rFonts w:ascii="宋体" w:hAnsi="宋体" w:cs="宋体"/>
                <w:b/>
                <w:color w:val="auto"/>
                <w:sz w:val="24"/>
                <w:highlight w:val="none"/>
              </w:rPr>
            </w:pPr>
            <w:r>
              <w:rPr>
                <w:rFonts w:ascii="宋体" w:hAnsi="宋体" w:cs="宋体"/>
                <w:b/>
                <w:color w:val="auto"/>
                <w:sz w:val="24"/>
                <w:highlight w:val="none"/>
              </w:rPr>
              <w:t>预算总价</w:t>
            </w:r>
          </w:p>
          <w:p w14:paraId="21CD9503">
            <w:pPr>
              <w:pStyle w:val="92"/>
              <w:jc w:val="center"/>
              <w:rPr>
                <w:color w:val="auto"/>
                <w:highlight w:val="none"/>
              </w:rPr>
            </w:pPr>
            <w:r>
              <w:rPr>
                <w:rFonts w:ascii="宋体" w:hAnsi="宋体" w:cs="宋体"/>
                <w:b/>
                <w:color w:val="auto"/>
                <w:sz w:val="24"/>
                <w:highlight w:val="none"/>
              </w:rPr>
              <w:t>（元）</w:t>
            </w:r>
          </w:p>
        </w:tc>
        <w:tc>
          <w:tcPr>
            <w:tcW w:w="1548" w:type="dxa"/>
            <w:tcBorders>
              <w:top w:val="single" w:color="000000" w:sz="4" w:space="0"/>
              <w:left w:val="single" w:color="000000" w:sz="4" w:space="0"/>
              <w:bottom w:val="single" w:color="auto" w:sz="4" w:space="0"/>
              <w:right w:val="single" w:color="000000" w:sz="4" w:space="0"/>
            </w:tcBorders>
            <w:noWrap w:val="0"/>
            <w:tcMar>
              <w:top w:w="0" w:type="dxa"/>
              <w:left w:w="105" w:type="dxa"/>
              <w:bottom w:w="0" w:type="dxa"/>
              <w:right w:w="105" w:type="dxa"/>
            </w:tcMar>
            <w:vAlign w:val="center"/>
          </w:tcPr>
          <w:p w14:paraId="7480E073">
            <w:pPr>
              <w:pStyle w:val="92"/>
              <w:jc w:val="center"/>
              <w:rPr>
                <w:color w:val="auto"/>
                <w:highlight w:val="none"/>
              </w:rPr>
            </w:pPr>
            <w:r>
              <w:rPr>
                <w:rFonts w:ascii="宋体" w:hAnsi="宋体" w:cs="宋体"/>
                <w:b/>
                <w:color w:val="auto"/>
                <w:sz w:val="24"/>
                <w:highlight w:val="none"/>
              </w:rPr>
              <w:t>服务时间</w:t>
            </w:r>
          </w:p>
        </w:tc>
        <w:tc>
          <w:tcPr>
            <w:tcW w:w="1470" w:type="dxa"/>
            <w:tcBorders>
              <w:top w:val="single" w:color="000000" w:sz="4" w:space="0"/>
              <w:left w:val="single" w:color="000000" w:sz="4" w:space="0"/>
              <w:bottom w:val="single" w:color="auto" w:sz="4" w:space="0"/>
              <w:right w:val="single" w:color="000000" w:sz="4" w:space="0"/>
            </w:tcBorders>
            <w:noWrap w:val="0"/>
            <w:tcMar>
              <w:top w:w="0" w:type="dxa"/>
              <w:left w:w="105" w:type="dxa"/>
              <w:bottom w:w="0" w:type="dxa"/>
              <w:right w:w="105" w:type="dxa"/>
            </w:tcMar>
            <w:vAlign w:val="center"/>
          </w:tcPr>
          <w:p w14:paraId="134BF751">
            <w:pPr>
              <w:pStyle w:val="92"/>
              <w:jc w:val="center"/>
              <w:rPr>
                <w:rFonts w:hint="default" w:ascii="宋体" w:hAnsi="宋体" w:cs="宋体"/>
                <w:b/>
                <w:color w:val="auto"/>
                <w:sz w:val="24"/>
                <w:highlight w:val="none"/>
              </w:rPr>
            </w:pPr>
            <w:r>
              <w:rPr>
                <w:rFonts w:ascii="宋体" w:hAnsi="宋体" w:cs="宋体"/>
                <w:b/>
                <w:color w:val="auto"/>
                <w:sz w:val="24"/>
                <w:highlight w:val="none"/>
              </w:rPr>
              <w:t>投标保证金（元）</w:t>
            </w:r>
          </w:p>
        </w:tc>
      </w:tr>
      <w:tr w14:paraId="02CCFEB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157" w:hRule="atLeast"/>
          <w:jc w:val="center"/>
        </w:trPr>
        <w:tc>
          <w:tcPr>
            <w:tcW w:w="709"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14:paraId="2CB59026">
            <w:pPr>
              <w:pStyle w:val="92"/>
              <w:jc w:val="center"/>
              <w:rPr>
                <w:color w:val="auto"/>
                <w:highlight w:val="none"/>
              </w:rPr>
            </w:pPr>
            <w:r>
              <w:rPr>
                <w:rFonts w:ascii="宋体" w:hAnsi="宋体" w:cs="宋体"/>
                <w:b/>
                <w:color w:val="auto"/>
                <w:sz w:val="24"/>
                <w:highlight w:val="none"/>
              </w:rPr>
              <w:t>1</w:t>
            </w:r>
          </w:p>
        </w:tc>
        <w:tc>
          <w:tcPr>
            <w:tcW w:w="192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14:paraId="37A2997D">
            <w:pPr>
              <w:pStyle w:val="92"/>
              <w:jc w:val="center"/>
              <w:rPr>
                <w:rFonts w:ascii="宋体" w:hAnsi="宋体" w:cs="宋体"/>
                <w:b/>
                <w:color w:val="auto"/>
                <w:sz w:val="24"/>
                <w:highlight w:val="none"/>
              </w:rPr>
            </w:pPr>
            <w:r>
              <w:rPr>
                <w:rFonts w:hint="eastAsia" w:ascii="宋体" w:hAnsi="宋体" w:cs="宋体"/>
                <w:b/>
                <w:color w:val="auto"/>
                <w:sz w:val="24"/>
                <w:highlight w:val="none"/>
                <w:lang w:eastAsia="zh-CN"/>
              </w:rPr>
              <w:t>“</w:t>
            </w:r>
            <w:r>
              <w:rPr>
                <w:rFonts w:hint="eastAsia" w:ascii="宋体" w:hAnsi="宋体" w:cs="宋体"/>
                <w:b/>
                <w:color w:val="auto"/>
                <w:sz w:val="24"/>
                <w:highlight w:val="none"/>
                <w:lang w:val="en-US" w:eastAsia="zh-CN"/>
              </w:rPr>
              <w:t>龙飞凤舞</w:t>
            </w:r>
            <w:r>
              <w:rPr>
                <w:rFonts w:hint="eastAsia" w:ascii="宋体" w:hAnsi="宋体" w:cs="宋体"/>
                <w:b/>
                <w:color w:val="auto"/>
                <w:sz w:val="24"/>
                <w:highlight w:val="none"/>
                <w:lang w:eastAsia="zh-CN"/>
              </w:rPr>
              <w:t>”</w:t>
            </w:r>
            <w:r>
              <w:rPr>
                <w:rFonts w:hint="eastAsia" w:ascii="宋体" w:hAnsi="宋体" w:cs="宋体"/>
                <w:b/>
                <w:color w:val="auto"/>
                <w:sz w:val="24"/>
                <w:highlight w:val="none"/>
                <w:lang w:val="en-US" w:eastAsia="zh-CN"/>
              </w:rPr>
              <w:t>非遗嘉年华排练点心配送服务</w:t>
            </w:r>
          </w:p>
        </w:tc>
        <w:tc>
          <w:tcPr>
            <w:tcW w:w="832"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14:paraId="47CDE4FF">
            <w:pPr>
              <w:pStyle w:val="92"/>
              <w:jc w:val="center"/>
              <w:rPr>
                <w:rFonts w:hint="default"/>
                <w:color w:val="auto"/>
                <w:highlight w:val="none"/>
              </w:rPr>
            </w:pPr>
            <w:r>
              <w:rPr>
                <w:rFonts w:ascii="宋体" w:hAnsi="宋体" w:cs="宋体"/>
                <w:bCs/>
                <w:color w:val="auto"/>
                <w:sz w:val="24"/>
                <w:szCs w:val="24"/>
                <w:highlight w:val="none"/>
              </w:rPr>
              <w:t>1</w:t>
            </w:r>
          </w:p>
        </w:tc>
        <w:tc>
          <w:tcPr>
            <w:tcW w:w="1322"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14:paraId="376E82B3">
            <w:pPr>
              <w:pStyle w:val="92"/>
              <w:jc w:val="center"/>
              <w:rPr>
                <w:bCs/>
                <w:color w:val="auto"/>
                <w:highlight w:val="none"/>
              </w:rPr>
            </w:pPr>
            <w:r>
              <w:rPr>
                <w:rFonts w:ascii="宋体" w:hAnsi="宋体" w:cs="宋体"/>
                <w:bCs/>
                <w:color w:val="auto"/>
                <w:sz w:val="24"/>
                <w:highlight w:val="none"/>
              </w:rPr>
              <w:t>详见谈判文件</w:t>
            </w:r>
          </w:p>
        </w:tc>
        <w:tc>
          <w:tcPr>
            <w:tcW w:w="1773"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14:paraId="1C9CA278">
            <w:pPr>
              <w:pStyle w:val="92"/>
              <w:jc w:val="center"/>
              <w:rPr>
                <w:rFonts w:hint="default" w:eastAsia="宋体"/>
                <w:color w:val="auto"/>
                <w:highlight w:val="none"/>
                <w:lang w:val="en-US" w:eastAsia="zh-CN"/>
              </w:rPr>
            </w:pPr>
            <w:r>
              <w:rPr>
                <w:rFonts w:hint="eastAsia" w:ascii="宋体" w:hAnsi="宋体" w:cs="宋体"/>
                <w:color w:val="auto"/>
                <w:sz w:val="24"/>
                <w:szCs w:val="24"/>
                <w:highlight w:val="none"/>
                <w:lang w:val="en-US" w:eastAsia="zh-CN"/>
              </w:rPr>
              <w:t>227240</w:t>
            </w:r>
          </w:p>
        </w:tc>
        <w:tc>
          <w:tcPr>
            <w:tcW w:w="154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14:paraId="521C17E6">
            <w:pPr>
              <w:pStyle w:val="92"/>
              <w:jc w:val="both"/>
              <w:rPr>
                <w:rFonts w:hint="eastAsia" w:ascii="宋体" w:hAnsi="宋体" w:eastAsia="宋体" w:cs="宋体"/>
                <w:bCs/>
                <w:color w:val="auto"/>
                <w:sz w:val="24"/>
                <w:szCs w:val="24"/>
                <w:highlight w:val="none"/>
                <w:lang w:val="en-US" w:eastAsia="zh-CN"/>
              </w:rPr>
            </w:pPr>
          </w:p>
          <w:p w14:paraId="7C5455C9">
            <w:pPr>
              <w:pStyle w:val="92"/>
              <w:ind w:firstLine="0" w:firstLineChars="0"/>
              <w:jc w:val="both"/>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合同签订后15日完成</w:t>
            </w:r>
          </w:p>
          <w:p w14:paraId="5CE52508">
            <w:pPr>
              <w:rPr>
                <w:color w:val="auto"/>
                <w:highlight w:val="none"/>
              </w:rPr>
            </w:pPr>
          </w:p>
        </w:tc>
        <w:tc>
          <w:tcPr>
            <w:tcW w:w="147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14:paraId="48B1E8DF">
            <w:pPr>
              <w:pStyle w:val="92"/>
              <w:jc w:val="center"/>
              <w:rPr>
                <w:rFonts w:hint="default"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3000</w:t>
            </w:r>
          </w:p>
        </w:tc>
      </w:tr>
    </w:tbl>
    <w:p w14:paraId="47401E4C">
      <w:pPr>
        <w:spacing w:line="360" w:lineRule="auto"/>
        <w:outlineLvl w:val="0"/>
        <w:rPr>
          <w:rFonts w:hint="eastAsia" w:ascii="宋体" w:hAnsi="宋体"/>
          <w:b/>
          <w:bCs/>
          <w:color w:val="auto"/>
          <w:sz w:val="30"/>
          <w:szCs w:val="30"/>
          <w:highlight w:val="none"/>
        </w:rPr>
      </w:pPr>
      <w:bookmarkStart w:id="3" w:name="_Toc27151"/>
    </w:p>
    <w:p w14:paraId="2095EEE3">
      <w:pPr>
        <w:spacing w:line="360" w:lineRule="auto"/>
        <w:jc w:val="center"/>
        <w:outlineLvl w:val="0"/>
        <w:rPr>
          <w:rFonts w:hint="eastAsia" w:ascii="宋体" w:hAnsi="宋体"/>
          <w:b/>
          <w:bCs/>
          <w:color w:val="auto"/>
          <w:sz w:val="30"/>
          <w:szCs w:val="30"/>
          <w:highlight w:val="none"/>
        </w:rPr>
      </w:pPr>
    </w:p>
    <w:p w14:paraId="2CDC7CC9">
      <w:pPr>
        <w:spacing w:line="360" w:lineRule="auto"/>
        <w:jc w:val="center"/>
        <w:outlineLvl w:val="0"/>
        <w:rPr>
          <w:rFonts w:hint="eastAsia" w:ascii="宋体" w:hAnsi="宋体"/>
          <w:b/>
          <w:bCs/>
          <w:color w:val="auto"/>
          <w:sz w:val="30"/>
          <w:szCs w:val="30"/>
          <w:highlight w:val="none"/>
        </w:rPr>
      </w:pPr>
    </w:p>
    <w:p w14:paraId="3E1663F8">
      <w:pPr>
        <w:spacing w:line="360" w:lineRule="auto"/>
        <w:jc w:val="center"/>
        <w:outlineLvl w:val="0"/>
        <w:rPr>
          <w:rFonts w:hint="eastAsia" w:ascii="宋体" w:hAnsi="宋体"/>
          <w:b/>
          <w:bCs/>
          <w:color w:val="auto"/>
          <w:sz w:val="30"/>
          <w:szCs w:val="30"/>
          <w:highlight w:val="none"/>
        </w:rPr>
      </w:pPr>
      <w:r>
        <w:rPr>
          <w:rFonts w:hint="eastAsia" w:ascii="宋体" w:hAnsi="宋体"/>
          <w:b/>
          <w:bCs/>
          <w:color w:val="auto"/>
          <w:sz w:val="30"/>
          <w:szCs w:val="30"/>
          <w:highlight w:val="none"/>
        </w:rPr>
        <w:t>第二章  谈判供应商须知</w:t>
      </w:r>
      <w:bookmarkEnd w:id="3"/>
    </w:p>
    <w:p w14:paraId="05BD6AA9">
      <w:pPr>
        <w:spacing w:line="360" w:lineRule="auto"/>
        <w:jc w:val="center"/>
        <w:outlineLvl w:val="1"/>
        <w:rPr>
          <w:rFonts w:hint="eastAsia" w:ascii="宋体" w:hAnsi="宋体"/>
          <w:b/>
          <w:bCs/>
          <w:color w:val="auto"/>
          <w:sz w:val="32"/>
          <w:highlight w:val="none"/>
        </w:rPr>
      </w:pPr>
      <w:bookmarkStart w:id="4" w:name="_Toc14266"/>
      <w:r>
        <w:rPr>
          <w:rFonts w:hint="eastAsia" w:ascii="宋体" w:hAnsi="宋体"/>
          <w:color w:val="auto"/>
          <w:sz w:val="24"/>
          <w:highlight w:val="none"/>
        </w:rPr>
        <w:t>谈判供应商须知前附表</w:t>
      </w:r>
      <w:bookmarkEnd w:id="4"/>
    </w:p>
    <w:p w14:paraId="003A5BD5">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本须知前附表的条款号是与《谈判供应商须知》中条款的项号相对应的，如果不一致的话，应以本须知前附表为准。</w:t>
      </w:r>
      <w:r>
        <w:rPr>
          <w:rFonts w:ascii="宋体" w:hAnsi="宋体"/>
          <w:color w:val="auto"/>
          <w:sz w:val="24"/>
          <w:highlight w:val="none"/>
        </w:rPr>
        <w:t xml:space="preserve"> </w:t>
      </w:r>
    </w:p>
    <w:tbl>
      <w:tblPr>
        <w:tblStyle w:val="31"/>
        <w:tblW w:w="91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955"/>
        <w:gridCol w:w="7463"/>
      </w:tblGrid>
      <w:tr w14:paraId="7B052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70" w:type="dxa"/>
            <w:noWrap w:val="0"/>
            <w:vAlign w:val="top"/>
          </w:tcPr>
          <w:p w14:paraId="3EEC249E">
            <w:pPr>
              <w:spacing w:line="360" w:lineRule="auto"/>
              <w:jc w:val="center"/>
              <w:rPr>
                <w:rFonts w:ascii="宋体" w:hAnsi="宋体"/>
                <w:color w:val="auto"/>
                <w:sz w:val="24"/>
                <w:highlight w:val="none"/>
              </w:rPr>
            </w:pPr>
            <w:r>
              <w:rPr>
                <w:rFonts w:hint="eastAsia" w:ascii="宋体" w:hAnsi="宋体"/>
                <w:color w:val="auto"/>
                <w:sz w:val="24"/>
                <w:highlight w:val="none"/>
              </w:rPr>
              <w:t>项号</w:t>
            </w:r>
          </w:p>
        </w:tc>
        <w:tc>
          <w:tcPr>
            <w:tcW w:w="955" w:type="dxa"/>
            <w:noWrap w:val="0"/>
            <w:vAlign w:val="top"/>
          </w:tcPr>
          <w:p w14:paraId="3225AFE0">
            <w:pPr>
              <w:spacing w:line="360" w:lineRule="auto"/>
              <w:jc w:val="center"/>
              <w:rPr>
                <w:rFonts w:ascii="宋体" w:hAnsi="宋体"/>
                <w:color w:val="auto"/>
                <w:sz w:val="24"/>
                <w:highlight w:val="none"/>
              </w:rPr>
            </w:pPr>
            <w:r>
              <w:rPr>
                <w:rFonts w:hint="eastAsia" w:ascii="宋体" w:hAnsi="宋体"/>
                <w:color w:val="auto"/>
                <w:sz w:val="24"/>
                <w:highlight w:val="none"/>
              </w:rPr>
              <w:t>条款号</w:t>
            </w:r>
          </w:p>
        </w:tc>
        <w:tc>
          <w:tcPr>
            <w:tcW w:w="7463" w:type="dxa"/>
            <w:noWrap w:val="0"/>
            <w:vAlign w:val="top"/>
          </w:tcPr>
          <w:p w14:paraId="69D1A6B3">
            <w:pPr>
              <w:spacing w:line="360" w:lineRule="auto"/>
              <w:ind w:firstLine="480" w:firstLineChars="200"/>
              <w:jc w:val="center"/>
              <w:rPr>
                <w:rFonts w:ascii="宋体" w:hAnsi="宋体"/>
                <w:color w:val="auto"/>
                <w:sz w:val="24"/>
                <w:highlight w:val="none"/>
              </w:rPr>
            </w:pPr>
            <w:r>
              <w:rPr>
                <w:rFonts w:hint="eastAsia" w:ascii="宋体" w:hAnsi="宋体"/>
                <w:color w:val="auto"/>
                <w:sz w:val="24"/>
                <w:highlight w:val="none"/>
              </w:rPr>
              <w:t>编</w:t>
            </w:r>
            <w:r>
              <w:rPr>
                <w:rFonts w:ascii="宋体" w:hAnsi="宋体"/>
                <w:color w:val="auto"/>
                <w:sz w:val="24"/>
                <w:highlight w:val="none"/>
              </w:rPr>
              <w:t xml:space="preserve">   </w:t>
            </w:r>
            <w:r>
              <w:rPr>
                <w:rFonts w:hint="eastAsia" w:ascii="宋体" w:hAnsi="宋体"/>
                <w:color w:val="auto"/>
                <w:sz w:val="24"/>
                <w:highlight w:val="none"/>
              </w:rPr>
              <w:t>列</w:t>
            </w:r>
            <w:r>
              <w:rPr>
                <w:rFonts w:ascii="宋体" w:hAnsi="宋体"/>
                <w:color w:val="auto"/>
                <w:sz w:val="24"/>
                <w:highlight w:val="none"/>
              </w:rPr>
              <w:t xml:space="preserve">   </w:t>
            </w:r>
            <w:r>
              <w:rPr>
                <w:rFonts w:hint="eastAsia" w:ascii="宋体" w:hAnsi="宋体"/>
                <w:color w:val="auto"/>
                <w:sz w:val="24"/>
                <w:highlight w:val="none"/>
              </w:rPr>
              <w:t>内</w:t>
            </w:r>
            <w:r>
              <w:rPr>
                <w:rFonts w:ascii="宋体" w:hAnsi="宋体"/>
                <w:color w:val="auto"/>
                <w:sz w:val="24"/>
                <w:highlight w:val="none"/>
              </w:rPr>
              <w:t xml:space="preserve">    </w:t>
            </w:r>
            <w:r>
              <w:rPr>
                <w:rFonts w:hint="eastAsia" w:ascii="宋体" w:hAnsi="宋体"/>
                <w:color w:val="auto"/>
                <w:sz w:val="24"/>
                <w:highlight w:val="none"/>
              </w:rPr>
              <w:t>容</w:t>
            </w:r>
          </w:p>
        </w:tc>
      </w:tr>
      <w:tr w14:paraId="6D15C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7" w:hRule="atLeast"/>
          <w:jc w:val="center"/>
        </w:trPr>
        <w:tc>
          <w:tcPr>
            <w:tcW w:w="770" w:type="dxa"/>
            <w:noWrap w:val="0"/>
            <w:vAlign w:val="center"/>
          </w:tcPr>
          <w:p w14:paraId="47FF0367">
            <w:pPr>
              <w:spacing w:line="360" w:lineRule="auto"/>
              <w:jc w:val="center"/>
              <w:rPr>
                <w:rFonts w:ascii="宋体" w:hAnsi="宋体"/>
                <w:color w:val="auto"/>
                <w:sz w:val="24"/>
                <w:highlight w:val="none"/>
              </w:rPr>
            </w:pPr>
            <w:r>
              <w:rPr>
                <w:rFonts w:ascii="宋体" w:hAnsi="宋体"/>
                <w:color w:val="auto"/>
                <w:sz w:val="24"/>
                <w:highlight w:val="none"/>
              </w:rPr>
              <w:t>1</w:t>
            </w:r>
          </w:p>
        </w:tc>
        <w:tc>
          <w:tcPr>
            <w:tcW w:w="955" w:type="dxa"/>
            <w:noWrap w:val="0"/>
            <w:vAlign w:val="center"/>
          </w:tcPr>
          <w:p w14:paraId="2FFE794C">
            <w:pPr>
              <w:spacing w:line="360" w:lineRule="auto"/>
              <w:jc w:val="center"/>
              <w:rPr>
                <w:rFonts w:ascii="宋体" w:hAnsi="宋体"/>
                <w:color w:val="auto"/>
                <w:sz w:val="24"/>
                <w:highlight w:val="none"/>
              </w:rPr>
            </w:pPr>
            <w:r>
              <w:rPr>
                <w:rFonts w:ascii="宋体" w:hAnsi="宋体"/>
                <w:color w:val="auto"/>
                <w:sz w:val="24"/>
                <w:highlight w:val="none"/>
              </w:rPr>
              <w:t>1.1</w:t>
            </w:r>
          </w:p>
        </w:tc>
        <w:tc>
          <w:tcPr>
            <w:tcW w:w="7463" w:type="dxa"/>
            <w:noWrap w:val="0"/>
            <w:vAlign w:val="center"/>
          </w:tcPr>
          <w:p w14:paraId="15EA1B65">
            <w:pPr>
              <w:spacing w:line="360" w:lineRule="auto"/>
              <w:rPr>
                <w:rFonts w:hint="eastAsia" w:ascii="宋体" w:hAnsi="宋体" w:eastAsia="宋体"/>
                <w:color w:val="auto"/>
                <w:sz w:val="24"/>
                <w:highlight w:val="none"/>
                <w:lang w:eastAsia="zh-CN"/>
              </w:rPr>
            </w:pPr>
            <w:r>
              <w:rPr>
                <w:rFonts w:hint="eastAsia" w:ascii="宋体" w:hAnsi="宋体"/>
                <w:color w:val="auto"/>
                <w:sz w:val="24"/>
                <w:highlight w:val="none"/>
              </w:rPr>
              <w:t>项目名称：</w:t>
            </w:r>
            <w:r>
              <w:rPr>
                <w:rFonts w:hint="eastAsia" w:ascii="宋体" w:hAnsi="宋体"/>
                <w:color w:val="auto"/>
                <w:sz w:val="24"/>
                <w:highlight w:val="none"/>
                <w:lang w:eastAsia="zh-CN"/>
              </w:rPr>
              <w:t>福建省龙岩华侨职业中专学校“龙飞凤舞”非遗嘉年华排练点心配送服务采购</w:t>
            </w:r>
          </w:p>
          <w:p w14:paraId="497CF7DC">
            <w:pPr>
              <w:spacing w:line="360" w:lineRule="auto"/>
              <w:rPr>
                <w:rFonts w:hint="eastAsia" w:ascii="宋体" w:hAnsi="宋体" w:eastAsia="宋体"/>
                <w:color w:val="auto"/>
                <w:spacing w:val="20"/>
                <w:sz w:val="24"/>
                <w:highlight w:val="none"/>
                <w:lang w:eastAsia="zh-CN"/>
              </w:rPr>
            </w:pPr>
            <w:r>
              <w:rPr>
                <w:rFonts w:hint="eastAsia" w:ascii="宋体" w:hAnsi="宋体"/>
                <w:color w:val="auto"/>
                <w:sz w:val="24"/>
                <w:highlight w:val="none"/>
              </w:rPr>
              <w:t>采购人名称：</w:t>
            </w:r>
            <w:r>
              <w:rPr>
                <w:rFonts w:hint="eastAsia" w:ascii="宋体" w:hAnsi="宋体"/>
                <w:color w:val="auto"/>
                <w:sz w:val="24"/>
                <w:highlight w:val="none"/>
                <w:lang w:eastAsia="zh-CN"/>
              </w:rPr>
              <w:t>福建省龙岩华侨职业中专学校</w:t>
            </w:r>
          </w:p>
          <w:p w14:paraId="7C9B20BF">
            <w:pPr>
              <w:spacing w:line="360" w:lineRule="auto"/>
              <w:rPr>
                <w:rFonts w:hint="eastAsia" w:ascii="宋体" w:hAnsi="宋体" w:eastAsia="宋体" w:cs="Arial"/>
                <w:color w:val="auto"/>
                <w:sz w:val="24"/>
                <w:highlight w:val="none"/>
                <w:u w:val="single"/>
                <w:lang w:eastAsia="zh-CN"/>
              </w:rPr>
            </w:pPr>
            <w:r>
              <w:rPr>
                <w:rFonts w:hint="eastAsia" w:ascii="宋体" w:hAnsi="宋体"/>
                <w:color w:val="auto"/>
                <w:sz w:val="24"/>
                <w:highlight w:val="none"/>
              </w:rPr>
              <w:t>项目编号</w:t>
            </w:r>
            <w:r>
              <w:rPr>
                <w:rFonts w:hint="eastAsia" w:ascii="宋体" w:hAnsi="宋体"/>
                <w:color w:val="auto"/>
                <w:sz w:val="24"/>
                <w:highlight w:val="none"/>
                <w:lang w:eastAsia="zh-CN"/>
              </w:rPr>
              <w:t>FJYSLY2025-023</w:t>
            </w:r>
          </w:p>
        </w:tc>
      </w:tr>
      <w:tr w14:paraId="12BC0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70" w:type="dxa"/>
            <w:noWrap w:val="0"/>
            <w:vAlign w:val="center"/>
          </w:tcPr>
          <w:p w14:paraId="390FF853">
            <w:pPr>
              <w:spacing w:line="360" w:lineRule="auto"/>
              <w:jc w:val="center"/>
              <w:rPr>
                <w:rFonts w:ascii="宋体" w:hAnsi="宋体"/>
                <w:color w:val="auto"/>
                <w:sz w:val="24"/>
                <w:highlight w:val="none"/>
              </w:rPr>
            </w:pPr>
            <w:r>
              <w:rPr>
                <w:rFonts w:ascii="宋体" w:hAnsi="宋体"/>
                <w:color w:val="auto"/>
                <w:sz w:val="24"/>
                <w:highlight w:val="none"/>
              </w:rPr>
              <w:t>2</w:t>
            </w:r>
          </w:p>
        </w:tc>
        <w:tc>
          <w:tcPr>
            <w:tcW w:w="955" w:type="dxa"/>
            <w:noWrap w:val="0"/>
            <w:vAlign w:val="center"/>
          </w:tcPr>
          <w:p w14:paraId="2B7ED386">
            <w:pPr>
              <w:spacing w:line="360" w:lineRule="auto"/>
              <w:jc w:val="center"/>
              <w:rPr>
                <w:rFonts w:hint="eastAsia" w:ascii="宋体" w:hAnsi="宋体"/>
                <w:color w:val="auto"/>
                <w:sz w:val="24"/>
                <w:highlight w:val="none"/>
              </w:rPr>
            </w:pPr>
            <w:r>
              <w:rPr>
                <w:rFonts w:hint="eastAsia" w:ascii="宋体" w:hAnsi="宋体"/>
                <w:color w:val="auto"/>
                <w:sz w:val="24"/>
                <w:highlight w:val="none"/>
              </w:rPr>
              <w:t>3</w:t>
            </w:r>
          </w:p>
        </w:tc>
        <w:tc>
          <w:tcPr>
            <w:tcW w:w="7463" w:type="dxa"/>
            <w:noWrap w:val="0"/>
            <w:vAlign w:val="center"/>
          </w:tcPr>
          <w:p w14:paraId="39F159D2">
            <w:pPr>
              <w:spacing w:line="360" w:lineRule="auto"/>
              <w:jc w:val="left"/>
              <w:rPr>
                <w:rFonts w:hint="eastAsia" w:ascii="宋体" w:hAnsi="宋体"/>
                <w:color w:val="auto"/>
                <w:sz w:val="24"/>
                <w:highlight w:val="none"/>
              </w:rPr>
            </w:pPr>
            <w:r>
              <w:rPr>
                <w:rFonts w:hint="eastAsia" w:ascii="宋体" w:hAnsi="宋体"/>
                <w:color w:val="auto"/>
                <w:sz w:val="24"/>
                <w:highlight w:val="none"/>
              </w:rPr>
              <w:t>资格标准：</w:t>
            </w:r>
          </w:p>
          <w:p w14:paraId="04F255DC">
            <w:pPr>
              <w:spacing w:line="360" w:lineRule="auto"/>
              <w:jc w:val="left"/>
              <w:rPr>
                <w:rFonts w:hint="eastAsia" w:ascii="宋体" w:hAnsi="宋体"/>
                <w:b/>
                <w:bCs/>
                <w:color w:val="auto"/>
                <w:sz w:val="24"/>
                <w:highlight w:val="none"/>
              </w:rPr>
            </w:pPr>
            <w:r>
              <w:rPr>
                <w:rFonts w:hint="eastAsia" w:ascii="宋体" w:hAnsi="宋体"/>
                <w:b/>
                <w:bCs/>
                <w:color w:val="auto"/>
                <w:sz w:val="24"/>
                <w:highlight w:val="none"/>
              </w:rPr>
              <w:t>1、凡有能力提供本谈判文件所述货物及服务的境内具有谈判资格的供应商均可能成为合格的谈判供应商。需提交以下资质证明文件：</w:t>
            </w:r>
          </w:p>
          <w:p w14:paraId="78890DED">
            <w:pPr>
              <w:spacing w:line="360" w:lineRule="auto"/>
              <w:jc w:val="left"/>
              <w:rPr>
                <w:rFonts w:hint="eastAsia" w:ascii="宋体" w:hAnsi="宋体"/>
                <w:b/>
                <w:bCs/>
                <w:color w:val="auto"/>
                <w:sz w:val="24"/>
                <w:highlight w:val="none"/>
              </w:rPr>
            </w:pPr>
            <w:r>
              <w:rPr>
                <w:rFonts w:hint="eastAsia" w:ascii="宋体" w:hAnsi="宋体"/>
                <w:b/>
                <w:bCs/>
                <w:color w:val="auto"/>
                <w:sz w:val="24"/>
                <w:highlight w:val="none"/>
              </w:rPr>
              <w:t>（1）已缴纳谈判保证金的证明材料复印件；</w:t>
            </w:r>
          </w:p>
          <w:p w14:paraId="4D5801B5">
            <w:pPr>
              <w:spacing w:line="360" w:lineRule="auto"/>
              <w:jc w:val="left"/>
              <w:rPr>
                <w:rFonts w:hint="eastAsia" w:ascii="宋体" w:hAnsi="宋体"/>
                <w:b/>
                <w:bCs/>
                <w:color w:val="auto"/>
                <w:sz w:val="24"/>
                <w:highlight w:val="none"/>
              </w:rPr>
            </w:pPr>
            <w:r>
              <w:rPr>
                <w:rFonts w:hint="eastAsia" w:ascii="宋体" w:hAnsi="宋体"/>
                <w:b/>
                <w:bCs/>
                <w:color w:val="auto"/>
                <w:sz w:val="24"/>
                <w:highlight w:val="none"/>
              </w:rPr>
              <w:t>（2）</w:t>
            </w:r>
            <w:r>
              <w:rPr>
                <w:rFonts w:hint="eastAsia" w:ascii="宋体" w:hAnsi="宋体" w:cs="宋体"/>
                <w:b/>
                <w:color w:val="auto"/>
                <w:sz w:val="24"/>
                <w:highlight w:val="none"/>
              </w:rPr>
              <w:t>有效的法人营业执照或分支机构或其他法人登记证书复印件</w:t>
            </w:r>
            <w:r>
              <w:rPr>
                <w:rFonts w:hint="eastAsia" w:ascii="宋体" w:hAnsi="宋体" w:cs="宋体"/>
                <w:b/>
                <w:color w:val="auto"/>
                <w:sz w:val="24"/>
                <w:highlight w:val="none"/>
                <w:lang w:val="en-US" w:eastAsia="zh-CN"/>
              </w:rPr>
              <w:t>或个体营业执照</w:t>
            </w:r>
            <w:r>
              <w:rPr>
                <w:rFonts w:hint="eastAsia" w:ascii="宋体" w:hAnsi="宋体" w:cs="宋体"/>
                <w:b/>
                <w:color w:val="auto"/>
                <w:sz w:val="24"/>
                <w:highlight w:val="none"/>
              </w:rPr>
              <w:t>；</w:t>
            </w:r>
          </w:p>
          <w:p w14:paraId="3DCE82F2">
            <w:pPr>
              <w:spacing w:line="360" w:lineRule="auto"/>
              <w:jc w:val="left"/>
              <w:rPr>
                <w:rFonts w:hint="eastAsia" w:ascii="宋体" w:hAnsi="宋体"/>
                <w:b/>
                <w:bCs/>
                <w:color w:val="auto"/>
                <w:sz w:val="24"/>
                <w:highlight w:val="none"/>
              </w:rPr>
            </w:pPr>
            <w:r>
              <w:rPr>
                <w:rFonts w:hint="eastAsia" w:ascii="宋体" w:hAnsi="宋体"/>
                <w:b/>
                <w:bCs/>
                <w:color w:val="auto"/>
                <w:sz w:val="24"/>
                <w:highlight w:val="none"/>
              </w:rPr>
              <w:t>（3）法定代表人（负责人</w:t>
            </w:r>
            <w:r>
              <w:rPr>
                <w:rFonts w:hint="eastAsia" w:ascii="宋体" w:hAnsi="宋体"/>
                <w:b/>
                <w:bCs/>
                <w:color w:val="auto"/>
                <w:sz w:val="24"/>
                <w:highlight w:val="none"/>
                <w:lang w:eastAsia="zh-CN"/>
              </w:rPr>
              <w:t>、</w:t>
            </w:r>
            <w:r>
              <w:rPr>
                <w:rFonts w:hint="eastAsia" w:ascii="宋体" w:hAnsi="宋体"/>
                <w:b/>
                <w:bCs/>
                <w:color w:val="auto"/>
                <w:sz w:val="24"/>
                <w:highlight w:val="none"/>
                <w:lang w:val="en-US" w:eastAsia="zh-CN"/>
              </w:rPr>
              <w:t>经营者</w:t>
            </w:r>
            <w:r>
              <w:rPr>
                <w:rFonts w:hint="eastAsia" w:ascii="宋体" w:hAnsi="宋体"/>
                <w:b/>
                <w:bCs/>
                <w:color w:val="auto"/>
                <w:sz w:val="24"/>
                <w:highlight w:val="none"/>
              </w:rPr>
              <w:t>）授权书原件（非法定代表人（负责人</w:t>
            </w:r>
            <w:r>
              <w:rPr>
                <w:rFonts w:hint="eastAsia" w:ascii="宋体" w:hAnsi="宋体"/>
                <w:b/>
                <w:bCs/>
                <w:color w:val="auto"/>
                <w:sz w:val="24"/>
                <w:highlight w:val="none"/>
                <w:lang w:eastAsia="zh-CN"/>
              </w:rPr>
              <w:t>、</w:t>
            </w:r>
            <w:r>
              <w:rPr>
                <w:rFonts w:hint="eastAsia" w:ascii="宋体" w:hAnsi="宋体"/>
                <w:b/>
                <w:bCs/>
                <w:color w:val="auto"/>
                <w:sz w:val="24"/>
                <w:highlight w:val="none"/>
                <w:lang w:val="en-US" w:eastAsia="zh-CN"/>
              </w:rPr>
              <w:t>经营者</w:t>
            </w:r>
            <w:r>
              <w:rPr>
                <w:rFonts w:hint="eastAsia" w:ascii="宋体" w:hAnsi="宋体"/>
                <w:b/>
                <w:bCs/>
                <w:color w:val="auto"/>
                <w:sz w:val="24"/>
                <w:highlight w:val="none"/>
              </w:rPr>
              <w:t>）参加时提供）；</w:t>
            </w:r>
          </w:p>
          <w:p w14:paraId="2645660A">
            <w:pPr>
              <w:spacing w:line="360" w:lineRule="auto"/>
              <w:jc w:val="left"/>
              <w:rPr>
                <w:rFonts w:hint="eastAsia" w:ascii="宋体" w:hAnsi="宋体" w:cs="宋体"/>
                <w:b/>
                <w:bCs/>
                <w:color w:val="auto"/>
                <w:sz w:val="24"/>
                <w:highlight w:val="none"/>
              </w:rPr>
            </w:pPr>
            <w:r>
              <w:rPr>
                <w:rFonts w:hint="eastAsia" w:ascii="宋体" w:hAnsi="宋体" w:cs="宋体"/>
                <w:b/>
                <w:bCs/>
                <w:color w:val="auto"/>
                <w:sz w:val="24"/>
                <w:highlight w:val="none"/>
              </w:rPr>
              <w:t>（</w:t>
            </w:r>
            <w:r>
              <w:rPr>
                <w:rFonts w:hint="eastAsia" w:ascii="宋体" w:hAnsi="宋体" w:cs="宋体"/>
                <w:b/>
                <w:bCs/>
                <w:color w:val="auto"/>
                <w:sz w:val="24"/>
                <w:highlight w:val="none"/>
                <w:lang w:val="en-US" w:eastAsia="zh-CN"/>
              </w:rPr>
              <w:t>4</w:t>
            </w:r>
            <w:r>
              <w:rPr>
                <w:rFonts w:hint="eastAsia" w:ascii="宋体" w:hAnsi="宋体" w:cs="宋体"/>
                <w:b/>
                <w:bCs/>
                <w:color w:val="auto"/>
                <w:sz w:val="24"/>
                <w:highlight w:val="none"/>
              </w:rPr>
              <w:t>）</w:t>
            </w:r>
            <w:r>
              <w:rPr>
                <w:rFonts w:hint="eastAsia" w:ascii="宋体" w:hAnsi="宋体" w:cs="宋体"/>
                <w:b/>
                <w:bCs/>
                <w:color w:val="auto"/>
                <w:sz w:val="24"/>
                <w:highlight w:val="none"/>
                <w:lang w:val="en-US" w:eastAsia="zh-CN"/>
              </w:rPr>
              <w:t>供应商具备有效的《食品生产许可证》或《食品经营许可证》或食品经营者备案信息采集表。</w:t>
            </w:r>
          </w:p>
          <w:p w14:paraId="15374B2D">
            <w:pPr>
              <w:spacing w:line="360" w:lineRule="auto"/>
              <w:jc w:val="left"/>
              <w:rPr>
                <w:rFonts w:hint="eastAsia" w:ascii="宋体" w:hAnsi="宋体"/>
                <w:color w:val="auto"/>
                <w:sz w:val="24"/>
                <w:highlight w:val="none"/>
              </w:rPr>
            </w:pPr>
            <w:r>
              <w:rPr>
                <w:rFonts w:hint="eastAsia" w:ascii="宋体" w:hAnsi="宋体"/>
                <w:color w:val="auto"/>
                <w:sz w:val="24"/>
                <w:highlight w:val="none"/>
              </w:rPr>
              <w:t>2、本项目不接受联合体谈判。</w:t>
            </w:r>
          </w:p>
          <w:p w14:paraId="522C7761">
            <w:pPr>
              <w:spacing w:line="360" w:lineRule="auto"/>
              <w:rPr>
                <w:rFonts w:hint="eastAsia" w:ascii="宋体" w:hAnsi="宋体"/>
                <w:color w:val="auto"/>
                <w:sz w:val="24"/>
                <w:highlight w:val="none"/>
              </w:rPr>
            </w:pPr>
            <w:r>
              <w:rPr>
                <w:rFonts w:hint="eastAsia" w:ascii="宋体" w:hAnsi="宋体"/>
                <w:color w:val="auto"/>
                <w:sz w:val="24"/>
                <w:highlight w:val="none"/>
              </w:rPr>
              <w:t>注：1.谈判供应商必须同时满足以上所有的资格要求并提供资料，所有提供的相关资质证明文件应属法定有效期内的，若发生变更的，应按有关规定办理完变更手续后方可参加谈判，并以发证机关核准的变更为准，否则按无效响应处理。所有资格证明文件复印件应是清晰的，加盖谈判供应商公章。</w:t>
            </w:r>
          </w:p>
        </w:tc>
      </w:tr>
      <w:tr w14:paraId="24D08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70" w:type="dxa"/>
            <w:noWrap w:val="0"/>
            <w:vAlign w:val="center"/>
          </w:tcPr>
          <w:p w14:paraId="4271EEE3">
            <w:pPr>
              <w:spacing w:line="360" w:lineRule="auto"/>
              <w:jc w:val="center"/>
              <w:rPr>
                <w:rFonts w:ascii="宋体" w:hAnsi="宋体"/>
                <w:color w:val="auto"/>
                <w:sz w:val="24"/>
                <w:highlight w:val="none"/>
              </w:rPr>
            </w:pPr>
            <w:r>
              <w:rPr>
                <w:rFonts w:ascii="宋体" w:hAnsi="宋体"/>
                <w:color w:val="auto"/>
                <w:sz w:val="24"/>
                <w:highlight w:val="none"/>
              </w:rPr>
              <w:t>3</w:t>
            </w:r>
          </w:p>
        </w:tc>
        <w:tc>
          <w:tcPr>
            <w:tcW w:w="955" w:type="dxa"/>
            <w:noWrap w:val="0"/>
            <w:vAlign w:val="center"/>
          </w:tcPr>
          <w:p w14:paraId="314B0CFE">
            <w:pPr>
              <w:spacing w:line="360" w:lineRule="auto"/>
              <w:jc w:val="center"/>
              <w:rPr>
                <w:rFonts w:hint="eastAsia" w:ascii="宋体" w:hAnsi="宋体"/>
                <w:color w:val="auto"/>
                <w:sz w:val="24"/>
                <w:highlight w:val="none"/>
              </w:rPr>
            </w:pPr>
            <w:r>
              <w:rPr>
                <w:rFonts w:hint="eastAsia" w:ascii="宋体" w:hAnsi="宋体"/>
                <w:color w:val="auto"/>
                <w:sz w:val="24"/>
                <w:highlight w:val="none"/>
              </w:rPr>
              <w:t>17.1</w:t>
            </w:r>
          </w:p>
        </w:tc>
        <w:tc>
          <w:tcPr>
            <w:tcW w:w="7463" w:type="dxa"/>
            <w:noWrap w:val="0"/>
            <w:vAlign w:val="center"/>
          </w:tcPr>
          <w:p w14:paraId="25F3CD08">
            <w:pPr>
              <w:spacing w:line="360" w:lineRule="auto"/>
              <w:rPr>
                <w:rFonts w:hint="eastAsia" w:ascii="宋体" w:hAnsi="宋体"/>
                <w:color w:val="auto"/>
                <w:sz w:val="24"/>
                <w:highlight w:val="none"/>
              </w:rPr>
            </w:pPr>
            <w:r>
              <w:rPr>
                <w:rFonts w:hint="eastAsia" w:ascii="宋体" w:hAnsi="宋体"/>
                <w:color w:val="auto"/>
                <w:sz w:val="24"/>
                <w:highlight w:val="none"/>
              </w:rPr>
              <w:t>竞争性谈判响应有效期：递交竞争性谈判响应文件截止期结束后</w:t>
            </w:r>
            <w:r>
              <w:rPr>
                <w:rFonts w:hint="eastAsia" w:ascii="宋体" w:hAnsi="宋体"/>
                <w:color w:val="auto"/>
                <w:sz w:val="24"/>
                <w:highlight w:val="none"/>
                <w:u w:val="single"/>
              </w:rPr>
              <w:t>90个</w:t>
            </w:r>
            <w:r>
              <w:rPr>
                <w:rFonts w:hint="eastAsia" w:ascii="宋体" w:hAnsi="宋体"/>
                <w:color w:val="auto"/>
                <w:sz w:val="24"/>
                <w:highlight w:val="none"/>
              </w:rPr>
              <w:t>日历日。</w:t>
            </w:r>
          </w:p>
          <w:p w14:paraId="29F71697">
            <w:pPr>
              <w:spacing w:line="360" w:lineRule="auto"/>
              <w:rPr>
                <w:rFonts w:hint="eastAsia" w:ascii="宋体" w:hAnsi="宋体"/>
                <w:color w:val="auto"/>
                <w:sz w:val="24"/>
                <w:highlight w:val="none"/>
              </w:rPr>
            </w:pPr>
            <w:r>
              <w:rPr>
                <w:rFonts w:hint="eastAsia" w:ascii="宋体" w:hAnsi="宋体"/>
                <w:color w:val="auto"/>
                <w:sz w:val="24"/>
                <w:highlight w:val="none"/>
              </w:rPr>
              <w:t>有效期不足将导致其竞争性谈判响应文件被拒绝。</w:t>
            </w:r>
          </w:p>
        </w:tc>
      </w:tr>
      <w:tr w14:paraId="470E5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6" w:hRule="atLeast"/>
          <w:jc w:val="center"/>
        </w:trPr>
        <w:tc>
          <w:tcPr>
            <w:tcW w:w="770" w:type="dxa"/>
            <w:noWrap w:val="0"/>
            <w:vAlign w:val="center"/>
          </w:tcPr>
          <w:p w14:paraId="41A4F54C">
            <w:pPr>
              <w:spacing w:line="360" w:lineRule="auto"/>
              <w:jc w:val="center"/>
              <w:rPr>
                <w:rFonts w:ascii="宋体" w:hAnsi="宋体"/>
                <w:color w:val="auto"/>
                <w:sz w:val="24"/>
                <w:highlight w:val="none"/>
              </w:rPr>
            </w:pPr>
            <w:r>
              <w:rPr>
                <w:rFonts w:ascii="宋体" w:hAnsi="宋体"/>
                <w:color w:val="auto"/>
                <w:sz w:val="24"/>
                <w:highlight w:val="none"/>
              </w:rPr>
              <w:t>4</w:t>
            </w:r>
          </w:p>
        </w:tc>
        <w:tc>
          <w:tcPr>
            <w:tcW w:w="955" w:type="dxa"/>
            <w:noWrap w:val="0"/>
            <w:vAlign w:val="center"/>
          </w:tcPr>
          <w:p w14:paraId="61D0E340">
            <w:pPr>
              <w:spacing w:line="360" w:lineRule="auto"/>
              <w:ind w:firstLine="480" w:firstLineChars="200"/>
              <w:jc w:val="center"/>
              <w:rPr>
                <w:rFonts w:ascii="宋体" w:hAnsi="宋体"/>
                <w:color w:val="auto"/>
                <w:sz w:val="24"/>
                <w:highlight w:val="none"/>
              </w:rPr>
            </w:pPr>
          </w:p>
        </w:tc>
        <w:tc>
          <w:tcPr>
            <w:tcW w:w="7463" w:type="dxa"/>
            <w:noWrap w:val="0"/>
            <w:vAlign w:val="center"/>
          </w:tcPr>
          <w:p w14:paraId="421E7DC0">
            <w:pPr>
              <w:spacing w:line="360" w:lineRule="auto"/>
              <w:rPr>
                <w:rFonts w:hint="eastAsia" w:ascii="宋体" w:hAnsi="宋体" w:eastAsia="宋体"/>
                <w:color w:val="auto"/>
                <w:sz w:val="24"/>
                <w:highlight w:val="none"/>
                <w:lang w:eastAsia="zh-CN"/>
              </w:rPr>
            </w:pPr>
            <w:r>
              <w:rPr>
                <w:rFonts w:hint="eastAsia" w:ascii="宋体" w:hAnsi="宋体"/>
                <w:color w:val="auto"/>
                <w:sz w:val="24"/>
                <w:highlight w:val="none"/>
              </w:rPr>
              <w:t>竞争性谈判响应文件递交地址：</w:t>
            </w:r>
            <w:r>
              <w:rPr>
                <w:rFonts w:hint="eastAsia" w:ascii="宋体" w:hAnsi="宋体"/>
                <w:color w:val="auto"/>
                <w:sz w:val="24"/>
                <w:highlight w:val="none"/>
                <w:lang w:eastAsia="zh-CN"/>
              </w:rPr>
              <w:t>龙岩市新罗区龙岩大道万阳城A3梯1921室</w:t>
            </w:r>
          </w:p>
          <w:p w14:paraId="0223B1E9">
            <w:pPr>
              <w:spacing w:line="360" w:lineRule="auto"/>
              <w:rPr>
                <w:rFonts w:hint="eastAsia" w:ascii="宋体" w:hAnsi="宋体"/>
                <w:color w:val="auto"/>
                <w:sz w:val="24"/>
                <w:highlight w:val="none"/>
              </w:rPr>
            </w:pPr>
            <w:r>
              <w:rPr>
                <w:rFonts w:hint="eastAsia" w:ascii="宋体" w:hAnsi="宋体"/>
                <w:color w:val="auto"/>
                <w:sz w:val="24"/>
                <w:highlight w:val="none"/>
              </w:rPr>
              <w:t>接受竞争性谈判响应文件开始时间：</w:t>
            </w:r>
            <w:r>
              <w:rPr>
                <w:rFonts w:hint="eastAsia" w:ascii="宋体" w:hAnsi="宋体" w:cs="Arial"/>
                <w:b/>
                <w:bCs/>
                <w:color w:val="auto"/>
                <w:sz w:val="24"/>
                <w:highlight w:val="none"/>
              </w:rPr>
              <w:t>202</w:t>
            </w:r>
            <w:r>
              <w:rPr>
                <w:rFonts w:hint="eastAsia" w:ascii="宋体" w:hAnsi="宋体" w:cs="Arial"/>
                <w:b/>
                <w:bCs/>
                <w:color w:val="auto"/>
                <w:sz w:val="24"/>
                <w:highlight w:val="none"/>
                <w:lang w:val="en-US" w:eastAsia="zh-CN"/>
              </w:rPr>
              <w:t>5</w:t>
            </w:r>
            <w:r>
              <w:rPr>
                <w:rFonts w:hint="eastAsia" w:ascii="宋体" w:hAnsi="宋体" w:cs="Arial"/>
                <w:b/>
                <w:bCs/>
                <w:color w:val="auto"/>
                <w:sz w:val="24"/>
                <w:highlight w:val="none"/>
              </w:rPr>
              <w:t>年0</w:t>
            </w:r>
            <w:r>
              <w:rPr>
                <w:rFonts w:hint="eastAsia" w:ascii="宋体" w:hAnsi="宋体" w:cs="Arial"/>
                <w:b/>
                <w:bCs/>
                <w:color w:val="auto"/>
                <w:sz w:val="24"/>
                <w:highlight w:val="none"/>
                <w:lang w:val="en-US" w:eastAsia="zh-CN"/>
              </w:rPr>
              <w:t>9</w:t>
            </w:r>
            <w:r>
              <w:rPr>
                <w:rFonts w:hint="eastAsia" w:ascii="宋体" w:hAnsi="宋体" w:cs="Arial"/>
                <w:b/>
                <w:bCs/>
                <w:color w:val="auto"/>
                <w:sz w:val="24"/>
                <w:highlight w:val="none"/>
              </w:rPr>
              <w:t>月</w:t>
            </w:r>
            <w:r>
              <w:rPr>
                <w:rFonts w:hint="eastAsia" w:ascii="宋体" w:hAnsi="宋体" w:cs="Arial"/>
                <w:b/>
                <w:bCs/>
                <w:color w:val="auto"/>
                <w:sz w:val="24"/>
                <w:highlight w:val="none"/>
                <w:lang w:val="en-US" w:eastAsia="zh-CN"/>
              </w:rPr>
              <w:t>04</w:t>
            </w:r>
            <w:r>
              <w:rPr>
                <w:rFonts w:hint="eastAsia" w:ascii="宋体" w:hAnsi="宋体" w:cs="Arial"/>
                <w:b/>
                <w:bCs/>
                <w:color w:val="auto"/>
                <w:sz w:val="24"/>
                <w:highlight w:val="none"/>
              </w:rPr>
              <w:t>日0</w:t>
            </w:r>
            <w:r>
              <w:rPr>
                <w:rFonts w:hint="eastAsia" w:ascii="宋体" w:hAnsi="宋体" w:cs="Arial"/>
                <w:b/>
                <w:bCs/>
                <w:color w:val="auto"/>
                <w:sz w:val="24"/>
                <w:highlight w:val="none"/>
                <w:lang w:val="en-US" w:eastAsia="zh-CN"/>
              </w:rPr>
              <w:t>9</w:t>
            </w:r>
            <w:r>
              <w:rPr>
                <w:rFonts w:hint="eastAsia" w:ascii="宋体" w:hAnsi="宋体" w:cs="Arial"/>
                <w:b/>
                <w:bCs/>
                <w:color w:val="auto"/>
                <w:sz w:val="24"/>
                <w:highlight w:val="none"/>
              </w:rPr>
              <w:t>:</w:t>
            </w:r>
            <w:r>
              <w:rPr>
                <w:rFonts w:hint="eastAsia" w:ascii="宋体" w:hAnsi="宋体" w:cs="Arial"/>
                <w:b/>
                <w:bCs/>
                <w:color w:val="auto"/>
                <w:sz w:val="24"/>
                <w:highlight w:val="none"/>
                <w:lang w:val="en-US" w:eastAsia="zh-CN"/>
              </w:rPr>
              <w:t>00</w:t>
            </w:r>
          </w:p>
          <w:p w14:paraId="746646BA">
            <w:pPr>
              <w:spacing w:line="360" w:lineRule="auto"/>
              <w:rPr>
                <w:rFonts w:ascii="宋体" w:hAnsi="宋体"/>
                <w:color w:val="auto"/>
                <w:sz w:val="24"/>
                <w:highlight w:val="none"/>
              </w:rPr>
            </w:pPr>
            <w:r>
              <w:rPr>
                <w:rFonts w:hint="eastAsia" w:ascii="宋体" w:hAnsi="宋体"/>
                <w:color w:val="auto"/>
                <w:sz w:val="24"/>
                <w:highlight w:val="none"/>
              </w:rPr>
              <w:t>递交竞争性谈判响应文件截止时间：</w:t>
            </w:r>
            <w:r>
              <w:rPr>
                <w:rFonts w:hint="eastAsia" w:ascii="宋体" w:hAnsi="宋体" w:cs="Arial"/>
                <w:b/>
                <w:bCs/>
                <w:color w:val="auto"/>
                <w:sz w:val="24"/>
                <w:highlight w:val="none"/>
              </w:rPr>
              <w:t>202</w:t>
            </w:r>
            <w:r>
              <w:rPr>
                <w:rFonts w:hint="eastAsia" w:ascii="宋体" w:hAnsi="宋体" w:cs="Arial"/>
                <w:b/>
                <w:bCs/>
                <w:color w:val="auto"/>
                <w:sz w:val="24"/>
                <w:highlight w:val="none"/>
                <w:lang w:val="en-US" w:eastAsia="zh-CN"/>
              </w:rPr>
              <w:t>5</w:t>
            </w:r>
            <w:r>
              <w:rPr>
                <w:rFonts w:hint="eastAsia" w:ascii="宋体" w:hAnsi="宋体" w:cs="Arial"/>
                <w:b/>
                <w:bCs/>
                <w:color w:val="auto"/>
                <w:sz w:val="24"/>
                <w:highlight w:val="none"/>
              </w:rPr>
              <w:t>年0</w:t>
            </w:r>
            <w:r>
              <w:rPr>
                <w:rFonts w:hint="eastAsia" w:ascii="宋体" w:hAnsi="宋体" w:cs="Arial"/>
                <w:b/>
                <w:bCs/>
                <w:color w:val="auto"/>
                <w:sz w:val="24"/>
                <w:highlight w:val="none"/>
                <w:lang w:val="en-US" w:eastAsia="zh-CN"/>
              </w:rPr>
              <w:t>9</w:t>
            </w:r>
            <w:r>
              <w:rPr>
                <w:rFonts w:hint="eastAsia" w:ascii="宋体" w:hAnsi="宋体" w:cs="Arial"/>
                <w:b/>
                <w:bCs/>
                <w:color w:val="auto"/>
                <w:sz w:val="24"/>
                <w:highlight w:val="none"/>
              </w:rPr>
              <w:t>月</w:t>
            </w:r>
            <w:r>
              <w:rPr>
                <w:rFonts w:hint="eastAsia" w:ascii="宋体" w:hAnsi="宋体" w:cs="Arial"/>
                <w:b/>
                <w:bCs/>
                <w:color w:val="auto"/>
                <w:sz w:val="24"/>
                <w:highlight w:val="none"/>
                <w:lang w:val="en-US" w:eastAsia="zh-CN"/>
              </w:rPr>
              <w:t>04</w:t>
            </w:r>
            <w:r>
              <w:rPr>
                <w:rFonts w:hint="eastAsia" w:ascii="宋体" w:hAnsi="宋体" w:cs="Arial"/>
                <w:b/>
                <w:bCs/>
                <w:color w:val="auto"/>
                <w:sz w:val="24"/>
                <w:highlight w:val="none"/>
              </w:rPr>
              <w:t>日09:</w:t>
            </w:r>
            <w:r>
              <w:rPr>
                <w:rFonts w:hint="eastAsia" w:ascii="宋体" w:hAnsi="宋体" w:cs="Arial"/>
                <w:b/>
                <w:bCs/>
                <w:color w:val="auto"/>
                <w:sz w:val="24"/>
                <w:highlight w:val="none"/>
                <w:lang w:val="en-US" w:eastAsia="zh-CN"/>
              </w:rPr>
              <w:t>3</w:t>
            </w:r>
            <w:r>
              <w:rPr>
                <w:rFonts w:hint="eastAsia" w:ascii="宋体" w:hAnsi="宋体" w:cs="Arial"/>
                <w:b/>
                <w:bCs/>
                <w:color w:val="auto"/>
                <w:sz w:val="24"/>
                <w:highlight w:val="none"/>
              </w:rPr>
              <w:t>0</w:t>
            </w:r>
          </w:p>
        </w:tc>
      </w:tr>
      <w:tr w14:paraId="39646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9" w:hRule="atLeast"/>
          <w:jc w:val="center"/>
        </w:trPr>
        <w:tc>
          <w:tcPr>
            <w:tcW w:w="770" w:type="dxa"/>
            <w:noWrap w:val="0"/>
            <w:vAlign w:val="center"/>
          </w:tcPr>
          <w:p w14:paraId="2233E2F5">
            <w:pPr>
              <w:spacing w:line="360" w:lineRule="auto"/>
              <w:jc w:val="center"/>
              <w:rPr>
                <w:rFonts w:hint="eastAsia" w:ascii="宋体" w:hAnsi="宋体"/>
                <w:color w:val="auto"/>
                <w:sz w:val="24"/>
                <w:highlight w:val="none"/>
              </w:rPr>
            </w:pPr>
            <w:r>
              <w:rPr>
                <w:rFonts w:hint="eastAsia" w:ascii="宋体" w:hAnsi="宋体"/>
                <w:color w:val="auto"/>
                <w:sz w:val="24"/>
                <w:highlight w:val="none"/>
              </w:rPr>
              <w:t>5</w:t>
            </w:r>
          </w:p>
        </w:tc>
        <w:tc>
          <w:tcPr>
            <w:tcW w:w="955" w:type="dxa"/>
            <w:noWrap w:val="0"/>
            <w:vAlign w:val="center"/>
          </w:tcPr>
          <w:p w14:paraId="3A68F9DB">
            <w:pPr>
              <w:spacing w:line="360" w:lineRule="auto"/>
              <w:jc w:val="center"/>
              <w:rPr>
                <w:rFonts w:hint="eastAsia" w:ascii="宋体" w:hAnsi="宋体"/>
                <w:color w:val="auto"/>
                <w:sz w:val="24"/>
                <w:highlight w:val="none"/>
              </w:rPr>
            </w:pPr>
            <w:r>
              <w:rPr>
                <w:rFonts w:hint="eastAsia" w:ascii="宋体" w:hAnsi="宋体"/>
                <w:color w:val="auto"/>
                <w:sz w:val="24"/>
                <w:highlight w:val="none"/>
              </w:rPr>
              <w:t>16</w:t>
            </w:r>
          </w:p>
        </w:tc>
        <w:tc>
          <w:tcPr>
            <w:tcW w:w="7463" w:type="dxa"/>
            <w:noWrap w:val="0"/>
            <w:vAlign w:val="center"/>
          </w:tcPr>
          <w:p w14:paraId="68AE0964">
            <w:pPr>
              <w:rPr>
                <w:rFonts w:hint="eastAsia"/>
                <w:color w:val="auto"/>
                <w:highlight w:val="none"/>
              </w:rPr>
            </w:pPr>
            <w:r>
              <w:rPr>
                <w:rFonts w:hint="eastAsia" w:ascii="宋体" w:hAnsi="宋体"/>
                <w:color w:val="auto"/>
                <w:sz w:val="24"/>
                <w:highlight w:val="none"/>
              </w:rPr>
              <w:t>谈判保证金：</w:t>
            </w:r>
            <w:r>
              <w:rPr>
                <w:rFonts w:hint="eastAsia" w:ascii="宋体" w:hAnsi="宋体"/>
                <w:color w:val="auto"/>
                <w:sz w:val="24"/>
                <w:highlight w:val="none"/>
                <w:lang w:val="en-US" w:eastAsia="zh-CN"/>
              </w:rPr>
              <w:t>3000</w:t>
            </w:r>
            <w:r>
              <w:rPr>
                <w:rFonts w:hint="eastAsia" w:ascii="宋体" w:hAnsi="宋体"/>
                <w:color w:val="auto"/>
                <w:sz w:val="24"/>
                <w:highlight w:val="none"/>
              </w:rPr>
              <w:t>元（人民币</w:t>
            </w:r>
            <w:r>
              <w:rPr>
                <w:rFonts w:hint="eastAsia" w:ascii="宋体" w:hAnsi="宋体"/>
                <w:color w:val="auto"/>
                <w:sz w:val="24"/>
                <w:highlight w:val="none"/>
                <w:lang w:val="en-US" w:eastAsia="zh-CN"/>
              </w:rPr>
              <w:t>叁仟</w:t>
            </w:r>
            <w:r>
              <w:rPr>
                <w:rFonts w:hint="eastAsia" w:ascii="宋体" w:hAnsi="宋体"/>
                <w:color w:val="auto"/>
                <w:sz w:val="24"/>
                <w:highlight w:val="none"/>
              </w:rPr>
              <w:t>元整 ）；</w:t>
            </w:r>
            <w:r>
              <w:rPr>
                <w:rFonts w:hint="eastAsia"/>
                <w:color w:val="auto"/>
                <w:highlight w:val="none"/>
              </w:rPr>
              <w:t>　     </w:t>
            </w:r>
          </w:p>
          <w:p w14:paraId="2F0B5B37">
            <w:pPr>
              <w:widowControl/>
              <w:adjustRightInd w:val="0"/>
              <w:snapToGrid w:val="0"/>
              <w:spacing w:line="400" w:lineRule="exact"/>
              <w:jc w:val="left"/>
              <w:rPr>
                <w:rFonts w:hint="eastAsia" w:ascii="宋体" w:hAnsi="宋体"/>
                <w:color w:val="auto"/>
                <w:sz w:val="24"/>
                <w:highlight w:val="none"/>
              </w:rPr>
            </w:pPr>
            <w:r>
              <w:rPr>
                <w:rFonts w:hint="eastAsia" w:ascii="宋体" w:hAnsi="宋体"/>
                <w:color w:val="auto"/>
                <w:sz w:val="24"/>
                <w:highlight w:val="none"/>
              </w:rPr>
              <w:t>谈判供应商必须从本单位的基本帐户或一般性存款帐户以转帐、电汇方式向招标代理机构缴交要求的谈判保证金，并于递交谈判文件截止时间前到帐（是否到达指定的存款帐户，以谈判文件中确定的招标代理机构开户行进帐单为准），谈判供应商在缴纳保证金时须在汇款用途或摘要栏上注明所投项目的项目编号及合同包号。</w:t>
            </w:r>
          </w:p>
          <w:p w14:paraId="6D199D64">
            <w:pPr>
              <w:widowControl/>
              <w:adjustRightInd w:val="0"/>
              <w:snapToGrid w:val="0"/>
              <w:spacing w:line="400" w:lineRule="exact"/>
              <w:jc w:val="left"/>
              <w:rPr>
                <w:rFonts w:hint="eastAsia" w:ascii="宋体" w:hAnsi="宋体"/>
                <w:b/>
                <w:color w:val="auto"/>
                <w:sz w:val="24"/>
                <w:highlight w:val="none"/>
              </w:rPr>
            </w:pPr>
            <w:r>
              <w:rPr>
                <w:rFonts w:hint="eastAsia" w:ascii="宋体" w:hAnsi="宋体"/>
                <w:b/>
                <w:color w:val="auto"/>
                <w:sz w:val="24"/>
                <w:highlight w:val="none"/>
              </w:rPr>
              <w:t>保证金账户</w:t>
            </w:r>
          </w:p>
          <w:p w14:paraId="4FD8ECFB">
            <w:pPr>
              <w:pStyle w:val="73"/>
              <w:widowControl/>
              <w:autoSpaceDE/>
              <w:autoSpaceDN/>
              <w:spacing w:line="520" w:lineRule="exact"/>
              <w:rPr>
                <w:rFonts w:hint="eastAsia" w:hAnsi="宋体" w:eastAsia="宋体"/>
                <w:b/>
                <w:color w:val="auto"/>
                <w:highlight w:val="none"/>
                <w:lang w:eastAsia="zh-CN"/>
              </w:rPr>
            </w:pPr>
            <w:r>
              <w:rPr>
                <w:rFonts w:hint="eastAsia" w:hAnsi="宋体"/>
                <w:b/>
                <w:color w:val="auto"/>
                <w:highlight w:val="none"/>
              </w:rPr>
              <w:t>开户名：</w:t>
            </w:r>
            <w:r>
              <w:rPr>
                <w:rFonts w:hint="eastAsia" w:hAnsi="宋体"/>
                <w:b/>
                <w:color w:val="auto"/>
                <w:highlight w:val="none"/>
                <w:lang w:eastAsia="zh-CN"/>
              </w:rPr>
              <w:t>福建优胜招标项目管理集团有限公司</w:t>
            </w:r>
            <w:r>
              <w:rPr>
                <w:rFonts w:hint="eastAsia" w:hAnsi="宋体"/>
                <w:b/>
                <w:color w:val="auto"/>
                <w:highlight w:val="none"/>
                <w:lang w:val="en-US" w:eastAsia="zh-CN"/>
              </w:rPr>
              <w:t>龙岩分公司</w:t>
            </w:r>
            <w:r>
              <w:rPr>
                <w:rFonts w:hint="eastAsia" w:hAnsi="宋体"/>
                <w:b/>
                <w:color w:val="auto"/>
                <w:highlight w:val="none"/>
              </w:rPr>
              <w:t>开户行：</w:t>
            </w:r>
            <w:r>
              <w:rPr>
                <w:rFonts w:hint="eastAsia" w:hAnsi="宋体"/>
                <w:b/>
                <w:color w:val="auto"/>
                <w:highlight w:val="none"/>
                <w:lang w:eastAsia="zh-CN"/>
              </w:rPr>
              <w:t>中国民生银行股份有限公司龙岩分行营业部</w:t>
            </w:r>
          </w:p>
          <w:p w14:paraId="35A82CEF">
            <w:pPr>
              <w:pStyle w:val="73"/>
              <w:widowControl/>
              <w:autoSpaceDE/>
              <w:autoSpaceDN/>
              <w:spacing w:line="380" w:lineRule="exact"/>
              <w:rPr>
                <w:rFonts w:hint="eastAsia" w:hAnsi="宋体" w:eastAsia="宋体"/>
                <w:b/>
                <w:color w:val="auto"/>
                <w:highlight w:val="none"/>
                <w:lang w:eastAsia="zh-CN"/>
              </w:rPr>
            </w:pPr>
            <w:r>
              <w:rPr>
                <w:rFonts w:hint="eastAsia" w:hAnsi="宋体"/>
                <w:b/>
                <w:color w:val="auto"/>
                <w:highlight w:val="none"/>
              </w:rPr>
              <w:t>账  号：</w:t>
            </w:r>
            <w:r>
              <w:rPr>
                <w:rFonts w:hint="eastAsia" w:hAnsi="宋体"/>
                <w:b/>
                <w:color w:val="auto"/>
                <w:highlight w:val="none"/>
                <w:lang w:eastAsia="zh-CN"/>
              </w:rPr>
              <w:t>65165 4604</w:t>
            </w:r>
          </w:p>
          <w:p w14:paraId="6DAEDE76">
            <w:pPr>
              <w:spacing w:line="360" w:lineRule="auto"/>
              <w:rPr>
                <w:rFonts w:hint="eastAsia" w:ascii="宋体" w:hAnsi="宋体"/>
                <w:color w:val="auto"/>
                <w:sz w:val="24"/>
                <w:highlight w:val="none"/>
              </w:rPr>
            </w:pPr>
            <w:r>
              <w:rPr>
                <w:rFonts w:hint="eastAsia" w:hAnsi="宋体"/>
                <w:b/>
                <w:color w:val="auto"/>
                <w:sz w:val="24"/>
                <w:highlight w:val="none"/>
              </w:rPr>
              <w:t>退保证金手续：</w:t>
            </w:r>
            <w:r>
              <w:rPr>
                <w:rFonts w:hint="eastAsia" w:hAnsi="宋体"/>
                <w:color w:val="auto"/>
                <w:sz w:val="24"/>
                <w:highlight w:val="none"/>
              </w:rPr>
              <w:t>如为中标人，需向我司缴纳中标服务费并将所签订的采购合同原件送到我司后方给予办理退还谈判保证金；如未中标，依相关规定可以退回时，则给予办理退还谈判保证金。</w:t>
            </w:r>
          </w:p>
        </w:tc>
      </w:tr>
      <w:tr w14:paraId="76596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770" w:type="dxa"/>
            <w:tcBorders>
              <w:bottom w:val="single" w:color="auto" w:sz="4" w:space="0"/>
            </w:tcBorders>
            <w:noWrap w:val="0"/>
            <w:vAlign w:val="center"/>
          </w:tcPr>
          <w:p w14:paraId="5A41DC92">
            <w:pPr>
              <w:spacing w:line="360" w:lineRule="auto"/>
              <w:jc w:val="center"/>
              <w:rPr>
                <w:rFonts w:hint="eastAsia" w:ascii="宋体" w:hAnsi="宋体"/>
                <w:color w:val="auto"/>
                <w:sz w:val="24"/>
                <w:highlight w:val="none"/>
              </w:rPr>
            </w:pPr>
            <w:r>
              <w:rPr>
                <w:rFonts w:hint="eastAsia" w:ascii="宋体" w:hAnsi="宋体"/>
                <w:color w:val="auto"/>
                <w:sz w:val="24"/>
                <w:highlight w:val="none"/>
              </w:rPr>
              <w:t>6</w:t>
            </w:r>
          </w:p>
        </w:tc>
        <w:tc>
          <w:tcPr>
            <w:tcW w:w="955" w:type="dxa"/>
            <w:tcBorders>
              <w:bottom w:val="single" w:color="auto" w:sz="4" w:space="0"/>
            </w:tcBorders>
            <w:noWrap w:val="0"/>
            <w:vAlign w:val="center"/>
          </w:tcPr>
          <w:p w14:paraId="2427BC82">
            <w:pPr>
              <w:spacing w:line="360" w:lineRule="auto"/>
              <w:jc w:val="center"/>
              <w:rPr>
                <w:rFonts w:ascii="宋体" w:hAnsi="宋体"/>
                <w:color w:val="auto"/>
                <w:sz w:val="24"/>
                <w:highlight w:val="none"/>
              </w:rPr>
            </w:pPr>
            <w:r>
              <w:rPr>
                <w:rFonts w:hint="eastAsia" w:ascii="宋体" w:hAnsi="宋体"/>
                <w:color w:val="auto"/>
                <w:sz w:val="24"/>
                <w:highlight w:val="none"/>
              </w:rPr>
              <w:t>23</w:t>
            </w:r>
          </w:p>
        </w:tc>
        <w:tc>
          <w:tcPr>
            <w:tcW w:w="7463" w:type="dxa"/>
            <w:tcBorders>
              <w:bottom w:val="single" w:color="auto" w:sz="4" w:space="0"/>
            </w:tcBorders>
            <w:noWrap w:val="0"/>
            <w:vAlign w:val="top"/>
          </w:tcPr>
          <w:p w14:paraId="14E7CAE7">
            <w:pPr>
              <w:spacing w:line="360" w:lineRule="auto"/>
              <w:rPr>
                <w:rFonts w:hint="eastAsia" w:ascii="宋体" w:hAnsi="宋体"/>
                <w:color w:val="auto"/>
                <w:sz w:val="24"/>
                <w:highlight w:val="none"/>
              </w:rPr>
            </w:pPr>
            <w:r>
              <w:rPr>
                <w:rFonts w:hint="eastAsia" w:ascii="宋体" w:hAnsi="宋体"/>
                <w:color w:val="auto"/>
                <w:sz w:val="24"/>
                <w:highlight w:val="none"/>
              </w:rPr>
              <w:t>评审标准和方</w:t>
            </w:r>
            <w:r>
              <w:rPr>
                <w:rFonts w:hint="eastAsia" w:ascii="宋体" w:hAnsi="宋体"/>
                <w:color w:val="auto"/>
                <w:sz w:val="24"/>
                <w:highlight w:val="none"/>
              </w:rPr>
              <w:t>法：</w:t>
            </w:r>
            <w:r>
              <w:rPr>
                <w:rFonts w:hint="eastAsia" w:ascii="宋体" w:hAnsi="宋体"/>
                <w:bCs/>
                <w:color w:val="auto"/>
                <w:sz w:val="24"/>
                <w:highlight w:val="none"/>
              </w:rPr>
              <w:t>最低评审价法，</w:t>
            </w:r>
            <w:r>
              <w:rPr>
                <w:rFonts w:hint="eastAsia" w:ascii="宋体" w:hAnsi="宋体"/>
                <w:color w:val="auto"/>
                <w:sz w:val="24"/>
                <w:highlight w:val="none"/>
              </w:rPr>
              <w:t>具体见《竞争性谈判供应商须知》第23条。</w:t>
            </w:r>
          </w:p>
        </w:tc>
      </w:tr>
      <w:tr w14:paraId="6D6F6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770" w:type="dxa"/>
            <w:noWrap w:val="0"/>
            <w:vAlign w:val="center"/>
          </w:tcPr>
          <w:p w14:paraId="33529B69">
            <w:pPr>
              <w:spacing w:line="360" w:lineRule="auto"/>
              <w:jc w:val="center"/>
              <w:rPr>
                <w:rFonts w:hint="eastAsia" w:ascii="宋体" w:hAnsi="宋体"/>
                <w:color w:val="auto"/>
                <w:sz w:val="24"/>
                <w:highlight w:val="none"/>
              </w:rPr>
            </w:pPr>
            <w:r>
              <w:rPr>
                <w:rFonts w:hint="eastAsia" w:ascii="宋体" w:hAnsi="宋体"/>
                <w:color w:val="auto"/>
                <w:sz w:val="24"/>
                <w:highlight w:val="none"/>
              </w:rPr>
              <w:t>7</w:t>
            </w:r>
          </w:p>
        </w:tc>
        <w:tc>
          <w:tcPr>
            <w:tcW w:w="955" w:type="dxa"/>
            <w:noWrap w:val="0"/>
            <w:vAlign w:val="center"/>
          </w:tcPr>
          <w:p w14:paraId="137586DE">
            <w:pPr>
              <w:spacing w:line="360" w:lineRule="auto"/>
              <w:jc w:val="center"/>
              <w:rPr>
                <w:rFonts w:hint="eastAsia" w:ascii="宋体" w:hAnsi="宋体"/>
                <w:color w:val="auto"/>
                <w:sz w:val="24"/>
                <w:highlight w:val="none"/>
              </w:rPr>
            </w:pPr>
          </w:p>
        </w:tc>
        <w:tc>
          <w:tcPr>
            <w:tcW w:w="7463" w:type="dxa"/>
            <w:noWrap w:val="0"/>
            <w:vAlign w:val="center"/>
          </w:tcPr>
          <w:p w14:paraId="1A16C355">
            <w:pPr>
              <w:spacing w:line="420" w:lineRule="exact"/>
              <w:ind w:firstLine="480" w:firstLineChars="200"/>
              <w:rPr>
                <w:rFonts w:hint="eastAsia" w:ascii="宋体" w:hAnsi="宋体"/>
                <w:color w:val="auto"/>
                <w:sz w:val="24"/>
                <w:highlight w:val="none"/>
              </w:rPr>
            </w:pPr>
            <w:r>
              <w:rPr>
                <w:rFonts w:ascii="宋体" w:hAnsi="宋体"/>
                <w:color w:val="auto"/>
                <w:sz w:val="24"/>
                <w:highlight w:val="none"/>
              </w:rPr>
              <w:t>招标代理服务费：</w:t>
            </w:r>
            <w:r>
              <w:rPr>
                <w:rFonts w:hint="eastAsia" w:ascii="宋体" w:hAnsi="宋体"/>
                <w:color w:val="auto"/>
                <w:sz w:val="24"/>
                <w:highlight w:val="none"/>
              </w:rPr>
              <w:t>参照</w:t>
            </w:r>
            <w:r>
              <w:rPr>
                <w:rFonts w:hint="eastAsia" w:ascii="宋体" w:hAnsi="宋体"/>
                <w:bCs/>
                <w:color w:val="auto"/>
                <w:sz w:val="24"/>
                <w:highlight w:val="none"/>
              </w:rPr>
              <w:t>国家计划委员会</w:t>
            </w:r>
            <w:r>
              <w:rPr>
                <w:rFonts w:hint="eastAsia" w:ascii="宋体" w:hAnsi="宋体"/>
                <w:color w:val="auto"/>
                <w:sz w:val="24"/>
                <w:highlight w:val="none"/>
              </w:rPr>
              <w:t>计价格［</w:t>
            </w:r>
            <w:r>
              <w:rPr>
                <w:rFonts w:ascii="宋体" w:hAnsi="宋体"/>
                <w:color w:val="auto"/>
                <w:sz w:val="24"/>
                <w:highlight w:val="none"/>
              </w:rPr>
              <w:t>2002</w:t>
            </w:r>
            <w:r>
              <w:rPr>
                <w:rFonts w:hint="eastAsia" w:ascii="宋体" w:hAnsi="宋体"/>
                <w:color w:val="auto"/>
                <w:sz w:val="24"/>
                <w:highlight w:val="none"/>
              </w:rPr>
              <w:t>］</w:t>
            </w:r>
            <w:r>
              <w:rPr>
                <w:rFonts w:ascii="宋体" w:hAnsi="宋体"/>
                <w:color w:val="auto"/>
                <w:sz w:val="24"/>
                <w:highlight w:val="none"/>
              </w:rPr>
              <w:t>1980</w:t>
            </w:r>
            <w:r>
              <w:rPr>
                <w:rFonts w:hint="eastAsia" w:ascii="宋体" w:hAnsi="宋体"/>
                <w:color w:val="auto"/>
                <w:sz w:val="24"/>
                <w:highlight w:val="none"/>
              </w:rPr>
              <w:t>号规定，本项目的招标代理服务费按下列标准向成交供应商收取，成交供应商在领取《成交通知书》前须将招标代理服务费缴至</w:t>
            </w:r>
            <w:r>
              <w:rPr>
                <w:rFonts w:hint="eastAsia" w:ascii="宋体" w:hAnsi="宋体"/>
                <w:color w:val="auto"/>
                <w:sz w:val="24"/>
                <w:highlight w:val="none"/>
                <w:lang w:eastAsia="zh-CN"/>
              </w:rPr>
              <w:t>福建优胜招标项目管理集团有限公司</w:t>
            </w:r>
            <w:r>
              <w:rPr>
                <w:rFonts w:hint="eastAsia" w:ascii="宋体" w:hAnsi="宋体"/>
                <w:color w:val="auto"/>
                <w:sz w:val="24"/>
                <w:highlight w:val="none"/>
                <w:lang w:val="en-US" w:eastAsia="zh-CN"/>
              </w:rPr>
              <w:t>龙岩分公司</w:t>
            </w:r>
            <w:r>
              <w:rPr>
                <w:rFonts w:hint="eastAsia" w:ascii="宋体" w:hAnsi="宋体"/>
                <w:color w:val="auto"/>
                <w:sz w:val="24"/>
                <w:highlight w:val="none"/>
              </w:rPr>
              <w:t>帐户。收到款项后，</w:t>
            </w:r>
            <w:r>
              <w:rPr>
                <w:rFonts w:hint="eastAsia" w:ascii="宋体" w:hAnsi="宋体"/>
                <w:color w:val="auto"/>
                <w:sz w:val="24"/>
                <w:highlight w:val="none"/>
                <w:lang w:eastAsia="zh-CN"/>
              </w:rPr>
              <w:t>福建优胜招标项目管理集团有限公司</w:t>
            </w:r>
            <w:r>
              <w:rPr>
                <w:rFonts w:hint="eastAsia" w:ascii="宋体" w:hAnsi="宋体"/>
                <w:color w:val="auto"/>
                <w:sz w:val="24"/>
                <w:highlight w:val="none"/>
                <w:lang w:val="en-US" w:eastAsia="zh-CN"/>
              </w:rPr>
              <w:t>龙岩分公司</w:t>
            </w:r>
            <w:r>
              <w:rPr>
                <w:rFonts w:hint="eastAsia" w:ascii="宋体" w:hAnsi="宋体"/>
                <w:color w:val="auto"/>
                <w:sz w:val="24"/>
                <w:highlight w:val="none"/>
              </w:rPr>
              <w:t>出具正式发票。</w:t>
            </w:r>
          </w:p>
          <w:tbl>
            <w:tblPr>
              <w:tblStyle w:val="31"/>
              <w:tblW w:w="6955"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767"/>
              <w:gridCol w:w="2205"/>
              <w:gridCol w:w="1983"/>
            </w:tblGrid>
            <w:tr w14:paraId="70A53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blCellSpacing w:w="0" w:type="dxa"/>
                <w:jc w:val="center"/>
              </w:trPr>
              <w:tc>
                <w:tcPr>
                  <w:tcW w:w="2767" w:type="dxa"/>
                  <w:tcBorders>
                    <w:top w:val="single" w:color="auto" w:sz="4" w:space="0"/>
                    <w:left w:val="single" w:color="auto" w:sz="4" w:space="0"/>
                    <w:bottom w:val="single" w:color="auto" w:sz="4" w:space="0"/>
                    <w:right w:val="single" w:color="auto" w:sz="4" w:space="0"/>
                  </w:tcBorders>
                  <w:noWrap/>
                  <w:vAlign w:val="center"/>
                </w:tcPr>
                <w:p w14:paraId="1C61571D">
                  <w:pPr>
                    <w:widowControl/>
                    <w:spacing w:line="420" w:lineRule="exact"/>
                    <w:jc w:val="center"/>
                    <w:rPr>
                      <w:rFonts w:ascii="宋体" w:hAnsi="宋体" w:cs="宋体"/>
                      <w:color w:val="auto"/>
                      <w:kern w:val="0"/>
                      <w:sz w:val="24"/>
                      <w:highlight w:val="none"/>
                    </w:rPr>
                  </w:pPr>
                  <w:r>
                    <w:rPr>
                      <w:rFonts w:hint="eastAsia" w:ascii="宋体" w:hAnsi="宋体" w:cs="宋体"/>
                      <w:b/>
                      <w:bCs/>
                      <w:color w:val="auto"/>
                      <w:kern w:val="0"/>
                      <w:sz w:val="24"/>
                      <w:highlight w:val="none"/>
                    </w:rPr>
                    <w:t>中标金额（万元）</w:t>
                  </w:r>
                </w:p>
              </w:tc>
              <w:tc>
                <w:tcPr>
                  <w:tcW w:w="2205" w:type="dxa"/>
                  <w:tcBorders>
                    <w:top w:val="single" w:color="auto" w:sz="4" w:space="0"/>
                    <w:left w:val="single" w:color="auto" w:sz="4" w:space="0"/>
                    <w:bottom w:val="single" w:color="auto" w:sz="4" w:space="0"/>
                    <w:right w:val="single" w:color="auto" w:sz="12" w:space="0"/>
                  </w:tcBorders>
                  <w:noWrap/>
                  <w:vAlign w:val="center"/>
                </w:tcPr>
                <w:p w14:paraId="165BBD65">
                  <w:pPr>
                    <w:widowControl/>
                    <w:spacing w:line="420" w:lineRule="exact"/>
                    <w:jc w:val="center"/>
                    <w:rPr>
                      <w:rFonts w:ascii="宋体" w:hAnsi="宋体" w:cs="宋体"/>
                      <w:color w:val="auto"/>
                      <w:kern w:val="0"/>
                      <w:sz w:val="24"/>
                      <w:highlight w:val="none"/>
                    </w:rPr>
                  </w:pPr>
                  <w:r>
                    <w:rPr>
                      <w:rFonts w:hint="eastAsia" w:ascii="宋体" w:hAnsi="宋体" w:cs="宋体"/>
                      <w:b/>
                      <w:bCs/>
                      <w:color w:val="auto"/>
                      <w:kern w:val="0"/>
                      <w:sz w:val="24"/>
                      <w:highlight w:val="none"/>
                    </w:rPr>
                    <w:t>服务费比率</w:t>
                  </w:r>
                </w:p>
              </w:tc>
              <w:tc>
                <w:tcPr>
                  <w:tcW w:w="1983" w:type="dxa"/>
                  <w:tcBorders>
                    <w:top w:val="single" w:color="auto" w:sz="4" w:space="0"/>
                    <w:left w:val="single" w:color="auto" w:sz="4" w:space="0"/>
                    <w:bottom w:val="single" w:color="auto" w:sz="4" w:space="0"/>
                    <w:right w:val="single" w:color="auto" w:sz="4" w:space="0"/>
                  </w:tcBorders>
                  <w:noWrap/>
                  <w:vAlign w:val="center"/>
                </w:tcPr>
                <w:p w14:paraId="0977E564">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备注</w:t>
                  </w:r>
                </w:p>
              </w:tc>
            </w:tr>
            <w:tr w14:paraId="308BF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67" w:hRule="atLeast"/>
                <w:tblCellSpacing w:w="0" w:type="dxa"/>
                <w:jc w:val="center"/>
              </w:trPr>
              <w:tc>
                <w:tcPr>
                  <w:tcW w:w="2767" w:type="dxa"/>
                  <w:tcBorders>
                    <w:top w:val="single" w:color="auto" w:sz="4" w:space="0"/>
                    <w:left w:val="single" w:color="auto" w:sz="4" w:space="0"/>
                    <w:bottom w:val="single" w:color="auto" w:sz="4" w:space="0"/>
                    <w:right w:val="single" w:color="auto" w:sz="4" w:space="0"/>
                  </w:tcBorders>
                  <w:noWrap/>
                  <w:vAlign w:val="center"/>
                </w:tcPr>
                <w:p w14:paraId="70D1C0CC">
                  <w:pPr>
                    <w:widowControl/>
                    <w:spacing w:line="420" w:lineRule="exact"/>
                    <w:jc w:val="center"/>
                    <w:rPr>
                      <w:rFonts w:ascii="宋体" w:hAnsi="宋体" w:cs="宋体"/>
                      <w:color w:val="auto"/>
                      <w:kern w:val="0"/>
                      <w:sz w:val="24"/>
                      <w:highlight w:val="none"/>
                    </w:rPr>
                  </w:pPr>
                  <w:r>
                    <w:rPr>
                      <w:rFonts w:ascii="宋体" w:hAnsi="宋体" w:cs="宋体"/>
                      <w:color w:val="auto"/>
                      <w:kern w:val="0"/>
                      <w:sz w:val="24"/>
                      <w:highlight w:val="none"/>
                    </w:rPr>
                    <w:t>100</w:t>
                  </w:r>
                  <w:r>
                    <w:rPr>
                      <w:rFonts w:hint="eastAsia" w:ascii="宋体" w:hAnsi="宋体" w:cs="宋体"/>
                      <w:color w:val="auto"/>
                      <w:kern w:val="0"/>
                      <w:sz w:val="24"/>
                      <w:highlight w:val="none"/>
                    </w:rPr>
                    <w:t>以下</w:t>
                  </w:r>
                </w:p>
              </w:tc>
              <w:tc>
                <w:tcPr>
                  <w:tcW w:w="2205" w:type="dxa"/>
                  <w:tcBorders>
                    <w:top w:val="single" w:color="auto" w:sz="4" w:space="0"/>
                    <w:left w:val="single" w:color="auto" w:sz="4" w:space="0"/>
                    <w:bottom w:val="single" w:color="auto" w:sz="4" w:space="0"/>
                    <w:right w:val="single" w:color="auto" w:sz="12" w:space="0"/>
                  </w:tcBorders>
                  <w:noWrap/>
                  <w:vAlign w:val="center"/>
                </w:tcPr>
                <w:p w14:paraId="03C40CFC">
                  <w:pPr>
                    <w:widowControl/>
                    <w:spacing w:line="420" w:lineRule="exact"/>
                    <w:jc w:val="center"/>
                    <w:rPr>
                      <w:rFonts w:ascii="宋体" w:hAnsi="宋体" w:cs="宋体"/>
                      <w:color w:val="auto"/>
                      <w:kern w:val="0"/>
                      <w:sz w:val="24"/>
                      <w:highlight w:val="none"/>
                    </w:rPr>
                  </w:pPr>
                  <w:r>
                    <w:rPr>
                      <w:rFonts w:ascii="宋体" w:hAnsi="宋体" w:cs="宋体"/>
                      <w:color w:val="auto"/>
                      <w:kern w:val="0"/>
                      <w:sz w:val="24"/>
                      <w:highlight w:val="none"/>
                    </w:rPr>
                    <w:t>1.5</w:t>
                  </w:r>
                  <w:r>
                    <w:rPr>
                      <w:rFonts w:hint="eastAsia" w:ascii="宋体" w:hAnsi="宋体" w:cs="宋体"/>
                      <w:color w:val="auto"/>
                      <w:kern w:val="0"/>
                      <w:sz w:val="24"/>
                      <w:highlight w:val="none"/>
                    </w:rPr>
                    <w:t>％</w:t>
                  </w:r>
                </w:p>
              </w:tc>
              <w:tc>
                <w:tcPr>
                  <w:tcW w:w="1983" w:type="dxa"/>
                  <w:vMerge w:val="restart"/>
                  <w:tcBorders>
                    <w:top w:val="single" w:color="auto" w:sz="4" w:space="0"/>
                    <w:left w:val="single" w:color="auto" w:sz="4" w:space="0"/>
                    <w:bottom w:val="single" w:color="auto" w:sz="4" w:space="0"/>
                    <w:right w:val="single" w:color="auto" w:sz="4" w:space="0"/>
                  </w:tcBorders>
                  <w:noWrap/>
                  <w:vAlign w:val="top"/>
                </w:tcPr>
                <w:p w14:paraId="2D3581C8">
                  <w:pPr>
                    <w:widowControl/>
                    <w:spacing w:line="420" w:lineRule="exact"/>
                    <w:rPr>
                      <w:rFonts w:ascii="宋体" w:hAnsi="宋体" w:cs="宋体"/>
                      <w:color w:val="auto"/>
                      <w:kern w:val="0"/>
                      <w:sz w:val="24"/>
                      <w:highlight w:val="none"/>
                    </w:rPr>
                  </w:pPr>
                  <w:r>
                    <w:rPr>
                      <w:rFonts w:hint="eastAsia" w:ascii="宋体" w:hAnsi="宋体" w:cs="宋体"/>
                      <w:color w:val="auto"/>
                      <w:kern w:val="0"/>
                      <w:sz w:val="24"/>
                      <w:highlight w:val="none"/>
                    </w:rPr>
                    <w:t>招标代理服务费按差额定率累进法计算。</w:t>
                  </w:r>
                </w:p>
              </w:tc>
            </w:tr>
            <w:tr w14:paraId="23DEB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87" w:hRule="atLeast"/>
                <w:tblCellSpacing w:w="0" w:type="dxa"/>
                <w:jc w:val="center"/>
              </w:trPr>
              <w:tc>
                <w:tcPr>
                  <w:tcW w:w="2767" w:type="dxa"/>
                  <w:tcBorders>
                    <w:top w:val="single" w:color="auto" w:sz="4" w:space="0"/>
                    <w:left w:val="single" w:color="auto" w:sz="4" w:space="0"/>
                    <w:bottom w:val="single" w:color="auto" w:sz="4" w:space="0"/>
                    <w:right w:val="single" w:color="auto" w:sz="4" w:space="0"/>
                  </w:tcBorders>
                  <w:noWrap/>
                  <w:vAlign w:val="center"/>
                </w:tcPr>
                <w:p w14:paraId="5B91538B">
                  <w:pPr>
                    <w:widowControl/>
                    <w:spacing w:line="420" w:lineRule="exact"/>
                    <w:jc w:val="center"/>
                    <w:rPr>
                      <w:rFonts w:ascii="宋体" w:hAnsi="宋体" w:cs="宋体"/>
                      <w:color w:val="auto"/>
                      <w:kern w:val="0"/>
                      <w:sz w:val="24"/>
                      <w:highlight w:val="none"/>
                    </w:rPr>
                  </w:pPr>
                  <w:r>
                    <w:rPr>
                      <w:rFonts w:ascii="宋体" w:hAnsi="宋体" w:cs="宋体"/>
                      <w:color w:val="auto"/>
                      <w:kern w:val="0"/>
                      <w:sz w:val="24"/>
                      <w:highlight w:val="none"/>
                    </w:rPr>
                    <w:t>100—500</w:t>
                  </w:r>
                </w:p>
              </w:tc>
              <w:tc>
                <w:tcPr>
                  <w:tcW w:w="2205" w:type="dxa"/>
                  <w:tcBorders>
                    <w:top w:val="single" w:color="auto" w:sz="4" w:space="0"/>
                    <w:left w:val="single" w:color="auto" w:sz="4" w:space="0"/>
                    <w:bottom w:val="single" w:color="auto" w:sz="4" w:space="0"/>
                    <w:right w:val="single" w:color="auto" w:sz="12" w:space="0"/>
                  </w:tcBorders>
                  <w:noWrap/>
                  <w:vAlign w:val="center"/>
                </w:tcPr>
                <w:p w14:paraId="45EEC736">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0.8％</w:t>
                  </w:r>
                </w:p>
              </w:tc>
              <w:tc>
                <w:tcPr>
                  <w:tcW w:w="1983" w:type="dxa"/>
                  <w:vMerge w:val="continue"/>
                  <w:tcBorders>
                    <w:top w:val="single" w:color="auto" w:sz="4" w:space="0"/>
                    <w:left w:val="single" w:color="auto" w:sz="4" w:space="0"/>
                    <w:bottom w:val="single" w:color="auto" w:sz="4" w:space="0"/>
                    <w:right w:val="single" w:color="auto" w:sz="4" w:space="0"/>
                  </w:tcBorders>
                  <w:noWrap/>
                  <w:vAlign w:val="center"/>
                </w:tcPr>
                <w:p w14:paraId="4CA74A00">
                  <w:pPr>
                    <w:widowControl/>
                    <w:spacing w:line="420" w:lineRule="exact"/>
                    <w:jc w:val="center"/>
                    <w:rPr>
                      <w:rFonts w:ascii="宋体" w:hAnsi="宋体" w:cs="宋体"/>
                      <w:color w:val="auto"/>
                      <w:kern w:val="0"/>
                      <w:sz w:val="24"/>
                      <w:highlight w:val="none"/>
                    </w:rPr>
                  </w:pPr>
                </w:p>
              </w:tc>
            </w:tr>
            <w:tr w14:paraId="07497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79" w:hRule="atLeast"/>
                <w:tblCellSpacing w:w="0" w:type="dxa"/>
                <w:jc w:val="center"/>
              </w:trPr>
              <w:tc>
                <w:tcPr>
                  <w:tcW w:w="2767" w:type="dxa"/>
                  <w:tcBorders>
                    <w:top w:val="single" w:color="auto" w:sz="4" w:space="0"/>
                    <w:left w:val="single" w:color="auto" w:sz="4" w:space="0"/>
                    <w:bottom w:val="single" w:color="auto" w:sz="4" w:space="0"/>
                    <w:right w:val="single" w:color="auto" w:sz="4" w:space="0"/>
                  </w:tcBorders>
                  <w:noWrap/>
                  <w:vAlign w:val="center"/>
                </w:tcPr>
                <w:p w14:paraId="6190FB83">
                  <w:pPr>
                    <w:widowControl/>
                    <w:spacing w:line="420" w:lineRule="exact"/>
                    <w:jc w:val="center"/>
                    <w:rPr>
                      <w:rFonts w:ascii="宋体" w:hAnsi="宋体" w:cs="宋体"/>
                      <w:color w:val="auto"/>
                      <w:kern w:val="0"/>
                      <w:sz w:val="24"/>
                      <w:highlight w:val="none"/>
                    </w:rPr>
                  </w:pPr>
                  <w:r>
                    <w:rPr>
                      <w:rFonts w:ascii="宋体" w:hAnsi="宋体" w:cs="宋体"/>
                      <w:color w:val="auto"/>
                      <w:kern w:val="0"/>
                      <w:sz w:val="24"/>
                      <w:highlight w:val="none"/>
                    </w:rPr>
                    <w:t>500-1000</w:t>
                  </w:r>
                </w:p>
              </w:tc>
              <w:tc>
                <w:tcPr>
                  <w:tcW w:w="2205" w:type="dxa"/>
                  <w:tcBorders>
                    <w:top w:val="single" w:color="auto" w:sz="4" w:space="0"/>
                    <w:left w:val="single" w:color="auto" w:sz="4" w:space="0"/>
                    <w:bottom w:val="single" w:color="auto" w:sz="4" w:space="0"/>
                    <w:right w:val="single" w:color="auto" w:sz="12" w:space="0"/>
                  </w:tcBorders>
                  <w:noWrap/>
                  <w:vAlign w:val="center"/>
                </w:tcPr>
                <w:p w14:paraId="1AD04EAD">
                  <w:pPr>
                    <w:widowControl/>
                    <w:spacing w:line="420" w:lineRule="exact"/>
                    <w:jc w:val="center"/>
                    <w:rPr>
                      <w:rFonts w:ascii="宋体" w:hAnsi="宋体" w:cs="宋体"/>
                      <w:color w:val="auto"/>
                      <w:kern w:val="0"/>
                      <w:sz w:val="24"/>
                      <w:highlight w:val="none"/>
                    </w:rPr>
                  </w:pPr>
                  <w:r>
                    <w:rPr>
                      <w:rFonts w:ascii="宋体" w:hAnsi="宋体" w:cs="宋体"/>
                      <w:color w:val="auto"/>
                      <w:kern w:val="0"/>
                      <w:sz w:val="24"/>
                      <w:highlight w:val="none"/>
                    </w:rPr>
                    <w:t>0.</w:t>
                  </w:r>
                  <w:r>
                    <w:rPr>
                      <w:rFonts w:hint="eastAsia" w:ascii="宋体" w:hAnsi="宋体" w:cs="宋体"/>
                      <w:color w:val="auto"/>
                      <w:kern w:val="0"/>
                      <w:sz w:val="24"/>
                      <w:highlight w:val="none"/>
                    </w:rPr>
                    <w:t>45％</w:t>
                  </w:r>
                </w:p>
              </w:tc>
              <w:tc>
                <w:tcPr>
                  <w:tcW w:w="1983" w:type="dxa"/>
                  <w:vMerge w:val="continue"/>
                  <w:tcBorders>
                    <w:top w:val="single" w:color="auto" w:sz="4" w:space="0"/>
                    <w:left w:val="single" w:color="auto" w:sz="4" w:space="0"/>
                    <w:bottom w:val="single" w:color="auto" w:sz="4" w:space="0"/>
                    <w:right w:val="single" w:color="auto" w:sz="4" w:space="0"/>
                  </w:tcBorders>
                  <w:noWrap/>
                  <w:vAlign w:val="center"/>
                </w:tcPr>
                <w:p w14:paraId="7A038A88">
                  <w:pPr>
                    <w:widowControl/>
                    <w:spacing w:line="420" w:lineRule="exact"/>
                    <w:jc w:val="center"/>
                    <w:rPr>
                      <w:rFonts w:ascii="宋体" w:hAnsi="宋体" w:cs="宋体"/>
                      <w:color w:val="auto"/>
                      <w:kern w:val="0"/>
                      <w:sz w:val="24"/>
                      <w:highlight w:val="none"/>
                    </w:rPr>
                  </w:pPr>
                </w:p>
              </w:tc>
            </w:tr>
            <w:tr w14:paraId="2EA4C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57" w:hRule="atLeast"/>
                <w:tblCellSpacing w:w="0" w:type="dxa"/>
                <w:jc w:val="center"/>
              </w:trPr>
              <w:tc>
                <w:tcPr>
                  <w:tcW w:w="2767" w:type="dxa"/>
                  <w:tcBorders>
                    <w:top w:val="single" w:color="auto" w:sz="4" w:space="0"/>
                    <w:left w:val="single" w:color="auto" w:sz="4" w:space="0"/>
                    <w:bottom w:val="single" w:color="auto" w:sz="4" w:space="0"/>
                    <w:right w:val="single" w:color="auto" w:sz="4" w:space="0"/>
                  </w:tcBorders>
                  <w:noWrap/>
                  <w:vAlign w:val="center"/>
                </w:tcPr>
                <w:p w14:paraId="271857BF">
                  <w:pPr>
                    <w:widowControl/>
                    <w:spacing w:line="420" w:lineRule="exact"/>
                    <w:jc w:val="center"/>
                    <w:rPr>
                      <w:rFonts w:ascii="宋体" w:hAnsi="宋体" w:cs="宋体"/>
                      <w:color w:val="auto"/>
                      <w:kern w:val="0"/>
                      <w:sz w:val="24"/>
                      <w:highlight w:val="none"/>
                    </w:rPr>
                  </w:pPr>
                  <w:r>
                    <w:rPr>
                      <w:rFonts w:ascii="宋体" w:hAnsi="宋体" w:cs="宋体"/>
                      <w:color w:val="auto"/>
                      <w:kern w:val="0"/>
                      <w:sz w:val="24"/>
                      <w:highlight w:val="none"/>
                    </w:rPr>
                    <w:t>1000—5000</w:t>
                  </w:r>
                </w:p>
              </w:tc>
              <w:tc>
                <w:tcPr>
                  <w:tcW w:w="2205" w:type="dxa"/>
                  <w:tcBorders>
                    <w:top w:val="single" w:color="auto" w:sz="4" w:space="0"/>
                    <w:left w:val="single" w:color="auto" w:sz="4" w:space="0"/>
                    <w:bottom w:val="single" w:color="auto" w:sz="4" w:space="0"/>
                    <w:right w:val="single" w:color="auto" w:sz="12" w:space="0"/>
                  </w:tcBorders>
                  <w:noWrap/>
                  <w:vAlign w:val="center"/>
                </w:tcPr>
                <w:p w14:paraId="1441DD15">
                  <w:pPr>
                    <w:widowControl/>
                    <w:spacing w:line="420" w:lineRule="exact"/>
                    <w:jc w:val="center"/>
                    <w:rPr>
                      <w:rFonts w:ascii="宋体" w:hAnsi="宋体" w:cs="宋体"/>
                      <w:color w:val="auto"/>
                      <w:kern w:val="0"/>
                      <w:sz w:val="24"/>
                      <w:highlight w:val="none"/>
                    </w:rPr>
                  </w:pPr>
                  <w:r>
                    <w:rPr>
                      <w:rFonts w:ascii="宋体" w:hAnsi="宋体" w:cs="宋体"/>
                      <w:color w:val="auto"/>
                      <w:kern w:val="0"/>
                      <w:sz w:val="24"/>
                      <w:highlight w:val="none"/>
                    </w:rPr>
                    <w:t>0.</w:t>
                  </w:r>
                  <w:r>
                    <w:rPr>
                      <w:rFonts w:hint="eastAsia" w:ascii="宋体" w:hAnsi="宋体" w:cs="宋体"/>
                      <w:color w:val="auto"/>
                      <w:kern w:val="0"/>
                      <w:sz w:val="24"/>
                      <w:highlight w:val="none"/>
                    </w:rPr>
                    <w:t>25％</w:t>
                  </w:r>
                </w:p>
              </w:tc>
              <w:tc>
                <w:tcPr>
                  <w:tcW w:w="1983" w:type="dxa"/>
                  <w:vMerge w:val="continue"/>
                  <w:tcBorders>
                    <w:top w:val="single" w:color="auto" w:sz="4" w:space="0"/>
                    <w:left w:val="single" w:color="auto" w:sz="4" w:space="0"/>
                    <w:bottom w:val="single" w:color="auto" w:sz="4" w:space="0"/>
                    <w:right w:val="single" w:color="auto" w:sz="4" w:space="0"/>
                  </w:tcBorders>
                  <w:noWrap/>
                  <w:vAlign w:val="center"/>
                </w:tcPr>
                <w:p w14:paraId="4CFE90B5">
                  <w:pPr>
                    <w:widowControl/>
                    <w:spacing w:line="420" w:lineRule="exact"/>
                    <w:jc w:val="center"/>
                    <w:rPr>
                      <w:rFonts w:ascii="宋体" w:hAnsi="宋体" w:cs="宋体"/>
                      <w:color w:val="auto"/>
                      <w:kern w:val="0"/>
                      <w:sz w:val="24"/>
                      <w:highlight w:val="none"/>
                    </w:rPr>
                  </w:pPr>
                </w:p>
              </w:tc>
            </w:tr>
          </w:tbl>
          <w:p w14:paraId="687C230A">
            <w:pPr>
              <w:spacing w:line="440" w:lineRule="exact"/>
              <w:rPr>
                <w:rFonts w:hint="eastAsia" w:ascii="宋体" w:hAnsi="宋体" w:eastAsia="宋体" w:cs="宋体"/>
                <w:color w:val="auto"/>
                <w:sz w:val="24"/>
                <w:highlight w:val="none"/>
                <w:lang w:eastAsia="zh-CN"/>
              </w:rPr>
            </w:pPr>
            <w:r>
              <w:rPr>
                <w:rFonts w:hint="eastAsia" w:ascii="宋体" w:hAnsi="宋体" w:cs="宋体"/>
                <w:color w:val="auto"/>
                <w:sz w:val="24"/>
                <w:highlight w:val="none"/>
              </w:rPr>
              <w:t>开户名：</w:t>
            </w:r>
            <w:r>
              <w:rPr>
                <w:rFonts w:hint="eastAsia" w:ascii="宋体" w:hAnsi="宋体" w:cs="宋体"/>
                <w:color w:val="auto"/>
                <w:sz w:val="24"/>
                <w:highlight w:val="none"/>
                <w:lang w:eastAsia="zh-CN"/>
              </w:rPr>
              <w:t>福建优胜招标项目管理集团有限公司</w:t>
            </w:r>
            <w:r>
              <w:rPr>
                <w:rFonts w:hint="eastAsia" w:ascii="宋体" w:hAnsi="宋体" w:cs="宋体"/>
                <w:color w:val="auto"/>
                <w:sz w:val="24"/>
                <w:highlight w:val="none"/>
                <w:lang w:val="en-US" w:eastAsia="zh-CN"/>
              </w:rPr>
              <w:t>龙岩分公司</w:t>
            </w:r>
            <w:r>
              <w:rPr>
                <w:rFonts w:hint="eastAsia" w:ascii="宋体" w:hAnsi="宋体" w:cs="宋体"/>
                <w:color w:val="auto"/>
                <w:sz w:val="24"/>
                <w:highlight w:val="none"/>
              </w:rPr>
              <w:t>开户行：</w:t>
            </w:r>
            <w:r>
              <w:rPr>
                <w:rFonts w:hint="eastAsia" w:ascii="宋体" w:hAnsi="宋体" w:cs="宋体"/>
                <w:color w:val="auto"/>
                <w:sz w:val="24"/>
                <w:highlight w:val="none"/>
                <w:lang w:eastAsia="zh-CN"/>
              </w:rPr>
              <w:t>中国民生银行股份有限公司龙岩分行营业部</w:t>
            </w:r>
          </w:p>
          <w:p w14:paraId="368F8BBF">
            <w:pPr>
              <w:spacing w:line="360" w:lineRule="auto"/>
              <w:rPr>
                <w:rFonts w:hint="eastAsia" w:ascii="宋体" w:hAnsi="宋体"/>
                <w:color w:val="auto"/>
                <w:sz w:val="24"/>
                <w:highlight w:val="none"/>
              </w:rPr>
            </w:pPr>
            <w:r>
              <w:rPr>
                <w:rFonts w:hint="eastAsia" w:ascii="宋体" w:hAnsi="宋体" w:cs="宋体"/>
                <w:color w:val="auto"/>
                <w:sz w:val="24"/>
                <w:highlight w:val="none"/>
              </w:rPr>
              <w:t>账号：</w:t>
            </w:r>
            <w:r>
              <w:rPr>
                <w:rFonts w:hint="eastAsia" w:ascii="宋体" w:hAnsi="宋体" w:cs="宋体"/>
                <w:b w:val="0"/>
                <w:bCs w:val="0"/>
                <w:color w:val="auto"/>
                <w:sz w:val="24"/>
                <w:highlight w:val="none"/>
                <w:lang w:eastAsia="zh-CN"/>
              </w:rPr>
              <w:t>65165 4604</w:t>
            </w:r>
            <w:r>
              <w:rPr>
                <w:rFonts w:hint="eastAsia" w:ascii="宋体" w:hAnsi="宋体" w:cs="宋体"/>
                <w:color w:val="auto"/>
                <w:sz w:val="24"/>
                <w:highlight w:val="none"/>
              </w:rPr>
              <w:t> </w:t>
            </w:r>
          </w:p>
        </w:tc>
      </w:tr>
      <w:tr w14:paraId="0DADD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jc w:val="center"/>
        </w:trPr>
        <w:tc>
          <w:tcPr>
            <w:tcW w:w="770" w:type="dxa"/>
            <w:noWrap w:val="0"/>
            <w:vAlign w:val="center"/>
          </w:tcPr>
          <w:p w14:paraId="367F1A6F">
            <w:pPr>
              <w:spacing w:line="360" w:lineRule="auto"/>
              <w:jc w:val="center"/>
              <w:rPr>
                <w:rFonts w:hint="eastAsia" w:ascii="宋体" w:hAnsi="宋体"/>
                <w:color w:val="auto"/>
                <w:sz w:val="24"/>
                <w:highlight w:val="none"/>
              </w:rPr>
            </w:pPr>
            <w:r>
              <w:rPr>
                <w:rFonts w:hint="eastAsia" w:ascii="宋体" w:hAnsi="宋体"/>
                <w:color w:val="auto"/>
                <w:sz w:val="24"/>
                <w:highlight w:val="none"/>
              </w:rPr>
              <w:t>8</w:t>
            </w:r>
          </w:p>
        </w:tc>
        <w:tc>
          <w:tcPr>
            <w:tcW w:w="955" w:type="dxa"/>
            <w:noWrap w:val="0"/>
            <w:vAlign w:val="center"/>
          </w:tcPr>
          <w:p w14:paraId="54FE7A3A">
            <w:pPr>
              <w:spacing w:line="360" w:lineRule="auto"/>
              <w:ind w:firstLine="480" w:firstLineChars="200"/>
              <w:jc w:val="center"/>
              <w:rPr>
                <w:rFonts w:hint="eastAsia" w:ascii="宋体" w:hAnsi="宋体"/>
                <w:color w:val="auto"/>
                <w:sz w:val="24"/>
                <w:highlight w:val="none"/>
              </w:rPr>
            </w:pPr>
          </w:p>
        </w:tc>
        <w:tc>
          <w:tcPr>
            <w:tcW w:w="7463" w:type="dxa"/>
            <w:noWrap w:val="0"/>
            <w:vAlign w:val="center"/>
          </w:tcPr>
          <w:p w14:paraId="122D8229">
            <w:pPr>
              <w:spacing w:line="360" w:lineRule="auto"/>
              <w:rPr>
                <w:rFonts w:hint="eastAsia" w:ascii="宋体" w:hAnsi="宋体"/>
                <w:color w:val="auto"/>
                <w:sz w:val="24"/>
                <w:highlight w:val="none"/>
              </w:rPr>
            </w:pPr>
            <w:r>
              <w:rPr>
                <w:rFonts w:hint="eastAsia" w:ascii="宋体" w:hAnsi="宋体"/>
                <w:color w:val="auto"/>
                <w:sz w:val="24"/>
                <w:highlight w:val="none"/>
              </w:rPr>
              <w:t>采购项目监督部门：采购人单位监督管理部门</w:t>
            </w:r>
          </w:p>
        </w:tc>
      </w:tr>
      <w:tr w14:paraId="2B4A2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noWrap w:val="0"/>
            <w:vAlign w:val="center"/>
          </w:tcPr>
          <w:p w14:paraId="7D5B3415">
            <w:pPr>
              <w:spacing w:line="360" w:lineRule="auto"/>
              <w:jc w:val="center"/>
              <w:rPr>
                <w:rFonts w:hint="eastAsia" w:ascii="宋体" w:hAnsi="宋体"/>
                <w:color w:val="auto"/>
                <w:sz w:val="24"/>
                <w:highlight w:val="none"/>
              </w:rPr>
            </w:pPr>
            <w:r>
              <w:rPr>
                <w:rFonts w:hint="eastAsia" w:ascii="宋体" w:hAnsi="宋体"/>
                <w:color w:val="auto"/>
                <w:sz w:val="24"/>
                <w:highlight w:val="none"/>
                <w:lang w:val="en-US" w:eastAsia="zh-CN"/>
              </w:rPr>
              <w:t>9</w:t>
            </w:r>
          </w:p>
        </w:tc>
        <w:tc>
          <w:tcPr>
            <w:tcW w:w="955" w:type="dxa"/>
            <w:noWrap w:val="0"/>
            <w:vAlign w:val="center"/>
          </w:tcPr>
          <w:p w14:paraId="4FB96493">
            <w:pPr>
              <w:spacing w:line="360" w:lineRule="auto"/>
              <w:ind w:firstLine="480" w:firstLineChars="200"/>
              <w:jc w:val="center"/>
              <w:rPr>
                <w:rFonts w:hint="eastAsia" w:ascii="宋体" w:hAnsi="宋体"/>
                <w:color w:val="auto"/>
                <w:sz w:val="24"/>
                <w:highlight w:val="none"/>
              </w:rPr>
            </w:pPr>
          </w:p>
        </w:tc>
        <w:tc>
          <w:tcPr>
            <w:tcW w:w="7463" w:type="dxa"/>
            <w:noWrap w:val="0"/>
            <w:vAlign w:val="center"/>
          </w:tcPr>
          <w:p w14:paraId="6BD120ED">
            <w:pPr>
              <w:autoSpaceDE w:val="0"/>
              <w:autoSpaceDN w:val="0"/>
              <w:adjustRightInd w:val="0"/>
              <w:spacing w:line="360" w:lineRule="auto"/>
              <w:jc w:val="both"/>
              <w:rPr>
                <w:rFonts w:hint="eastAsia" w:ascii="宋体" w:hAnsi="宋体"/>
                <w:color w:val="auto"/>
                <w:sz w:val="24"/>
                <w:highlight w:val="none"/>
              </w:rPr>
            </w:pPr>
            <w:r>
              <w:rPr>
                <w:rFonts w:hint="eastAsia" w:ascii="宋体" w:hAnsi="宋体"/>
                <w:color w:val="auto"/>
                <w:sz w:val="24"/>
                <w:highlight w:val="none"/>
              </w:rPr>
              <w:t>本次招标是否接受联合体投标   是（）  否（√）</w:t>
            </w:r>
          </w:p>
        </w:tc>
      </w:tr>
      <w:tr w14:paraId="3CFAC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770" w:type="dxa"/>
            <w:noWrap w:val="0"/>
            <w:vAlign w:val="center"/>
          </w:tcPr>
          <w:p w14:paraId="49308385">
            <w:pPr>
              <w:spacing w:line="360" w:lineRule="auto"/>
              <w:jc w:val="center"/>
              <w:rPr>
                <w:rFonts w:ascii="宋体" w:hAnsi="宋体"/>
                <w:color w:val="auto"/>
                <w:sz w:val="24"/>
                <w:highlight w:val="none"/>
              </w:rPr>
            </w:pPr>
            <w:r>
              <w:rPr>
                <w:rFonts w:hint="eastAsia" w:ascii="宋体" w:hAnsi="宋体"/>
                <w:color w:val="auto"/>
                <w:sz w:val="24"/>
                <w:highlight w:val="none"/>
              </w:rPr>
              <w:t>1</w:t>
            </w:r>
            <w:r>
              <w:rPr>
                <w:rFonts w:hint="eastAsia" w:ascii="宋体" w:hAnsi="宋体"/>
                <w:color w:val="auto"/>
                <w:sz w:val="24"/>
                <w:highlight w:val="none"/>
                <w:lang w:val="en-US" w:eastAsia="zh-CN"/>
              </w:rPr>
              <w:t>0</w:t>
            </w:r>
          </w:p>
        </w:tc>
        <w:tc>
          <w:tcPr>
            <w:tcW w:w="955" w:type="dxa"/>
            <w:noWrap w:val="0"/>
            <w:vAlign w:val="center"/>
          </w:tcPr>
          <w:p w14:paraId="1EB2708A">
            <w:pPr>
              <w:spacing w:line="360" w:lineRule="auto"/>
              <w:ind w:firstLine="480" w:firstLineChars="200"/>
              <w:jc w:val="center"/>
              <w:rPr>
                <w:rFonts w:hint="eastAsia" w:ascii="宋体" w:hAnsi="宋体"/>
                <w:color w:val="auto"/>
                <w:sz w:val="24"/>
                <w:highlight w:val="none"/>
              </w:rPr>
            </w:pPr>
          </w:p>
        </w:tc>
        <w:tc>
          <w:tcPr>
            <w:tcW w:w="7463" w:type="dxa"/>
            <w:noWrap w:val="0"/>
            <w:vAlign w:val="center"/>
          </w:tcPr>
          <w:p w14:paraId="52420D63">
            <w:pPr>
              <w:pStyle w:val="3"/>
              <w:rPr>
                <w:rFonts w:hint="default"/>
                <w:color w:val="auto"/>
                <w:highlight w:val="none"/>
                <w:lang w:val="en-US" w:eastAsia="zh-CN"/>
              </w:rPr>
            </w:pPr>
            <w:r>
              <w:rPr>
                <w:rFonts w:hint="eastAsia" w:ascii="宋体" w:hAnsi="宋体"/>
                <w:color w:val="auto"/>
                <w:sz w:val="24"/>
                <w:highlight w:val="none"/>
              </w:rPr>
              <w:t>本项目合同包</w:t>
            </w:r>
            <w:r>
              <w:rPr>
                <w:rFonts w:hint="eastAsia" w:ascii="宋体" w:hAnsi="宋体"/>
                <w:color w:val="auto"/>
                <w:sz w:val="24"/>
                <w:highlight w:val="none"/>
                <w:lang w:val="en-US" w:eastAsia="zh-CN"/>
              </w:rPr>
              <w:t>1</w:t>
            </w:r>
            <w:r>
              <w:rPr>
                <w:rFonts w:hint="eastAsia" w:ascii="宋体" w:hAnsi="宋体"/>
                <w:color w:val="auto"/>
                <w:sz w:val="24"/>
                <w:highlight w:val="none"/>
              </w:rPr>
              <w:t>确定的成交人家数：</w:t>
            </w:r>
            <w:r>
              <w:rPr>
                <w:rFonts w:hint="eastAsia" w:ascii="宋体" w:hAnsi="宋体"/>
                <w:color w:val="auto"/>
                <w:sz w:val="24"/>
                <w:highlight w:val="none"/>
                <w:lang w:val="en-US" w:eastAsia="zh-CN"/>
              </w:rPr>
              <w:t>1</w:t>
            </w:r>
            <w:r>
              <w:rPr>
                <w:rFonts w:hint="eastAsia" w:ascii="宋体" w:hAnsi="宋体"/>
                <w:color w:val="auto"/>
                <w:sz w:val="24"/>
                <w:highlight w:val="none"/>
              </w:rPr>
              <w:t>家</w:t>
            </w:r>
          </w:p>
        </w:tc>
      </w:tr>
      <w:tr w14:paraId="1CC0B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jc w:val="center"/>
        </w:trPr>
        <w:tc>
          <w:tcPr>
            <w:tcW w:w="770" w:type="dxa"/>
            <w:noWrap w:val="0"/>
            <w:vAlign w:val="center"/>
          </w:tcPr>
          <w:p w14:paraId="69E5D199">
            <w:pPr>
              <w:spacing w:line="360" w:lineRule="auto"/>
              <w:jc w:val="center"/>
              <w:rPr>
                <w:rFonts w:hint="eastAsia" w:ascii="宋体" w:hAnsi="宋体"/>
                <w:color w:val="auto"/>
                <w:sz w:val="24"/>
                <w:highlight w:val="none"/>
              </w:rPr>
            </w:pPr>
            <w:r>
              <w:rPr>
                <w:rFonts w:hint="eastAsia" w:ascii="宋体" w:hAnsi="宋体"/>
                <w:color w:val="auto"/>
                <w:sz w:val="24"/>
                <w:highlight w:val="none"/>
              </w:rPr>
              <w:t>1</w:t>
            </w:r>
            <w:r>
              <w:rPr>
                <w:rFonts w:hint="eastAsia" w:ascii="宋体" w:hAnsi="宋体"/>
                <w:color w:val="auto"/>
                <w:sz w:val="24"/>
                <w:highlight w:val="none"/>
                <w:lang w:val="en-US" w:eastAsia="zh-CN"/>
              </w:rPr>
              <w:t>1</w:t>
            </w:r>
          </w:p>
        </w:tc>
        <w:tc>
          <w:tcPr>
            <w:tcW w:w="955" w:type="dxa"/>
            <w:noWrap w:val="0"/>
            <w:vAlign w:val="center"/>
          </w:tcPr>
          <w:p w14:paraId="56295519">
            <w:pPr>
              <w:spacing w:line="360" w:lineRule="auto"/>
              <w:ind w:firstLine="480" w:firstLineChars="200"/>
              <w:jc w:val="center"/>
              <w:rPr>
                <w:rFonts w:hint="eastAsia" w:ascii="宋体" w:hAnsi="宋体"/>
                <w:color w:val="auto"/>
                <w:sz w:val="24"/>
                <w:highlight w:val="none"/>
              </w:rPr>
            </w:pPr>
          </w:p>
        </w:tc>
        <w:tc>
          <w:tcPr>
            <w:tcW w:w="7463" w:type="dxa"/>
            <w:noWrap w:val="0"/>
            <w:vAlign w:val="center"/>
          </w:tcPr>
          <w:p w14:paraId="6343E46A">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无效响应文件及废标具体条款：</w:t>
            </w:r>
          </w:p>
          <w:p w14:paraId="1211A10B">
            <w:pPr>
              <w:numPr>
                <w:ilvl w:val="0"/>
                <w:numId w:val="4"/>
              </w:numPr>
              <w:spacing w:line="360" w:lineRule="auto"/>
              <w:rPr>
                <w:rFonts w:hint="eastAsia" w:ascii="宋体" w:hAnsi="宋体"/>
                <w:color w:val="auto"/>
                <w:sz w:val="24"/>
                <w:highlight w:val="none"/>
              </w:rPr>
            </w:pPr>
            <w:r>
              <w:rPr>
                <w:rFonts w:hint="eastAsia" w:ascii="宋体" w:hAnsi="宋体"/>
                <w:color w:val="auto"/>
                <w:sz w:val="24"/>
                <w:highlight w:val="none"/>
              </w:rPr>
              <w:t>第二章第3.3、16.3、25.1、28.1条；</w:t>
            </w:r>
          </w:p>
          <w:p w14:paraId="4EF208CA">
            <w:pPr>
              <w:spacing w:line="360" w:lineRule="auto"/>
              <w:rPr>
                <w:rFonts w:hint="eastAsia" w:ascii="宋体" w:hAnsi="宋体"/>
                <w:b/>
                <w:bCs/>
                <w:color w:val="auto"/>
                <w:sz w:val="24"/>
                <w:highlight w:val="none"/>
              </w:rPr>
            </w:pPr>
            <w:r>
              <w:rPr>
                <w:rFonts w:hint="eastAsia" w:ascii="宋体" w:hAnsi="宋体"/>
                <w:b/>
                <w:bCs/>
                <w:color w:val="auto"/>
                <w:sz w:val="24"/>
                <w:highlight w:val="none"/>
              </w:rPr>
              <w:t>2、第三章 “备注：1、谈判供应商须实质性满足竞争性谈判文件《第三章 采购内容及要求》的所有要求，否则视为重大偏离，投标无效。成交供应商如无法按上述要求实施的，将被取消成交资格。”</w:t>
            </w:r>
          </w:p>
        </w:tc>
      </w:tr>
      <w:tr w14:paraId="5C5F1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770" w:type="dxa"/>
            <w:noWrap w:val="0"/>
            <w:vAlign w:val="center"/>
          </w:tcPr>
          <w:p w14:paraId="79B2E6CB">
            <w:pPr>
              <w:spacing w:line="360" w:lineRule="auto"/>
              <w:jc w:val="center"/>
              <w:rPr>
                <w:rFonts w:ascii="宋体" w:hAnsi="宋体"/>
                <w:color w:val="auto"/>
                <w:sz w:val="24"/>
                <w:highlight w:val="none"/>
              </w:rPr>
            </w:pPr>
            <w:r>
              <w:rPr>
                <w:rFonts w:hint="eastAsia" w:ascii="宋体" w:hAnsi="宋体"/>
                <w:color w:val="auto"/>
                <w:sz w:val="24"/>
                <w:highlight w:val="none"/>
              </w:rPr>
              <w:t>1</w:t>
            </w:r>
            <w:r>
              <w:rPr>
                <w:rFonts w:hint="eastAsia" w:ascii="宋体" w:hAnsi="宋体"/>
                <w:color w:val="auto"/>
                <w:sz w:val="24"/>
                <w:highlight w:val="none"/>
                <w:lang w:val="en-US" w:eastAsia="zh-CN"/>
              </w:rPr>
              <w:t>2</w:t>
            </w:r>
          </w:p>
        </w:tc>
        <w:tc>
          <w:tcPr>
            <w:tcW w:w="955" w:type="dxa"/>
            <w:noWrap w:val="0"/>
            <w:vAlign w:val="center"/>
          </w:tcPr>
          <w:p w14:paraId="1BBFB851">
            <w:pPr>
              <w:spacing w:line="360" w:lineRule="auto"/>
              <w:jc w:val="center"/>
              <w:rPr>
                <w:rFonts w:hint="eastAsia" w:ascii="宋体" w:hAnsi="宋体"/>
                <w:color w:val="auto"/>
                <w:sz w:val="24"/>
                <w:highlight w:val="none"/>
              </w:rPr>
            </w:pPr>
            <w:r>
              <w:rPr>
                <w:rFonts w:hint="eastAsia" w:ascii="宋体" w:hAnsi="宋体"/>
                <w:color w:val="auto"/>
                <w:sz w:val="24"/>
                <w:highlight w:val="none"/>
              </w:rPr>
              <w:t>32.2</w:t>
            </w:r>
          </w:p>
        </w:tc>
        <w:tc>
          <w:tcPr>
            <w:tcW w:w="7463" w:type="dxa"/>
            <w:noWrap w:val="0"/>
            <w:vAlign w:val="center"/>
          </w:tcPr>
          <w:p w14:paraId="4F401C98">
            <w:pPr>
              <w:spacing w:line="360" w:lineRule="auto"/>
              <w:rPr>
                <w:rFonts w:hint="eastAsia" w:ascii="宋体" w:hAnsi="宋体"/>
                <w:color w:val="auto"/>
                <w:sz w:val="24"/>
                <w:highlight w:val="none"/>
              </w:rPr>
            </w:pPr>
            <w:r>
              <w:rPr>
                <w:rFonts w:hint="eastAsia" w:ascii="宋体" w:hAnsi="宋体"/>
                <w:color w:val="auto"/>
                <w:sz w:val="24"/>
                <w:highlight w:val="none"/>
              </w:rPr>
              <w:t>对竞争性谈判文件的质疑时间：在谈判采购会召开</w:t>
            </w:r>
            <w:r>
              <w:rPr>
                <w:rFonts w:hint="eastAsia" w:ascii="宋体" w:hAnsi="宋体"/>
                <w:b/>
                <w:bCs/>
                <w:color w:val="auto"/>
                <w:sz w:val="24"/>
                <w:highlight w:val="none"/>
              </w:rPr>
              <w:t>2个工作</w:t>
            </w:r>
            <w:r>
              <w:rPr>
                <w:rFonts w:hint="eastAsia" w:ascii="宋体" w:hAnsi="宋体"/>
                <w:color w:val="auto"/>
                <w:sz w:val="24"/>
                <w:highlight w:val="none"/>
              </w:rPr>
              <w:t>日前。</w:t>
            </w:r>
          </w:p>
        </w:tc>
      </w:tr>
    </w:tbl>
    <w:p w14:paraId="3F2BC71B">
      <w:pPr>
        <w:spacing w:line="360" w:lineRule="auto"/>
        <w:ind w:firstLine="0" w:firstLineChars="0"/>
        <w:jc w:val="center"/>
        <w:outlineLvl w:val="1"/>
        <w:rPr>
          <w:rFonts w:ascii="宋体" w:hAnsi="宋体"/>
          <w:b/>
          <w:bCs/>
          <w:color w:val="auto"/>
          <w:sz w:val="28"/>
          <w:highlight w:val="none"/>
        </w:rPr>
      </w:pPr>
      <w:bookmarkStart w:id="5" w:name="_Toc3031"/>
      <w:r>
        <w:rPr>
          <w:rFonts w:hint="eastAsia" w:ascii="宋体" w:hAnsi="宋体"/>
          <w:b/>
          <w:bCs/>
          <w:color w:val="auto"/>
          <w:sz w:val="24"/>
          <w:highlight w:val="none"/>
        </w:rPr>
        <w:t>一、说明</w:t>
      </w:r>
      <w:bookmarkEnd w:id="5"/>
    </w:p>
    <w:p w14:paraId="3412BFEA">
      <w:pPr>
        <w:spacing w:line="360" w:lineRule="auto"/>
        <w:ind w:firstLine="480" w:firstLineChars="200"/>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、适用范围</w:t>
      </w:r>
    </w:p>
    <w:p w14:paraId="14C23F90">
      <w:pPr>
        <w:spacing w:line="360" w:lineRule="auto"/>
        <w:ind w:firstLine="480" w:firstLineChars="200"/>
        <w:rPr>
          <w:rFonts w:ascii="宋体" w:hAnsi="宋体"/>
          <w:color w:val="auto"/>
          <w:sz w:val="24"/>
          <w:highlight w:val="none"/>
        </w:rPr>
      </w:pPr>
      <w:r>
        <w:rPr>
          <w:rFonts w:ascii="宋体" w:hAnsi="宋体"/>
          <w:color w:val="auto"/>
          <w:sz w:val="24"/>
          <w:highlight w:val="none"/>
        </w:rPr>
        <w:t>1.1</w:t>
      </w:r>
      <w:r>
        <w:rPr>
          <w:rFonts w:hint="eastAsia" w:ascii="宋体" w:hAnsi="宋体"/>
          <w:color w:val="auto"/>
          <w:sz w:val="24"/>
          <w:highlight w:val="none"/>
        </w:rPr>
        <w:t>本竞争性谈判采购文件仅适用于本次竞争性谈判邀请中所叙述项目的服务采购。</w:t>
      </w:r>
    </w:p>
    <w:p w14:paraId="260AB7D9">
      <w:pPr>
        <w:spacing w:line="360" w:lineRule="auto"/>
        <w:ind w:firstLine="480" w:firstLineChars="200"/>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2参与此次谈判采购的当事人适用本须知。</w:t>
      </w:r>
    </w:p>
    <w:p w14:paraId="76729499">
      <w:pPr>
        <w:spacing w:line="360" w:lineRule="auto"/>
        <w:ind w:firstLine="480" w:firstLineChars="200"/>
        <w:rPr>
          <w:rFonts w:ascii="宋体" w:hAnsi="宋体"/>
          <w:color w:val="auto"/>
          <w:sz w:val="24"/>
          <w:highlight w:val="none"/>
        </w:rPr>
      </w:pPr>
      <w:r>
        <w:rPr>
          <w:rFonts w:ascii="宋体" w:hAnsi="宋体"/>
          <w:color w:val="auto"/>
          <w:sz w:val="24"/>
          <w:highlight w:val="none"/>
        </w:rPr>
        <w:t>2</w:t>
      </w:r>
      <w:r>
        <w:rPr>
          <w:rFonts w:hint="eastAsia" w:ascii="宋体" w:hAnsi="宋体"/>
          <w:color w:val="auto"/>
          <w:sz w:val="24"/>
          <w:highlight w:val="none"/>
        </w:rPr>
        <w:t>、定义</w:t>
      </w:r>
    </w:p>
    <w:p w14:paraId="01317C46">
      <w:pPr>
        <w:spacing w:line="360" w:lineRule="auto"/>
        <w:ind w:left="1" w:firstLine="480" w:firstLineChars="200"/>
        <w:rPr>
          <w:rFonts w:ascii="宋体" w:hAnsi="宋体"/>
          <w:color w:val="auto"/>
          <w:sz w:val="24"/>
          <w:highlight w:val="none"/>
        </w:rPr>
      </w:pPr>
      <w:r>
        <w:rPr>
          <w:rFonts w:ascii="宋体" w:hAnsi="宋体"/>
          <w:color w:val="auto"/>
          <w:sz w:val="24"/>
          <w:highlight w:val="none"/>
        </w:rPr>
        <w:t>2.1</w:t>
      </w:r>
      <w:r>
        <w:rPr>
          <w:rFonts w:hint="eastAsia" w:ascii="宋体" w:hAnsi="宋体"/>
          <w:color w:val="auto"/>
          <w:sz w:val="24"/>
          <w:highlight w:val="none"/>
        </w:rPr>
        <w:t>“采购代理机构”系指组织本次竞争性谈判的</w:t>
      </w:r>
      <w:r>
        <w:rPr>
          <w:rFonts w:hint="eastAsia" w:ascii="宋体" w:hAnsi="宋体"/>
          <w:color w:val="auto"/>
          <w:sz w:val="24"/>
          <w:highlight w:val="none"/>
          <w:lang w:eastAsia="zh-CN"/>
        </w:rPr>
        <w:t>福建优胜招标项目管理集团有限公司</w:t>
      </w:r>
      <w:r>
        <w:rPr>
          <w:rFonts w:hint="eastAsia" w:ascii="宋体" w:hAnsi="宋体"/>
          <w:color w:val="auto"/>
          <w:sz w:val="24"/>
          <w:highlight w:val="none"/>
        </w:rPr>
        <w:t>。</w:t>
      </w:r>
    </w:p>
    <w:p w14:paraId="0F4BF53D">
      <w:pPr>
        <w:spacing w:line="360" w:lineRule="auto"/>
        <w:ind w:firstLine="480" w:firstLineChars="200"/>
        <w:rPr>
          <w:rFonts w:hint="eastAsia" w:ascii="宋体" w:hAnsi="宋体"/>
          <w:color w:val="auto"/>
          <w:sz w:val="24"/>
          <w:highlight w:val="none"/>
        </w:rPr>
      </w:pPr>
      <w:r>
        <w:rPr>
          <w:rFonts w:ascii="宋体" w:hAnsi="宋体"/>
          <w:color w:val="auto"/>
          <w:sz w:val="24"/>
          <w:highlight w:val="none"/>
        </w:rPr>
        <w:t>2.2</w:t>
      </w:r>
      <w:r>
        <w:rPr>
          <w:rFonts w:hint="eastAsia" w:ascii="宋体" w:hAnsi="宋体"/>
          <w:color w:val="auto"/>
          <w:sz w:val="24"/>
          <w:highlight w:val="none"/>
        </w:rPr>
        <w:t>“采购人</w:t>
      </w:r>
      <w:r>
        <w:rPr>
          <w:rFonts w:ascii="宋体" w:hAnsi="宋体"/>
          <w:color w:val="auto"/>
          <w:sz w:val="24"/>
          <w:highlight w:val="none"/>
        </w:rPr>
        <w:t>”</w:t>
      </w:r>
      <w:r>
        <w:rPr>
          <w:rFonts w:hint="eastAsia" w:ascii="宋体" w:hAnsi="宋体"/>
          <w:color w:val="auto"/>
          <w:sz w:val="24"/>
          <w:highlight w:val="none"/>
        </w:rPr>
        <w:t>系指需要购买本竞争性谈判采购所列服务的采购单位。</w:t>
      </w:r>
    </w:p>
    <w:p w14:paraId="5A175589">
      <w:pPr>
        <w:spacing w:line="360" w:lineRule="auto"/>
        <w:ind w:firstLine="480" w:firstLineChars="200"/>
        <w:rPr>
          <w:rFonts w:ascii="宋体" w:hAnsi="宋体"/>
          <w:color w:val="auto"/>
          <w:sz w:val="24"/>
          <w:highlight w:val="none"/>
        </w:rPr>
      </w:pPr>
      <w:r>
        <w:rPr>
          <w:rFonts w:ascii="宋体" w:hAnsi="宋体"/>
          <w:color w:val="auto"/>
          <w:sz w:val="24"/>
          <w:highlight w:val="none"/>
        </w:rPr>
        <w:t>2.3</w:t>
      </w:r>
      <w:r>
        <w:rPr>
          <w:rFonts w:hint="eastAsia" w:ascii="宋体" w:hAnsi="宋体"/>
          <w:color w:val="auto"/>
          <w:sz w:val="24"/>
          <w:highlight w:val="none"/>
        </w:rPr>
        <w:t>“谈判供应商”系指接受竞争性谈判邀请向采购代理机构提交谈判响应文件的供应商。</w:t>
      </w:r>
    </w:p>
    <w:p w14:paraId="7B314C6C">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2.4“服务”系指按竞争性谈判采购文件规定，供应商须承担的规划编制等义务。</w:t>
      </w:r>
    </w:p>
    <w:p w14:paraId="7A120504">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2.5“货物”系指供应商按竞争性谈判采购文件规定须向采购人提供的一切设备及其有关技术资料和材料。</w:t>
      </w:r>
    </w:p>
    <w:p w14:paraId="6CD84B52">
      <w:pPr>
        <w:spacing w:line="360" w:lineRule="auto"/>
        <w:ind w:firstLine="480" w:firstLineChars="200"/>
        <w:rPr>
          <w:rFonts w:ascii="宋体" w:hAnsi="宋体"/>
          <w:color w:val="auto"/>
          <w:sz w:val="24"/>
          <w:highlight w:val="none"/>
        </w:rPr>
      </w:pPr>
      <w:r>
        <w:rPr>
          <w:rFonts w:ascii="宋体" w:hAnsi="宋体"/>
          <w:color w:val="auto"/>
          <w:sz w:val="24"/>
          <w:highlight w:val="none"/>
        </w:rPr>
        <w:t>3</w:t>
      </w:r>
      <w:r>
        <w:rPr>
          <w:rFonts w:hint="eastAsia" w:ascii="宋体" w:hAnsi="宋体"/>
          <w:color w:val="auto"/>
          <w:sz w:val="24"/>
          <w:highlight w:val="none"/>
        </w:rPr>
        <w:t>、合格的供应商</w:t>
      </w:r>
    </w:p>
    <w:p w14:paraId="0053042D">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3.1凡有能力提供本竞争性谈判文件所述货物及服务的境内供应商均可能成为合格的供应商。</w:t>
      </w:r>
    </w:p>
    <w:p w14:paraId="108B0315">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3.2谈判供应商应遵守中国的有关法律、法规和规章的规定。</w:t>
      </w:r>
    </w:p>
    <w:p w14:paraId="2011022B">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3.3谈判供应商之间存在下列互为关联关系的情形之一的，不得同时参加本项目投标：</w:t>
      </w:r>
    </w:p>
    <w:p w14:paraId="4670F88A">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A 法定代表人为同一人的两个及两个以上法人；</w:t>
      </w:r>
    </w:p>
    <w:p w14:paraId="1CD0FEA7">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B 母公司、直接或间接持股50％及以上的被投资公司；</w:t>
      </w:r>
    </w:p>
    <w:p w14:paraId="71A2E22B">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C 均为同一家母公司直接或间接持股50％及以上的被投资公司。</w:t>
      </w:r>
    </w:p>
    <w:p w14:paraId="6BF7F690">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谈判供应商如具备上述情形之一的，互为关联关系的谈判供应商的投标均被视为无效投标。</w:t>
      </w:r>
    </w:p>
    <w:p w14:paraId="44A9E3A2">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3.4谈判供应商不得与本次招标项下设计、编制技术规格和其它文件的公司或提供咨询服务的公司包括其附属机构有任何关联。</w:t>
      </w:r>
    </w:p>
    <w:p w14:paraId="22E34084">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3.5</w:t>
      </w:r>
      <w:r>
        <w:rPr>
          <w:rFonts w:hint="eastAsia" w:ascii="宋体" w:hAnsi="宋体"/>
          <w:b/>
          <w:color w:val="auto"/>
          <w:sz w:val="24"/>
          <w:highlight w:val="none"/>
        </w:rPr>
        <w:t>本项目不接受联合体参加投标。</w:t>
      </w:r>
    </w:p>
    <w:p w14:paraId="3FA3E479">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3.6投标代理人在本次谈判中只能接受一个谈判供应商的委托参加投标。</w:t>
      </w:r>
    </w:p>
    <w:p w14:paraId="17692D64">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3.7谈判供应商按本竞争性谈判文件规定缴纳谈判保证金。</w:t>
      </w:r>
    </w:p>
    <w:p w14:paraId="5038F5A5">
      <w:pPr>
        <w:spacing w:line="360" w:lineRule="auto"/>
        <w:ind w:firstLine="480" w:firstLineChars="200"/>
        <w:rPr>
          <w:rFonts w:hint="eastAsia" w:ascii="宋体" w:hAnsi="宋体"/>
          <w:color w:val="auto"/>
          <w:sz w:val="24"/>
          <w:szCs w:val="18"/>
          <w:highlight w:val="none"/>
        </w:rPr>
      </w:pPr>
      <w:r>
        <w:rPr>
          <w:rFonts w:hint="eastAsia" w:ascii="宋体" w:hAnsi="宋体"/>
          <w:color w:val="auto"/>
          <w:sz w:val="24"/>
          <w:highlight w:val="none"/>
        </w:rPr>
        <w:t>3.8</w:t>
      </w:r>
      <w:r>
        <w:rPr>
          <w:rFonts w:hint="eastAsia" w:ascii="宋体" w:hAnsi="宋体"/>
          <w:color w:val="auto"/>
          <w:sz w:val="24"/>
          <w:szCs w:val="18"/>
          <w:highlight w:val="none"/>
        </w:rPr>
        <w:t>供应商资格证明材料应当提供：</w:t>
      </w:r>
    </w:p>
    <w:p w14:paraId="38C18D5F">
      <w:pPr>
        <w:spacing w:line="360" w:lineRule="auto"/>
        <w:rPr>
          <w:rFonts w:hint="eastAsia" w:ascii="宋体" w:hAnsi="宋体"/>
          <w:color w:val="auto"/>
          <w:sz w:val="24"/>
          <w:szCs w:val="18"/>
          <w:highlight w:val="none"/>
        </w:rPr>
      </w:pPr>
      <w:r>
        <w:rPr>
          <w:rFonts w:hint="eastAsia" w:ascii="宋体" w:hAnsi="宋体"/>
          <w:color w:val="auto"/>
          <w:sz w:val="24"/>
          <w:szCs w:val="18"/>
          <w:highlight w:val="none"/>
        </w:rPr>
        <w:t>（1）已缴纳谈判保证金的证明材料复印件；</w:t>
      </w:r>
    </w:p>
    <w:p w14:paraId="7DDAFDC6">
      <w:pPr>
        <w:spacing w:line="360" w:lineRule="auto"/>
        <w:rPr>
          <w:rFonts w:hint="eastAsia" w:ascii="宋体" w:hAnsi="宋体"/>
          <w:color w:val="auto"/>
          <w:sz w:val="24"/>
          <w:szCs w:val="18"/>
          <w:highlight w:val="none"/>
        </w:rPr>
      </w:pPr>
      <w:r>
        <w:rPr>
          <w:rFonts w:hint="eastAsia" w:ascii="宋体" w:hAnsi="宋体"/>
          <w:color w:val="auto"/>
          <w:sz w:val="24"/>
          <w:szCs w:val="18"/>
          <w:highlight w:val="none"/>
        </w:rPr>
        <w:t>（2）有效的法人营业执照或分支机构或其他法人登记证书复印件</w:t>
      </w:r>
      <w:r>
        <w:rPr>
          <w:rFonts w:hint="eastAsia" w:ascii="宋体" w:hAnsi="宋体"/>
          <w:color w:val="auto"/>
          <w:sz w:val="24"/>
          <w:szCs w:val="18"/>
          <w:highlight w:val="none"/>
          <w:lang w:val="en-US" w:eastAsia="zh-CN"/>
        </w:rPr>
        <w:t>或个体营业执照</w:t>
      </w:r>
      <w:r>
        <w:rPr>
          <w:rFonts w:hint="eastAsia" w:ascii="宋体" w:hAnsi="宋体"/>
          <w:color w:val="auto"/>
          <w:sz w:val="24"/>
          <w:szCs w:val="18"/>
          <w:highlight w:val="none"/>
        </w:rPr>
        <w:t>；</w:t>
      </w:r>
    </w:p>
    <w:p w14:paraId="6656F45E">
      <w:pPr>
        <w:spacing w:line="360" w:lineRule="auto"/>
        <w:rPr>
          <w:rFonts w:hint="eastAsia" w:ascii="宋体" w:hAnsi="宋体"/>
          <w:color w:val="auto"/>
          <w:sz w:val="24"/>
          <w:szCs w:val="18"/>
          <w:highlight w:val="none"/>
        </w:rPr>
      </w:pPr>
      <w:r>
        <w:rPr>
          <w:rFonts w:hint="eastAsia" w:ascii="宋体" w:hAnsi="宋体"/>
          <w:color w:val="auto"/>
          <w:sz w:val="24"/>
          <w:szCs w:val="18"/>
          <w:highlight w:val="none"/>
        </w:rPr>
        <w:t>（3）法定代表人（负责人</w:t>
      </w:r>
      <w:r>
        <w:rPr>
          <w:rFonts w:hint="eastAsia" w:ascii="宋体" w:hAnsi="宋体"/>
          <w:color w:val="auto"/>
          <w:sz w:val="24"/>
          <w:szCs w:val="18"/>
          <w:highlight w:val="none"/>
          <w:lang w:eastAsia="zh-CN"/>
        </w:rPr>
        <w:t>、</w:t>
      </w:r>
      <w:r>
        <w:rPr>
          <w:rFonts w:hint="eastAsia" w:ascii="宋体" w:hAnsi="宋体"/>
          <w:color w:val="auto"/>
          <w:sz w:val="24"/>
          <w:szCs w:val="18"/>
          <w:highlight w:val="none"/>
          <w:lang w:val="en-US" w:eastAsia="zh-CN"/>
        </w:rPr>
        <w:t>经营者</w:t>
      </w:r>
      <w:r>
        <w:rPr>
          <w:rFonts w:hint="eastAsia" w:ascii="宋体" w:hAnsi="宋体"/>
          <w:color w:val="auto"/>
          <w:sz w:val="24"/>
          <w:szCs w:val="18"/>
          <w:highlight w:val="none"/>
        </w:rPr>
        <w:t>）授权书原件（非法定代表人（负责人</w:t>
      </w:r>
      <w:r>
        <w:rPr>
          <w:rFonts w:hint="eastAsia" w:ascii="宋体" w:hAnsi="宋体"/>
          <w:color w:val="auto"/>
          <w:sz w:val="24"/>
          <w:szCs w:val="18"/>
          <w:highlight w:val="none"/>
          <w:lang w:eastAsia="zh-CN"/>
        </w:rPr>
        <w:t>、</w:t>
      </w:r>
      <w:r>
        <w:rPr>
          <w:rFonts w:hint="eastAsia" w:ascii="宋体" w:hAnsi="宋体"/>
          <w:color w:val="auto"/>
          <w:sz w:val="24"/>
          <w:szCs w:val="18"/>
          <w:highlight w:val="none"/>
          <w:lang w:val="en-US" w:eastAsia="zh-CN"/>
        </w:rPr>
        <w:t>经营者</w:t>
      </w:r>
      <w:r>
        <w:rPr>
          <w:rFonts w:hint="eastAsia" w:ascii="宋体" w:hAnsi="宋体"/>
          <w:color w:val="auto"/>
          <w:sz w:val="24"/>
          <w:szCs w:val="18"/>
          <w:highlight w:val="none"/>
        </w:rPr>
        <w:t>）参加时提供）</w:t>
      </w:r>
    </w:p>
    <w:p w14:paraId="4AB049FC">
      <w:pPr>
        <w:spacing w:line="360" w:lineRule="auto"/>
        <w:rPr>
          <w:rFonts w:hint="eastAsia" w:ascii="宋体" w:hAnsi="宋体"/>
          <w:color w:val="auto"/>
          <w:sz w:val="24"/>
          <w:szCs w:val="18"/>
          <w:highlight w:val="none"/>
        </w:rPr>
      </w:pPr>
      <w:r>
        <w:rPr>
          <w:rFonts w:hint="eastAsia" w:ascii="宋体" w:hAnsi="宋体"/>
          <w:color w:val="auto"/>
          <w:sz w:val="24"/>
          <w:szCs w:val="18"/>
          <w:highlight w:val="none"/>
        </w:rPr>
        <w:t>（</w:t>
      </w:r>
      <w:r>
        <w:rPr>
          <w:rFonts w:hint="eastAsia" w:ascii="宋体" w:hAnsi="宋体"/>
          <w:color w:val="auto"/>
          <w:sz w:val="24"/>
          <w:szCs w:val="18"/>
          <w:highlight w:val="none"/>
          <w:lang w:val="en-US" w:eastAsia="zh-CN"/>
        </w:rPr>
        <w:t>4</w:t>
      </w:r>
      <w:r>
        <w:rPr>
          <w:rFonts w:hint="eastAsia" w:ascii="宋体" w:hAnsi="宋体"/>
          <w:color w:val="auto"/>
          <w:sz w:val="24"/>
          <w:szCs w:val="18"/>
          <w:highlight w:val="none"/>
        </w:rPr>
        <w:t>）投标人须提供有效的食品卫生许可证或食品生产许可证或食品经营许可证或食品流通许可证</w:t>
      </w:r>
      <w:r>
        <w:rPr>
          <w:rFonts w:hint="eastAsia" w:ascii="宋体" w:hAnsi="宋体"/>
          <w:color w:val="auto"/>
          <w:sz w:val="24"/>
          <w:szCs w:val="18"/>
          <w:highlight w:val="none"/>
          <w:lang w:eastAsia="zh-CN"/>
        </w:rPr>
        <w:t>或</w:t>
      </w:r>
      <w:r>
        <w:rPr>
          <w:rFonts w:hint="eastAsia" w:ascii="宋体" w:hAnsi="宋体"/>
          <w:color w:val="auto"/>
          <w:sz w:val="24"/>
          <w:szCs w:val="18"/>
          <w:highlight w:val="none"/>
          <w:lang w:val="en-US" w:eastAsia="zh-CN"/>
        </w:rPr>
        <w:t>食品经营者备案信息采集表</w:t>
      </w:r>
      <w:r>
        <w:rPr>
          <w:rFonts w:hint="eastAsia" w:ascii="宋体" w:hAnsi="宋体"/>
          <w:color w:val="auto"/>
          <w:sz w:val="24"/>
          <w:szCs w:val="18"/>
          <w:highlight w:val="none"/>
        </w:rPr>
        <w:t>扫描件。</w:t>
      </w:r>
    </w:p>
    <w:p w14:paraId="7DE53553">
      <w:pPr>
        <w:spacing w:line="360" w:lineRule="auto"/>
        <w:ind w:firstLine="480" w:firstLineChars="200"/>
        <w:rPr>
          <w:rFonts w:ascii="宋体" w:hAnsi="宋体"/>
          <w:color w:val="auto"/>
          <w:sz w:val="24"/>
          <w:highlight w:val="none"/>
        </w:rPr>
      </w:pPr>
      <w:r>
        <w:rPr>
          <w:rFonts w:ascii="宋体" w:hAnsi="宋体"/>
          <w:color w:val="auto"/>
          <w:sz w:val="24"/>
          <w:highlight w:val="none"/>
        </w:rPr>
        <w:t>4</w:t>
      </w:r>
      <w:r>
        <w:rPr>
          <w:rFonts w:hint="eastAsia" w:ascii="宋体" w:hAnsi="宋体"/>
          <w:color w:val="auto"/>
          <w:sz w:val="24"/>
          <w:highlight w:val="none"/>
        </w:rPr>
        <w:t>、谈判费用</w:t>
      </w:r>
    </w:p>
    <w:p w14:paraId="3502A3C7">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无论竞争性谈判过程中的作法和结果如何，谈判供应商应承担所有与准备和参加竞争性谈判有关的全部费用。</w:t>
      </w:r>
    </w:p>
    <w:p w14:paraId="08E5BAAC">
      <w:pPr>
        <w:spacing w:line="360" w:lineRule="auto"/>
        <w:ind w:firstLine="480" w:firstLineChars="200"/>
        <w:rPr>
          <w:rFonts w:hint="eastAsia" w:ascii="宋体" w:hAnsi="宋体"/>
          <w:color w:val="auto"/>
          <w:sz w:val="24"/>
          <w:highlight w:val="none"/>
        </w:rPr>
      </w:pPr>
      <w:r>
        <w:rPr>
          <w:rFonts w:ascii="宋体" w:hAnsi="宋体"/>
          <w:color w:val="auto"/>
          <w:sz w:val="24"/>
          <w:highlight w:val="none"/>
        </w:rPr>
        <w:t>5</w:t>
      </w:r>
      <w:r>
        <w:rPr>
          <w:rFonts w:hint="eastAsia" w:ascii="宋体" w:hAnsi="宋体"/>
          <w:color w:val="auto"/>
          <w:sz w:val="24"/>
          <w:highlight w:val="none"/>
        </w:rPr>
        <w:t>、谈判供应商代表</w:t>
      </w:r>
    </w:p>
    <w:p w14:paraId="59AE20AA">
      <w:pPr>
        <w:spacing w:line="360" w:lineRule="auto"/>
        <w:ind w:firstLine="480" w:firstLineChars="200"/>
        <w:jc w:val="left"/>
        <w:rPr>
          <w:rFonts w:hint="eastAsia" w:ascii="宋体" w:hAnsi="宋体"/>
          <w:b/>
          <w:bCs/>
          <w:color w:val="auto"/>
          <w:sz w:val="24"/>
          <w:highlight w:val="none"/>
        </w:rPr>
      </w:pPr>
      <w:r>
        <w:rPr>
          <w:rFonts w:hint="eastAsia" w:ascii="宋体" w:hAnsi="宋体"/>
          <w:color w:val="auto"/>
          <w:sz w:val="24"/>
          <w:highlight w:val="none"/>
        </w:rPr>
        <w:t>谈判供应商代表指全权代表参加竞争性谈判活动并签署谈判响应文件的人，如果谈判供应商代表不是法定代表人，须持有《法定代表人授权委托书》（格式见谈判响应文件主要内容统一格式）。</w:t>
      </w:r>
    </w:p>
    <w:p w14:paraId="20D58D9E">
      <w:pPr>
        <w:spacing w:line="360" w:lineRule="auto"/>
        <w:ind w:firstLine="482" w:firstLineChars="200"/>
        <w:jc w:val="center"/>
        <w:outlineLvl w:val="1"/>
        <w:rPr>
          <w:rFonts w:ascii="宋体" w:hAnsi="宋体"/>
          <w:b/>
          <w:bCs/>
          <w:color w:val="auto"/>
          <w:sz w:val="28"/>
          <w:highlight w:val="none"/>
        </w:rPr>
      </w:pPr>
      <w:bookmarkStart w:id="6" w:name="_Toc11158"/>
      <w:r>
        <w:rPr>
          <w:rFonts w:hint="eastAsia" w:ascii="宋体" w:hAnsi="宋体"/>
          <w:b/>
          <w:bCs/>
          <w:color w:val="auto"/>
          <w:sz w:val="24"/>
          <w:highlight w:val="none"/>
        </w:rPr>
        <w:t>二、竞争性谈判采购文件</w:t>
      </w:r>
      <w:bookmarkEnd w:id="6"/>
    </w:p>
    <w:p w14:paraId="01BB2C04">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6、文件的组成</w:t>
      </w:r>
    </w:p>
    <w:p w14:paraId="7E09FEF9">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6</w:t>
      </w:r>
      <w:r>
        <w:rPr>
          <w:rFonts w:ascii="宋体" w:hAnsi="宋体"/>
          <w:color w:val="auto"/>
          <w:sz w:val="24"/>
          <w:highlight w:val="none"/>
        </w:rPr>
        <w:t>.1</w:t>
      </w:r>
      <w:r>
        <w:rPr>
          <w:rFonts w:hint="eastAsia" w:ascii="宋体" w:hAnsi="宋体"/>
          <w:color w:val="auto"/>
          <w:sz w:val="24"/>
          <w:highlight w:val="none"/>
        </w:rPr>
        <w:t>竞争性谈判采购文件是用以阐明所需货物及服务、竞争性谈判程序的资料，除以下内容外，采购代理机构在谈判结束之前发出的答疑纪要和其他补充修改函件，均是采购文件的组成部分，对供应商起约束作用，竞争性谈判采购文件包括下列内容：</w:t>
      </w:r>
    </w:p>
    <w:p w14:paraId="40AB4F21">
      <w:pPr>
        <w:spacing w:line="360" w:lineRule="auto"/>
        <w:ind w:firstLine="480" w:firstLineChars="200"/>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竞争性谈判邀请</w:t>
      </w:r>
    </w:p>
    <w:p w14:paraId="3A1847E4">
      <w:pPr>
        <w:spacing w:line="360" w:lineRule="auto"/>
        <w:ind w:firstLine="480" w:firstLineChars="200"/>
        <w:rPr>
          <w:rFonts w:ascii="宋体" w:hAnsi="宋体"/>
          <w:color w:val="auto"/>
          <w:sz w:val="24"/>
          <w:highlight w:val="none"/>
        </w:rPr>
      </w:pPr>
      <w:r>
        <w:rPr>
          <w:rFonts w:ascii="宋体" w:hAnsi="宋体"/>
          <w:color w:val="auto"/>
          <w:sz w:val="24"/>
          <w:highlight w:val="none"/>
        </w:rPr>
        <w:t>(2)</w:t>
      </w:r>
      <w:r>
        <w:rPr>
          <w:rFonts w:hint="eastAsia" w:ascii="宋体" w:hAnsi="宋体"/>
          <w:color w:val="auto"/>
          <w:sz w:val="24"/>
          <w:highlight w:val="none"/>
        </w:rPr>
        <w:t>谈判供应商须知</w:t>
      </w:r>
    </w:p>
    <w:p w14:paraId="27C6E29C">
      <w:pPr>
        <w:spacing w:line="360" w:lineRule="auto"/>
        <w:ind w:firstLine="480" w:firstLineChars="200"/>
        <w:rPr>
          <w:rFonts w:hint="eastAsia" w:ascii="宋体" w:hAnsi="宋体"/>
          <w:color w:val="auto"/>
          <w:sz w:val="24"/>
          <w:highlight w:val="none"/>
        </w:rPr>
      </w:pPr>
      <w:r>
        <w:rPr>
          <w:rFonts w:ascii="宋体" w:hAnsi="宋体"/>
          <w:color w:val="auto"/>
          <w:sz w:val="24"/>
          <w:highlight w:val="none"/>
        </w:rPr>
        <w:t>(3)</w:t>
      </w:r>
      <w:r>
        <w:rPr>
          <w:rFonts w:hint="eastAsia" w:ascii="宋体" w:hAnsi="宋体"/>
          <w:color w:val="auto"/>
          <w:sz w:val="24"/>
          <w:highlight w:val="none"/>
        </w:rPr>
        <w:t>采购内容及要求</w:t>
      </w:r>
    </w:p>
    <w:p w14:paraId="73BDD33B">
      <w:pPr>
        <w:spacing w:line="360" w:lineRule="auto"/>
        <w:ind w:firstLine="480" w:firstLineChars="200"/>
        <w:rPr>
          <w:rFonts w:ascii="宋体" w:hAnsi="宋体"/>
          <w:color w:val="auto"/>
          <w:sz w:val="24"/>
          <w:highlight w:val="none"/>
        </w:rPr>
      </w:pPr>
      <w:r>
        <w:rPr>
          <w:rFonts w:ascii="宋体" w:hAnsi="宋体"/>
          <w:color w:val="auto"/>
          <w:sz w:val="24"/>
          <w:highlight w:val="none"/>
        </w:rPr>
        <w:t>(4)</w:t>
      </w:r>
      <w:r>
        <w:rPr>
          <w:rFonts w:hint="eastAsia" w:ascii="宋体" w:hAnsi="宋体"/>
          <w:color w:val="auto"/>
          <w:sz w:val="24"/>
          <w:highlight w:val="none"/>
        </w:rPr>
        <w:t>合同一般条款</w:t>
      </w:r>
    </w:p>
    <w:p w14:paraId="723140F4">
      <w:pPr>
        <w:spacing w:line="360" w:lineRule="auto"/>
        <w:ind w:firstLine="480" w:firstLineChars="200"/>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5</w:t>
      </w:r>
      <w:r>
        <w:rPr>
          <w:rFonts w:ascii="宋体" w:hAnsi="宋体"/>
          <w:color w:val="auto"/>
          <w:sz w:val="24"/>
          <w:highlight w:val="none"/>
        </w:rPr>
        <w:t>)</w:t>
      </w:r>
      <w:r>
        <w:rPr>
          <w:rFonts w:hint="eastAsia" w:ascii="宋体" w:hAnsi="宋体"/>
          <w:color w:val="auto"/>
          <w:sz w:val="24"/>
          <w:highlight w:val="none"/>
        </w:rPr>
        <w:t>谈判响应文件主要内容格式</w:t>
      </w:r>
    </w:p>
    <w:p w14:paraId="41B2712F">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6</w:t>
      </w:r>
      <w:r>
        <w:rPr>
          <w:rFonts w:ascii="宋体" w:hAnsi="宋体"/>
          <w:color w:val="auto"/>
          <w:sz w:val="24"/>
          <w:highlight w:val="none"/>
        </w:rPr>
        <w:t>.2</w:t>
      </w:r>
      <w:r>
        <w:rPr>
          <w:rFonts w:hint="eastAsia" w:ascii="宋体" w:hAnsi="宋体"/>
          <w:color w:val="auto"/>
          <w:sz w:val="24"/>
          <w:highlight w:val="none"/>
        </w:rPr>
        <w:t>除非有特殊要求，竞争性谈判采购文件不单独提供竞争性谈判项目使用地的自然环境、气候条件、公用设施等情况，谈判供应商被视为熟悉上述与履行合同有关的一切情况。</w:t>
      </w:r>
    </w:p>
    <w:p w14:paraId="5D1152B7">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7、竞争性谈判采购文件的澄清</w:t>
      </w:r>
    </w:p>
    <w:p w14:paraId="70600C57">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7.1谈判供应商对竞争性谈判采购文件如有疑点，可要求澄清，但应在递交谈判响应文件截止时间</w:t>
      </w:r>
      <w:r>
        <w:rPr>
          <w:rFonts w:hint="eastAsia" w:ascii="宋体" w:hAnsi="宋体"/>
          <w:b/>
          <w:bCs/>
          <w:color w:val="auto"/>
          <w:sz w:val="24"/>
          <w:highlight w:val="none"/>
        </w:rPr>
        <w:t>2个工作日</w:t>
      </w:r>
      <w:r>
        <w:rPr>
          <w:rFonts w:hint="eastAsia" w:ascii="宋体" w:hAnsi="宋体"/>
          <w:color w:val="auto"/>
          <w:sz w:val="24"/>
          <w:highlight w:val="none"/>
        </w:rPr>
        <w:t>前按竞争性谈判邀请中载明的地址以书面形式</w:t>
      </w:r>
      <w:r>
        <w:rPr>
          <w:rFonts w:ascii="宋体" w:hAnsi="宋体"/>
          <w:color w:val="auto"/>
          <w:sz w:val="24"/>
          <w:highlight w:val="none"/>
        </w:rPr>
        <w:t>(</w:t>
      </w:r>
      <w:r>
        <w:rPr>
          <w:rFonts w:hint="eastAsia" w:ascii="宋体" w:hAnsi="宋体"/>
          <w:color w:val="auto"/>
          <w:sz w:val="24"/>
          <w:highlight w:val="none"/>
        </w:rPr>
        <w:t>包括信函、电报或传真，下同</w:t>
      </w:r>
      <w:r>
        <w:rPr>
          <w:rFonts w:ascii="宋体" w:hAnsi="宋体"/>
          <w:color w:val="auto"/>
          <w:sz w:val="24"/>
          <w:highlight w:val="none"/>
        </w:rPr>
        <w:t>)</w:t>
      </w:r>
      <w:r>
        <w:rPr>
          <w:rFonts w:hint="eastAsia" w:ascii="宋体" w:hAnsi="宋体"/>
          <w:color w:val="auto"/>
          <w:sz w:val="24"/>
          <w:highlight w:val="none"/>
        </w:rPr>
        <w:t>送达或寄达采购</w:t>
      </w:r>
      <w:r>
        <w:rPr>
          <w:rFonts w:ascii="宋体" w:hAnsi="宋体"/>
          <w:color w:val="auto"/>
          <w:sz w:val="24"/>
          <w:highlight w:val="none"/>
        </w:rPr>
        <w:t>人和</w:t>
      </w:r>
      <w:r>
        <w:rPr>
          <w:rFonts w:hint="eastAsia" w:ascii="宋体" w:hAnsi="宋体"/>
          <w:color w:val="auto"/>
          <w:sz w:val="24"/>
          <w:highlight w:val="none"/>
        </w:rPr>
        <w:t>采购代理机构。采购</w:t>
      </w:r>
      <w:r>
        <w:rPr>
          <w:rFonts w:ascii="宋体" w:hAnsi="宋体"/>
          <w:color w:val="auto"/>
          <w:sz w:val="24"/>
          <w:highlight w:val="none"/>
        </w:rPr>
        <w:t>人和</w:t>
      </w:r>
      <w:r>
        <w:rPr>
          <w:rFonts w:hint="eastAsia" w:ascii="宋体" w:hAnsi="宋体"/>
          <w:color w:val="auto"/>
          <w:sz w:val="24"/>
          <w:highlight w:val="none"/>
        </w:rPr>
        <w:t>采购代理机构将视情况确定采用适当方式予以澄清或以书面形式予以答复，必要时将不标明查询来源的书面答复，分送已报名并购买竞争性谈判采购文件的谈判供应商。</w:t>
      </w:r>
    </w:p>
    <w:p w14:paraId="63BD677A">
      <w:pPr>
        <w:spacing w:line="360" w:lineRule="auto"/>
        <w:ind w:left="84" w:leftChars="40" w:firstLine="480" w:firstLineChars="200"/>
        <w:rPr>
          <w:rFonts w:ascii="宋体" w:hAnsi="宋体"/>
          <w:color w:val="auto"/>
          <w:sz w:val="24"/>
          <w:highlight w:val="none"/>
        </w:rPr>
      </w:pPr>
      <w:r>
        <w:rPr>
          <w:rFonts w:hint="eastAsia" w:ascii="宋体" w:hAnsi="宋体"/>
          <w:color w:val="auto"/>
          <w:sz w:val="24"/>
          <w:highlight w:val="none"/>
        </w:rPr>
        <w:t>7</w:t>
      </w:r>
      <w:r>
        <w:rPr>
          <w:rFonts w:ascii="宋体" w:hAnsi="宋体"/>
          <w:color w:val="auto"/>
          <w:sz w:val="24"/>
          <w:highlight w:val="none"/>
        </w:rPr>
        <w:t xml:space="preserve">.2 </w:t>
      </w:r>
      <w:r>
        <w:rPr>
          <w:rFonts w:hint="eastAsia" w:ascii="宋体" w:hAnsi="宋体"/>
          <w:color w:val="auto"/>
          <w:sz w:val="24"/>
          <w:highlight w:val="none"/>
        </w:rPr>
        <w:t>供应商所提供的联系电话及通信地址应使采购人和采购代理机构能方便地与供应商取得联系，若由于该方面的原因使采购人和采购代理机构发出的函件无法送达供应商时，由此造成的后果由供应商自行负责。</w:t>
      </w:r>
    </w:p>
    <w:p w14:paraId="0E081A6E">
      <w:pPr>
        <w:spacing w:line="360" w:lineRule="auto"/>
        <w:ind w:left="84" w:leftChars="40" w:firstLine="480" w:firstLineChars="200"/>
        <w:rPr>
          <w:rFonts w:ascii="宋体" w:hAnsi="宋体"/>
          <w:color w:val="auto"/>
          <w:sz w:val="24"/>
          <w:highlight w:val="none"/>
        </w:rPr>
      </w:pPr>
      <w:r>
        <w:rPr>
          <w:rFonts w:hint="eastAsia" w:ascii="宋体" w:hAnsi="宋体"/>
          <w:color w:val="auto"/>
          <w:sz w:val="24"/>
          <w:highlight w:val="none"/>
        </w:rPr>
        <w:t>7</w:t>
      </w:r>
      <w:r>
        <w:rPr>
          <w:rFonts w:ascii="宋体" w:hAnsi="宋体"/>
          <w:color w:val="auto"/>
          <w:sz w:val="24"/>
          <w:highlight w:val="none"/>
        </w:rPr>
        <w:t xml:space="preserve">.3 </w:t>
      </w:r>
      <w:r>
        <w:rPr>
          <w:rFonts w:hint="eastAsia" w:ascii="宋体" w:hAnsi="宋体"/>
          <w:color w:val="auto"/>
          <w:sz w:val="24"/>
          <w:highlight w:val="none"/>
        </w:rPr>
        <w:t>采购人和采购代理机构将视情况确定是否有必要在谈判采购会前召开答疑会。如果召开答疑会，将通知所有已登记备案并领取了采购文件的潜在谈判供应商。</w:t>
      </w:r>
    </w:p>
    <w:p w14:paraId="6F9F6725">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8、竞争性谈判采购文件的修改</w:t>
      </w:r>
    </w:p>
    <w:p w14:paraId="398E1019">
      <w:pPr>
        <w:wordWrap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8</w:t>
      </w:r>
      <w:r>
        <w:rPr>
          <w:rFonts w:ascii="宋体" w:hAnsi="宋体"/>
          <w:color w:val="auto"/>
          <w:sz w:val="24"/>
          <w:highlight w:val="none"/>
        </w:rPr>
        <w:t>.1</w:t>
      </w:r>
      <w:r>
        <w:rPr>
          <w:rFonts w:hint="eastAsia" w:ascii="宋体" w:hAnsi="宋体"/>
          <w:color w:val="auto"/>
          <w:sz w:val="24"/>
          <w:highlight w:val="none"/>
        </w:rPr>
        <w:t>提交首次响应文件截止之日前，采购人、采购代理机构可以对已发出的谈判文件进行必要的澄清或者修改，澄清或者修改的内容作为谈判文件的组成部分。澄清或者修改的内容可能影响响应文件编制的，采购人、采购代理机构或者谈判小组应当在提交首次响应文件截止之日3个工作日前，以在</w:t>
      </w:r>
      <w:r>
        <w:rPr>
          <w:rFonts w:hint="eastAsia" w:ascii="宋体" w:hAnsi="宋体" w:cs="宋体"/>
          <w:b/>
          <w:color w:val="auto"/>
          <w:sz w:val="24"/>
          <w:highlight w:val="none"/>
          <w:lang w:eastAsia="zh-CN"/>
        </w:rPr>
        <w:t>福建优胜招标项目管理集团有限公司</w:t>
      </w:r>
      <w:r>
        <w:rPr>
          <w:rFonts w:hint="eastAsia" w:ascii="宋体" w:hAnsi="宋体" w:cs="宋体"/>
          <w:b/>
          <w:color w:val="auto"/>
          <w:sz w:val="24"/>
          <w:highlight w:val="none"/>
        </w:rPr>
        <w:t>(</w:t>
      </w:r>
      <w:r>
        <w:rPr>
          <w:rFonts w:hint="eastAsia" w:ascii="宋体" w:hAnsi="宋体" w:cs="宋体"/>
          <w:b/>
          <w:color w:val="auto"/>
          <w:sz w:val="24"/>
          <w:highlight w:val="none"/>
          <w:lang w:eastAsia="zh-CN"/>
        </w:rPr>
        <w:t>https://www.fjyszb.com/</w:t>
      </w:r>
      <w:r>
        <w:rPr>
          <w:rFonts w:hint="eastAsia" w:ascii="宋体" w:hAnsi="宋体" w:cs="宋体"/>
          <w:b/>
          <w:color w:val="auto"/>
          <w:sz w:val="24"/>
          <w:highlight w:val="none"/>
        </w:rPr>
        <w:t>)</w:t>
      </w:r>
      <w:r>
        <w:rPr>
          <w:rFonts w:hint="eastAsia" w:ascii="宋体" w:hAnsi="宋体"/>
          <w:color w:val="auto"/>
          <w:sz w:val="24"/>
          <w:highlight w:val="none"/>
        </w:rPr>
        <w:t>发布通知的形式通知所有潜在谈判供应商，不足3个工作日的，应当顺延提交首次响应文件截止之日。</w:t>
      </w:r>
    </w:p>
    <w:p w14:paraId="5CF11F73">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8</w:t>
      </w:r>
      <w:r>
        <w:rPr>
          <w:rFonts w:ascii="宋体" w:hAnsi="宋体"/>
          <w:color w:val="auto"/>
          <w:sz w:val="24"/>
          <w:highlight w:val="none"/>
        </w:rPr>
        <w:t>.2</w:t>
      </w:r>
      <w:r>
        <w:rPr>
          <w:rFonts w:hint="eastAsia" w:ascii="宋体" w:hAnsi="宋体"/>
          <w:color w:val="auto"/>
          <w:sz w:val="24"/>
          <w:highlight w:val="none"/>
        </w:rPr>
        <w:t>竞争性谈判采购文件的修改书将构成竞争性谈判采购文件的一部分，对所有已经报名并领取了竞争性谈判采购文件的供应商具有约束力。</w:t>
      </w:r>
    </w:p>
    <w:p w14:paraId="3D79FE79">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w:t>
      </w:r>
      <w:r>
        <w:rPr>
          <w:rFonts w:ascii="宋体" w:hAnsi="宋体"/>
          <w:color w:val="auto"/>
          <w:sz w:val="24"/>
          <w:highlight w:val="none"/>
        </w:rPr>
        <w:t>.3</w:t>
      </w:r>
      <w:r>
        <w:rPr>
          <w:rFonts w:hint="eastAsia" w:ascii="宋体" w:hAnsi="宋体"/>
          <w:color w:val="auto"/>
          <w:sz w:val="24"/>
          <w:highlight w:val="none"/>
        </w:rPr>
        <w:t>采购文件、采购文件澄清（答疑）纪要、采购文件修改、补充通知书内容均以书面明确的内容为准。当采购文件、修改、补充通知、澄清（答疑）纪要内容相互矛盾时，以最后发出的通知（或纪要）或修改文件为准。</w:t>
      </w:r>
    </w:p>
    <w:p w14:paraId="4F1C7644">
      <w:pPr>
        <w:spacing w:line="360" w:lineRule="auto"/>
        <w:ind w:firstLine="477" w:firstLineChars="199"/>
        <w:rPr>
          <w:rFonts w:hint="eastAsia" w:ascii="宋体" w:hAnsi="宋体"/>
          <w:color w:val="auto"/>
          <w:sz w:val="24"/>
          <w:highlight w:val="none"/>
        </w:rPr>
      </w:pPr>
      <w:r>
        <w:rPr>
          <w:rFonts w:hint="eastAsia" w:ascii="宋体" w:hAnsi="宋体"/>
          <w:color w:val="auto"/>
          <w:sz w:val="24"/>
          <w:highlight w:val="none"/>
        </w:rPr>
        <w:t>8.4采购代理机构对谈判供应商误读、误解修改书而导致的不利后果，不负任何责任。</w:t>
      </w:r>
    </w:p>
    <w:p w14:paraId="1D7F7CED">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8.5与本次竞争性谈判采购有关的一切正式往来，如质疑、投诉、技术咨询等，应采用书面形式。</w:t>
      </w:r>
    </w:p>
    <w:p w14:paraId="05B2BBAB">
      <w:pPr>
        <w:spacing w:line="360" w:lineRule="auto"/>
        <w:jc w:val="left"/>
        <w:rPr>
          <w:rFonts w:hint="default" w:ascii="Times New Roman" w:hAnsi="Times New Roman"/>
          <w:b/>
          <w:bCs/>
          <w:color w:val="auto"/>
          <w:sz w:val="24"/>
          <w:highlight w:val="none"/>
        </w:rPr>
      </w:pPr>
      <w:r>
        <w:rPr>
          <w:rFonts w:hint="eastAsia" w:ascii="宋体" w:hAnsi="宋体"/>
          <w:b/>
          <w:color w:val="auto"/>
          <w:sz w:val="24"/>
          <w:highlight w:val="none"/>
          <w:u w:val="single"/>
        </w:rPr>
        <w:t>特别提示：采购文件如有澄清、修改，公告将在</w:t>
      </w:r>
      <w:r>
        <w:rPr>
          <w:rFonts w:hint="eastAsia" w:ascii="宋体" w:hAnsi="宋体"/>
          <w:b/>
          <w:color w:val="auto"/>
          <w:sz w:val="24"/>
          <w:highlight w:val="none"/>
          <w:u w:val="single"/>
          <w:lang w:eastAsia="zh-CN"/>
        </w:rPr>
        <w:t>福建优胜招标项目管理集团有限公司</w:t>
      </w:r>
      <w:r>
        <w:rPr>
          <w:rFonts w:hint="eastAsia" w:ascii="宋体" w:hAnsi="宋体"/>
          <w:b/>
          <w:color w:val="auto"/>
          <w:sz w:val="24"/>
          <w:highlight w:val="none"/>
          <w:u w:val="single"/>
        </w:rPr>
        <w:t>(</w:t>
      </w:r>
      <w:r>
        <w:rPr>
          <w:rFonts w:hint="eastAsia" w:ascii="宋体" w:hAnsi="宋体"/>
          <w:b/>
          <w:color w:val="auto"/>
          <w:sz w:val="24"/>
          <w:highlight w:val="none"/>
          <w:u w:val="single"/>
          <w:lang w:eastAsia="zh-CN"/>
        </w:rPr>
        <w:t>https://www.fjyszb.com/</w:t>
      </w:r>
      <w:r>
        <w:rPr>
          <w:rFonts w:hint="eastAsia" w:ascii="宋体" w:hAnsi="宋体"/>
          <w:b/>
          <w:color w:val="auto"/>
          <w:sz w:val="24"/>
          <w:highlight w:val="none"/>
          <w:u w:val="single"/>
        </w:rPr>
        <w:t>)上发布，请潜在谈判供应商随时密切关注上述网站并下</w:t>
      </w:r>
      <w:r>
        <w:rPr>
          <w:rFonts w:hint="default" w:ascii="Times New Roman" w:hAnsi="Times New Roman"/>
          <w:b/>
          <w:bCs/>
          <w:color w:val="auto"/>
          <w:sz w:val="24"/>
          <w:highlight w:val="none"/>
          <w:u w:val="none"/>
        </w:rPr>
        <w:t>载相关信息，招标代理机构不再另行通知（相同内容如有多次修改，以最后一次修改为准）。潜在谈判供应商未下载澄清、修改内容的，后果自行承担。</w:t>
      </w:r>
    </w:p>
    <w:p w14:paraId="5C6D484E">
      <w:pPr>
        <w:spacing w:line="360" w:lineRule="auto"/>
        <w:ind w:firstLine="482" w:firstLineChars="200"/>
        <w:jc w:val="center"/>
        <w:outlineLvl w:val="1"/>
        <w:rPr>
          <w:rFonts w:ascii="宋体" w:hAnsi="宋体"/>
          <w:b/>
          <w:bCs/>
          <w:color w:val="auto"/>
          <w:sz w:val="28"/>
          <w:highlight w:val="none"/>
        </w:rPr>
      </w:pPr>
      <w:bookmarkStart w:id="7" w:name="_Toc15815"/>
      <w:r>
        <w:rPr>
          <w:rFonts w:hint="eastAsia" w:ascii="宋体" w:hAnsi="宋体"/>
          <w:b/>
          <w:bCs/>
          <w:color w:val="auto"/>
          <w:sz w:val="24"/>
          <w:highlight w:val="none"/>
        </w:rPr>
        <w:t>三、竞争性谈判响应文件的编写</w:t>
      </w:r>
      <w:bookmarkEnd w:id="7"/>
    </w:p>
    <w:p w14:paraId="297A1DBC">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9、编写要求</w:t>
      </w:r>
    </w:p>
    <w:p w14:paraId="0AD73176">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9.1谈判供应商应仔细阅读竞争性谈判采购文件的全部内容，按竞争性谈判采购文件的要求提供谈判响应文件，并保证所提供的全部资料的真实性和可靠性，以使其文件对竞争性谈判采购文件作出实质性响应。谈判供应商应接受采购人和采购代理机构对其中任何资料作出进一步审查的要求，否则其谈判响应将有可能被拒绝。</w:t>
      </w:r>
    </w:p>
    <w:p w14:paraId="678C23B1">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9</w:t>
      </w:r>
      <w:r>
        <w:rPr>
          <w:rFonts w:ascii="宋体" w:hAnsi="宋体"/>
          <w:color w:val="auto"/>
          <w:sz w:val="24"/>
          <w:highlight w:val="none"/>
        </w:rPr>
        <w:t>.2</w:t>
      </w:r>
      <w:r>
        <w:rPr>
          <w:rFonts w:hint="eastAsia" w:ascii="宋体" w:hAnsi="宋体"/>
          <w:color w:val="auto"/>
          <w:sz w:val="24"/>
          <w:highlight w:val="none"/>
        </w:rPr>
        <w:t>谈判供应商应仔细阅读并检查竞争性谈判采购文件中所有的须知、格式、条款、技术、规格和其它资料，并按照竞争性谈判采购文件的要求提交全部资料。</w:t>
      </w:r>
    </w:p>
    <w:p w14:paraId="1C1DC98F">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9.3谈判文件“主要内容格式”中的各项内容和表格为评审的重要参考内容和依据，谈判供应商应按照格式要求统一填写编制，否则，由于被误读、漏读而产生的不利后果，由供应商自行承担。</w:t>
      </w:r>
    </w:p>
    <w:p w14:paraId="640F5BFB">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10、谈判语言、载体及计量单位</w:t>
      </w:r>
    </w:p>
    <w:p w14:paraId="7EB0B81C">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10</w:t>
      </w:r>
      <w:r>
        <w:rPr>
          <w:rFonts w:ascii="宋体" w:hAnsi="宋体"/>
          <w:color w:val="auto"/>
          <w:sz w:val="24"/>
          <w:highlight w:val="none"/>
        </w:rPr>
        <w:t>.1</w:t>
      </w:r>
      <w:r>
        <w:rPr>
          <w:rFonts w:hint="eastAsia" w:ascii="宋体" w:hAnsi="宋体"/>
          <w:color w:val="auto"/>
          <w:sz w:val="24"/>
          <w:highlight w:val="none"/>
        </w:rPr>
        <w:t>谈判响应文件及谈判供应商、采购人和采购代理机构就谈判交换的文件和来往信件，应以中文书写。</w:t>
      </w:r>
    </w:p>
    <w:p w14:paraId="5872E55E">
      <w:pPr>
        <w:spacing w:line="360" w:lineRule="auto"/>
        <w:ind w:firstLine="480" w:firstLineChars="200"/>
        <w:rPr>
          <w:rFonts w:ascii="宋体" w:hAnsi="宋体"/>
          <w:b/>
          <w:bCs/>
          <w:color w:val="auto"/>
          <w:sz w:val="24"/>
          <w:highlight w:val="none"/>
        </w:rPr>
      </w:pPr>
      <w:r>
        <w:rPr>
          <w:rFonts w:hint="eastAsia" w:ascii="宋体" w:hAnsi="宋体"/>
          <w:color w:val="auto"/>
          <w:sz w:val="24"/>
          <w:highlight w:val="none"/>
        </w:rPr>
        <w:t>采购文件中载明的资格或技术商务要求中涉及的供应商提供的证明文件原件属于非中文描述的，必须提供具有翻译资质的机构翻译的中文译本。未按要求提供中文译本的，认定为该项资格或技术商务要求不符合。翻译机构应为中国翻译协会成员单位，翻译的中文译本应由翻译人员签名并加盖翻译机构公章，同时提供翻译人员翻译资格证书。供应商应提供中文译本、翻译机构及翻译人员资格证书复印件，并加盖供应商公章。</w:t>
      </w:r>
    </w:p>
    <w:p w14:paraId="66BB727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10</w:t>
      </w:r>
      <w:r>
        <w:rPr>
          <w:rFonts w:ascii="宋体" w:hAnsi="宋体"/>
          <w:color w:val="auto"/>
          <w:sz w:val="24"/>
          <w:highlight w:val="none"/>
        </w:rPr>
        <w:t>.2</w:t>
      </w:r>
      <w:r>
        <w:rPr>
          <w:rFonts w:hint="eastAsia" w:ascii="宋体" w:hAnsi="宋体"/>
          <w:color w:val="auto"/>
          <w:sz w:val="24"/>
          <w:highlight w:val="none"/>
        </w:rPr>
        <w:t>谈判货物除在竞争性谈判采购文件的技术规格中另有规定外，应使用中华人民共和国法定计量单位。</w:t>
      </w:r>
    </w:p>
    <w:p w14:paraId="4B463926">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11、谈判货币单位</w:t>
      </w:r>
    </w:p>
    <w:p w14:paraId="0C43B28D">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11.1谈判响应文件涉及到的货币价格一律使用人民币元为单位。</w:t>
      </w:r>
    </w:p>
    <w:p w14:paraId="6D99F2E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12、谈判响应文件的组成及相关要求</w:t>
      </w:r>
    </w:p>
    <w:p w14:paraId="76D36DEB">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谈判响应文件由资格证明文件及响应书组成。响应文件在递交截止时间后将不予退还。</w:t>
      </w:r>
    </w:p>
    <w:p w14:paraId="52A359CE">
      <w:pPr>
        <w:pStyle w:val="3"/>
        <w:spacing w:line="360" w:lineRule="auto"/>
        <w:ind w:firstLine="482" w:firstLineChars="200"/>
        <w:rPr>
          <w:rFonts w:ascii="宋体" w:hAnsi="宋体"/>
          <w:b/>
          <w:color w:val="auto"/>
          <w:highlight w:val="none"/>
        </w:rPr>
      </w:pPr>
      <w:r>
        <w:rPr>
          <w:rFonts w:ascii="宋体" w:hAnsi="宋体"/>
          <w:b/>
          <w:color w:val="auto"/>
          <w:highlight w:val="none"/>
        </w:rPr>
        <w:t>12.</w:t>
      </w:r>
      <w:r>
        <w:rPr>
          <w:rFonts w:hint="eastAsia" w:ascii="宋体" w:hAnsi="宋体"/>
          <w:b/>
          <w:color w:val="auto"/>
          <w:highlight w:val="none"/>
        </w:rPr>
        <w:t>1响应书包括：</w:t>
      </w:r>
    </w:p>
    <w:p w14:paraId="7EC4FB74">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（1）响应函；</w:t>
      </w:r>
    </w:p>
    <w:p w14:paraId="2AFE4393">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（2）报价一览表；</w:t>
      </w:r>
    </w:p>
    <w:p w14:paraId="0E1D7F69">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（3）谈判供应商资格证明文件</w:t>
      </w:r>
    </w:p>
    <w:p w14:paraId="05144EFD">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（4）采购内容及要求承诺书；</w:t>
      </w:r>
    </w:p>
    <w:p w14:paraId="564F2E97">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（5）提交的其他资料。</w:t>
      </w:r>
    </w:p>
    <w:p w14:paraId="250B5CBB">
      <w:pPr>
        <w:spacing w:line="360" w:lineRule="auto"/>
        <w:ind w:left="1" w:firstLine="177" w:firstLineChars="74"/>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上述响应书按先后顺序装订成册，并编制目录，用密封袋密封装好。</w:t>
      </w:r>
    </w:p>
    <w:p w14:paraId="68FC6E3B">
      <w:pPr>
        <w:spacing w:line="360" w:lineRule="auto"/>
        <w:ind w:firstLine="480" w:firstLineChars="200"/>
        <w:rPr>
          <w:rFonts w:hint="eastAsia" w:ascii="宋体" w:hAnsi="宋体"/>
          <w:color w:val="auto"/>
          <w:sz w:val="24"/>
          <w:highlight w:val="none"/>
        </w:rPr>
      </w:pPr>
      <w:r>
        <w:rPr>
          <w:rFonts w:ascii="宋体" w:hAnsi="宋体"/>
          <w:color w:val="auto"/>
          <w:sz w:val="24"/>
          <w:highlight w:val="none"/>
        </w:rPr>
        <w:t>13</w:t>
      </w:r>
      <w:r>
        <w:rPr>
          <w:rFonts w:hint="eastAsia" w:ascii="宋体" w:hAnsi="宋体"/>
          <w:color w:val="auto"/>
          <w:sz w:val="24"/>
          <w:highlight w:val="none"/>
        </w:rPr>
        <w:t>、谈判响应文件编制说明</w:t>
      </w:r>
    </w:p>
    <w:p w14:paraId="3BE022CC">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13.1组成谈判响应文件的各项文件均应遵守本条款。</w:t>
      </w:r>
    </w:p>
    <w:p w14:paraId="05A25529">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13.2谈判供应商应按谈判采购文件的要求，在谈判响应文件的适当位置注明全称并加盖公章，同时有法定代表人或授权代表的签字或盖章。为保护谈判供应商的利益，组成谈判响应文件的响应书要求编制封面、目录、页码，并装订成册，图片应单独成册。</w:t>
      </w:r>
    </w:p>
    <w:p w14:paraId="222B2A64">
      <w:pPr>
        <w:spacing w:line="360" w:lineRule="auto"/>
        <w:ind w:firstLine="480" w:firstLineChars="200"/>
        <w:rPr>
          <w:rFonts w:ascii="宋体" w:hAnsi="宋体"/>
          <w:sz w:val="24"/>
        </w:rPr>
      </w:pPr>
      <w:r>
        <w:rPr>
          <w:rFonts w:ascii="宋体" w:hAnsi="宋体"/>
          <w:color w:val="auto"/>
          <w:sz w:val="24"/>
          <w:highlight w:val="none"/>
        </w:rPr>
        <w:t>13.</w:t>
      </w:r>
      <w:r>
        <w:rPr>
          <w:rFonts w:hint="eastAsia" w:ascii="宋体" w:hAnsi="宋体"/>
          <w:color w:val="auto"/>
          <w:sz w:val="24"/>
          <w:highlight w:val="none"/>
        </w:rPr>
        <w:t>3谈判供应商应按竞争性谈判采购文件中提供的谈判响应文件格式编制响应书一式</w:t>
      </w:r>
      <w:r>
        <w:rPr>
          <w:rFonts w:hint="eastAsia" w:ascii="宋体" w:hAnsi="宋体"/>
          <w:color w:val="auto"/>
          <w:sz w:val="24"/>
          <w:highlight w:val="none"/>
          <w:lang w:val="en-US" w:eastAsia="zh-CN"/>
        </w:rPr>
        <w:t>五</w:t>
      </w:r>
      <w:r>
        <w:rPr>
          <w:rFonts w:hint="eastAsia" w:ascii="宋体" w:hAnsi="宋体"/>
          <w:color w:val="auto"/>
          <w:sz w:val="24"/>
          <w:highlight w:val="none"/>
        </w:rPr>
        <w:t>份（正本一份、副本</w:t>
      </w:r>
      <w:r>
        <w:rPr>
          <w:rFonts w:hint="eastAsia" w:ascii="宋体" w:hAnsi="宋体"/>
          <w:color w:val="auto"/>
          <w:sz w:val="24"/>
          <w:highlight w:val="none"/>
          <w:lang w:val="en-US" w:eastAsia="zh-CN"/>
        </w:rPr>
        <w:t>四</w:t>
      </w:r>
      <w:r>
        <w:rPr>
          <w:rFonts w:hint="eastAsia" w:ascii="宋体" w:hAnsi="宋体"/>
          <w:color w:val="auto"/>
          <w:sz w:val="24"/>
          <w:highlight w:val="none"/>
        </w:rPr>
        <w:t>份），在每一份谈判响应书上要明确“正本”或“副本”字样。</w:t>
      </w:r>
      <w:r>
        <w:rPr>
          <w:rFonts w:hint="eastAsia" w:ascii="宋体" w:hAnsi="宋体"/>
          <w:b/>
          <w:color w:val="auto"/>
          <w:sz w:val="24"/>
          <w:highlight w:val="none"/>
        </w:rPr>
        <w:t>响应书（</w:t>
      </w:r>
      <w:r>
        <w:rPr>
          <w:rFonts w:hint="eastAsia" w:ascii="宋体" w:hAnsi="宋体"/>
          <w:b/>
          <w:color w:val="auto"/>
          <w:sz w:val="24"/>
          <w:highlight w:val="none"/>
          <w:lang w:val="en-US" w:eastAsia="zh-CN"/>
        </w:rPr>
        <w:t>五</w:t>
      </w:r>
      <w:r>
        <w:rPr>
          <w:rFonts w:hint="eastAsia" w:ascii="宋体" w:hAnsi="宋体"/>
          <w:b/>
          <w:color w:val="auto"/>
          <w:sz w:val="24"/>
          <w:highlight w:val="none"/>
        </w:rPr>
        <w:t>份）应装袋密封提交</w:t>
      </w:r>
      <w:r>
        <w:rPr>
          <w:rFonts w:hint="eastAsia" w:ascii="宋体" w:hAnsi="宋体"/>
          <w:color w:val="auto"/>
          <w:sz w:val="24"/>
          <w:highlight w:val="none"/>
        </w:rPr>
        <w:t>。因正本与副本不一致或未按采购文件要求编制而导致响</w:t>
      </w:r>
      <w:r>
        <w:rPr>
          <w:rFonts w:hint="eastAsia" w:ascii="宋体" w:hAnsi="宋体"/>
          <w:sz w:val="24"/>
        </w:rPr>
        <w:t>应文件被误读或拒绝等不利后果由供应商承担。</w:t>
      </w:r>
    </w:p>
    <w:p w14:paraId="4F1F9937">
      <w:pPr>
        <w:spacing w:line="360" w:lineRule="auto"/>
        <w:ind w:firstLine="480" w:firstLineChars="200"/>
        <w:rPr>
          <w:rFonts w:ascii="宋体" w:hAnsi="宋体"/>
          <w:sz w:val="24"/>
        </w:rPr>
      </w:pPr>
      <w:r>
        <w:rPr>
          <w:rFonts w:ascii="宋体" w:hAnsi="宋体"/>
          <w:sz w:val="24"/>
        </w:rPr>
        <w:t>13.</w:t>
      </w:r>
      <w:r>
        <w:rPr>
          <w:rFonts w:hint="eastAsia" w:ascii="宋体" w:hAnsi="宋体"/>
          <w:sz w:val="24"/>
        </w:rPr>
        <w:t>4电报、电话、传真的谈判响应资料概不接受。</w:t>
      </w:r>
    </w:p>
    <w:p w14:paraId="0CF3D099">
      <w:pPr>
        <w:spacing w:line="360" w:lineRule="auto"/>
        <w:ind w:firstLine="480" w:firstLineChars="200"/>
        <w:rPr>
          <w:rFonts w:ascii="宋体" w:hAnsi="宋体"/>
          <w:sz w:val="24"/>
        </w:rPr>
      </w:pPr>
      <w:r>
        <w:rPr>
          <w:rFonts w:ascii="宋体" w:hAnsi="宋体"/>
          <w:sz w:val="24"/>
        </w:rPr>
        <w:t>13.</w:t>
      </w:r>
      <w:r>
        <w:rPr>
          <w:rFonts w:hint="eastAsia" w:ascii="宋体" w:hAnsi="宋体"/>
          <w:sz w:val="24"/>
        </w:rPr>
        <w:t>5谈判响应文件有改动时，修改处应由授权的谈判响应文件签署人签署证明或加盖校正章。</w:t>
      </w:r>
    </w:p>
    <w:p w14:paraId="084F0099">
      <w:pPr>
        <w:spacing w:line="360" w:lineRule="auto"/>
        <w:ind w:firstLine="480" w:firstLineChars="200"/>
        <w:rPr>
          <w:rFonts w:ascii="宋体" w:hAnsi="宋体"/>
          <w:sz w:val="24"/>
        </w:rPr>
      </w:pPr>
      <w:r>
        <w:rPr>
          <w:rFonts w:ascii="宋体" w:hAnsi="宋体"/>
          <w:sz w:val="24"/>
        </w:rPr>
        <w:t>13.</w:t>
      </w:r>
      <w:r>
        <w:rPr>
          <w:rFonts w:hint="eastAsia" w:ascii="宋体" w:hAnsi="宋体"/>
          <w:sz w:val="24"/>
        </w:rPr>
        <w:t>6谈判响应文件应按照规定的顺序装订成册并编制目录，由于编排混乱导致响应文件被误读或查找不到是供应商的责任。</w:t>
      </w:r>
    </w:p>
    <w:p w14:paraId="0B1D5044">
      <w:pPr>
        <w:spacing w:line="360" w:lineRule="auto"/>
        <w:ind w:firstLine="480" w:firstLineChars="200"/>
        <w:rPr>
          <w:rFonts w:ascii="宋体" w:hAnsi="宋体"/>
          <w:sz w:val="24"/>
        </w:rPr>
      </w:pPr>
      <w:r>
        <w:rPr>
          <w:rFonts w:ascii="宋体" w:hAnsi="宋体"/>
          <w:sz w:val="24"/>
        </w:rPr>
        <w:t>14</w:t>
      </w:r>
      <w:r>
        <w:rPr>
          <w:rFonts w:hint="eastAsia" w:ascii="宋体" w:hAnsi="宋体"/>
          <w:sz w:val="24"/>
        </w:rPr>
        <w:t xml:space="preserve"> 除非另有规定，谈判供应商应在本采购文件技术规格与要求的基础上进行报价，且根据谈判文件表格和规定详细报价。</w:t>
      </w:r>
    </w:p>
    <w:p w14:paraId="6B35363D">
      <w:pPr>
        <w:spacing w:line="360" w:lineRule="auto"/>
        <w:ind w:firstLine="480" w:firstLineChars="200"/>
        <w:rPr>
          <w:rFonts w:ascii="宋体" w:hAnsi="宋体"/>
          <w:sz w:val="24"/>
        </w:rPr>
      </w:pPr>
      <w:r>
        <w:rPr>
          <w:rFonts w:hint="eastAsia" w:ascii="宋体" w:hAnsi="宋体"/>
          <w:sz w:val="24"/>
        </w:rPr>
        <w:t>除非合同中另有规定，谈判供应商的报价均已包括了为实施和完成合同所需的劳务、材料、运输、安装、调试维修、售后服务、管理、利润、税金、政策性调价、市场变化以及合同明示的所有责任、义务和风险等一切费用。</w:t>
      </w:r>
    </w:p>
    <w:p w14:paraId="474B15E8">
      <w:pPr>
        <w:spacing w:line="360" w:lineRule="auto"/>
        <w:ind w:firstLine="480" w:firstLineChars="200"/>
        <w:rPr>
          <w:rFonts w:ascii="宋体" w:hAnsi="宋体"/>
          <w:sz w:val="24"/>
        </w:rPr>
      </w:pPr>
      <w:r>
        <w:rPr>
          <w:rFonts w:ascii="宋体" w:hAnsi="宋体"/>
          <w:sz w:val="24"/>
        </w:rPr>
        <w:t>15</w:t>
      </w:r>
      <w:r>
        <w:rPr>
          <w:rFonts w:hint="eastAsia" w:ascii="宋体" w:hAnsi="宋体"/>
          <w:sz w:val="24"/>
        </w:rPr>
        <w:t>、谈判响应服务符合竞争性谈判采购文件规定的证明文件。</w:t>
      </w:r>
    </w:p>
    <w:p w14:paraId="6D014AEF">
      <w:pPr>
        <w:spacing w:line="360" w:lineRule="auto"/>
        <w:ind w:firstLine="480" w:firstLineChars="200"/>
        <w:rPr>
          <w:rFonts w:ascii="宋体" w:hAnsi="宋体"/>
          <w:sz w:val="24"/>
        </w:rPr>
      </w:pPr>
      <w:r>
        <w:rPr>
          <w:rFonts w:ascii="宋体" w:hAnsi="宋体"/>
          <w:sz w:val="24"/>
        </w:rPr>
        <w:t>15.1</w:t>
      </w:r>
      <w:r>
        <w:rPr>
          <w:rFonts w:hint="eastAsia" w:ascii="宋体" w:hAnsi="宋体"/>
          <w:sz w:val="24"/>
        </w:rPr>
        <w:t>谈判供应商须提交证明拟提供货物和服务符合竞争性谈判采购文件规定的技术响应文件，作为谈判响应文件的一部分。</w:t>
      </w:r>
    </w:p>
    <w:p w14:paraId="6B4433E7">
      <w:pPr>
        <w:spacing w:line="360" w:lineRule="auto"/>
        <w:ind w:firstLine="482" w:firstLineChars="200"/>
        <w:rPr>
          <w:rFonts w:hint="eastAsia" w:ascii="宋体" w:hAnsi="宋体"/>
          <w:b/>
          <w:sz w:val="24"/>
        </w:rPr>
      </w:pPr>
      <w:r>
        <w:rPr>
          <w:rFonts w:hint="eastAsia" w:ascii="宋体" w:hAnsi="宋体"/>
          <w:b/>
          <w:sz w:val="24"/>
        </w:rPr>
        <w:t>15.2证明服务与采购文件的要求相一致的文件，可以是文字资料、图纸、数据或数码照片，它包括：</w:t>
      </w:r>
    </w:p>
    <w:p w14:paraId="7FD31FDB">
      <w:pPr>
        <w:spacing w:line="360" w:lineRule="auto"/>
        <w:ind w:firstLine="480" w:firstLineChars="200"/>
        <w:rPr>
          <w:rFonts w:ascii="宋体" w:hAnsi="宋体"/>
          <w:sz w:val="24"/>
        </w:rPr>
      </w:pPr>
      <w:r>
        <w:rPr>
          <w:rFonts w:hint="eastAsia" w:ascii="宋体" w:hAnsi="宋体"/>
          <w:sz w:val="24"/>
        </w:rPr>
        <w:t>（1）服务主要技术指标和性能的详细说明。</w:t>
      </w:r>
    </w:p>
    <w:p w14:paraId="76721230">
      <w:pPr>
        <w:spacing w:line="360" w:lineRule="auto"/>
        <w:ind w:firstLine="480" w:firstLineChars="200"/>
        <w:rPr>
          <w:rFonts w:ascii="宋体" w:hAnsi="宋体"/>
          <w:sz w:val="24"/>
        </w:rPr>
      </w:pPr>
      <w:r>
        <w:rPr>
          <w:rFonts w:hint="eastAsia" w:ascii="宋体" w:hAnsi="宋体"/>
          <w:sz w:val="24"/>
        </w:rPr>
        <w:t>（2）服务从采购单位开始使用至采购文件中规定的周期内正常、连续地使用所必须的备件和专用工具清单，包括备件和专用工具的货源及现行价格。</w:t>
      </w:r>
    </w:p>
    <w:p w14:paraId="47386636">
      <w:pPr>
        <w:spacing w:line="360" w:lineRule="auto"/>
        <w:ind w:firstLine="480" w:firstLineChars="200"/>
        <w:rPr>
          <w:rFonts w:ascii="宋体" w:hAnsi="宋体"/>
          <w:sz w:val="24"/>
        </w:rPr>
      </w:pPr>
      <w:r>
        <w:rPr>
          <w:rFonts w:hint="eastAsia" w:ascii="宋体" w:hAnsi="宋体"/>
          <w:sz w:val="24"/>
        </w:rPr>
        <w:t>（3）对照采购技术规格，逐条说明所提供服务已对采购单位的技术规格做出了实质性的响应，或申明与技术规格条文的偏差和例外。</w:t>
      </w:r>
    </w:p>
    <w:p w14:paraId="622C5671">
      <w:pPr>
        <w:spacing w:line="360" w:lineRule="auto"/>
        <w:ind w:firstLine="480" w:firstLineChars="200"/>
        <w:rPr>
          <w:rFonts w:ascii="宋体" w:hAnsi="宋体"/>
          <w:sz w:val="24"/>
        </w:rPr>
      </w:pPr>
      <w:r>
        <w:rPr>
          <w:rFonts w:ascii="宋体" w:hAnsi="宋体"/>
          <w:sz w:val="24"/>
        </w:rPr>
        <w:t>16</w:t>
      </w:r>
      <w:r>
        <w:rPr>
          <w:rFonts w:hint="eastAsia" w:ascii="宋体" w:hAnsi="宋体"/>
          <w:sz w:val="24"/>
        </w:rPr>
        <w:t>、谈判保证金</w:t>
      </w:r>
    </w:p>
    <w:p w14:paraId="4228ADC7">
      <w:pPr>
        <w:spacing w:line="360" w:lineRule="auto"/>
        <w:ind w:firstLine="480" w:firstLineChars="200"/>
        <w:rPr>
          <w:rFonts w:ascii="宋体" w:hAnsi="宋体"/>
          <w:sz w:val="24"/>
        </w:rPr>
      </w:pPr>
      <w:r>
        <w:rPr>
          <w:rFonts w:ascii="宋体" w:hAnsi="宋体"/>
          <w:sz w:val="24"/>
        </w:rPr>
        <w:t>16.1</w:t>
      </w:r>
      <w:r>
        <w:rPr>
          <w:rFonts w:hint="eastAsia" w:ascii="宋体" w:hAnsi="宋体"/>
          <w:sz w:val="24"/>
        </w:rPr>
        <w:t>谈判保证金为谈判响应文件的组成部分之一。</w:t>
      </w:r>
    </w:p>
    <w:p w14:paraId="2750025C">
      <w:pPr>
        <w:spacing w:line="360" w:lineRule="auto"/>
        <w:ind w:firstLine="480" w:firstLineChars="200"/>
        <w:rPr>
          <w:rFonts w:ascii="宋体" w:hAnsi="宋体"/>
          <w:sz w:val="24"/>
          <w:u w:val="single"/>
        </w:rPr>
      </w:pPr>
      <w:r>
        <w:rPr>
          <w:rFonts w:ascii="宋体" w:hAnsi="宋体"/>
          <w:sz w:val="24"/>
        </w:rPr>
        <w:t>16.2</w:t>
      </w:r>
      <w:r>
        <w:rPr>
          <w:rFonts w:hint="eastAsia" w:ascii="宋体" w:hAnsi="宋体"/>
          <w:sz w:val="24"/>
        </w:rPr>
        <w:t>谈判供应商应从其帐户银行转帐或电汇向采购代理机构指定的帐户提交本采购文件规定的谈判保证金。</w:t>
      </w:r>
    </w:p>
    <w:p w14:paraId="40B0B8B8">
      <w:pPr>
        <w:spacing w:line="360" w:lineRule="auto"/>
        <w:ind w:firstLine="480" w:firstLineChars="200"/>
        <w:rPr>
          <w:rFonts w:ascii="宋体" w:hAnsi="宋体"/>
          <w:sz w:val="24"/>
        </w:rPr>
      </w:pPr>
      <w:r>
        <w:rPr>
          <w:rFonts w:ascii="宋体" w:hAnsi="宋体"/>
          <w:sz w:val="24"/>
        </w:rPr>
        <w:t>16.</w:t>
      </w:r>
      <w:r>
        <w:rPr>
          <w:rFonts w:hint="eastAsia" w:ascii="宋体" w:hAnsi="宋体"/>
          <w:sz w:val="24"/>
        </w:rPr>
        <w:t>3未按规定提交谈判保证金的谈判响应，将被视为谈判响应无效。</w:t>
      </w:r>
    </w:p>
    <w:p w14:paraId="78B8883A">
      <w:pPr>
        <w:spacing w:line="360" w:lineRule="auto"/>
        <w:ind w:firstLine="480" w:firstLineChars="200"/>
        <w:rPr>
          <w:rFonts w:ascii="宋体" w:hAnsi="宋体"/>
          <w:sz w:val="24"/>
        </w:rPr>
      </w:pPr>
      <w:r>
        <w:rPr>
          <w:rFonts w:ascii="宋体" w:hAnsi="宋体"/>
          <w:sz w:val="24"/>
        </w:rPr>
        <w:t>16.</w:t>
      </w:r>
      <w:r>
        <w:rPr>
          <w:rFonts w:hint="eastAsia" w:ascii="宋体" w:hAnsi="宋体"/>
          <w:sz w:val="24"/>
        </w:rPr>
        <w:t>4谈判保证金用于保护本次竞争性谈判免受谈判供应商的行为而引起的风险。</w:t>
      </w:r>
    </w:p>
    <w:p w14:paraId="4A7EFE48">
      <w:pPr>
        <w:spacing w:line="360" w:lineRule="auto"/>
        <w:ind w:firstLine="480" w:firstLineChars="200"/>
        <w:rPr>
          <w:rFonts w:hint="eastAsia" w:ascii="宋体" w:hAnsi="宋体"/>
          <w:sz w:val="24"/>
        </w:rPr>
      </w:pPr>
      <w:r>
        <w:rPr>
          <w:rFonts w:ascii="宋体" w:hAnsi="宋体"/>
          <w:sz w:val="24"/>
        </w:rPr>
        <w:t>16.</w:t>
      </w:r>
      <w:r>
        <w:rPr>
          <w:rFonts w:hint="eastAsia" w:ascii="宋体" w:hAnsi="宋体"/>
          <w:sz w:val="24"/>
        </w:rPr>
        <w:t>5未成交供应商的谈判保证金，在成交供应商确定后凭收款收据向</w:t>
      </w:r>
      <w:r>
        <w:rPr>
          <w:rFonts w:hint="eastAsia" w:ascii="宋体" w:hAnsi="宋体"/>
          <w:sz w:val="24"/>
          <w:lang w:eastAsia="zh-CN"/>
        </w:rPr>
        <w:t>福建优胜招标项目管理集团有限公司</w:t>
      </w:r>
      <w:r>
        <w:rPr>
          <w:rFonts w:hint="eastAsia" w:ascii="宋体" w:hAnsi="宋体"/>
          <w:sz w:val="24"/>
        </w:rPr>
        <w:t>无息退还。</w:t>
      </w:r>
    </w:p>
    <w:p w14:paraId="3EB26091">
      <w:pPr>
        <w:spacing w:line="360" w:lineRule="auto"/>
        <w:ind w:firstLine="480" w:firstLineChars="200"/>
        <w:rPr>
          <w:rFonts w:ascii="宋体" w:hAnsi="宋体"/>
          <w:sz w:val="24"/>
        </w:rPr>
      </w:pPr>
      <w:r>
        <w:rPr>
          <w:rFonts w:ascii="宋体" w:hAnsi="宋体"/>
          <w:sz w:val="24"/>
        </w:rPr>
        <w:t>16.</w:t>
      </w:r>
      <w:r>
        <w:rPr>
          <w:rFonts w:hint="eastAsia" w:ascii="宋体" w:hAnsi="宋体"/>
          <w:sz w:val="24"/>
        </w:rPr>
        <w:t>6发生以下情况谈判响应保证金将不予退还。</w:t>
      </w:r>
    </w:p>
    <w:p w14:paraId="270EC15D">
      <w:pPr>
        <w:spacing w:line="360" w:lineRule="auto"/>
        <w:ind w:firstLine="480" w:firstLineChars="200"/>
        <w:rPr>
          <w:rFonts w:hint="eastAsia" w:ascii="宋体" w:hAnsi="宋体"/>
          <w:sz w:val="24"/>
        </w:rPr>
      </w:pPr>
      <w:r>
        <w:rPr>
          <w:rFonts w:hint="eastAsia" w:ascii="宋体" w:hAnsi="宋体"/>
          <w:sz w:val="24"/>
        </w:rPr>
        <w:t>（一）供应商在提交响应文件截止时间后撤回响应文件的；</w:t>
      </w:r>
    </w:p>
    <w:p w14:paraId="37E0379B">
      <w:pPr>
        <w:spacing w:line="360" w:lineRule="auto"/>
        <w:ind w:firstLine="480" w:firstLineChars="200"/>
        <w:rPr>
          <w:rFonts w:hint="eastAsia" w:ascii="宋体" w:hAnsi="宋体"/>
          <w:sz w:val="24"/>
        </w:rPr>
      </w:pPr>
      <w:r>
        <w:rPr>
          <w:rFonts w:hint="eastAsia" w:ascii="宋体" w:hAnsi="宋体"/>
          <w:sz w:val="24"/>
        </w:rPr>
        <w:t>（二）供应商在响应文件中提供虚假材料的；</w:t>
      </w:r>
    </w:p>
    <w:p w14:paraId="234AE756">
      <w:pPr>
        <w:spacing w:line="360" w:lineRule="auto"/>
        <w:ind w:firstLine="480" w:firstLineChars="200"/>
        <w:rPr>
          <w:rFonts w:hint="eastAsia" w:ascii="宋体" w:hAnsi="宋体"/>
          <w:sz w:val="24"/>
        </w:rPr>
      </w:pPr>
      <w:r>
        <w:rPr>
          <w:rFonts w:hint="eastAsia" w:ascii="宋体" w:hAnsi="宋体"/>
          <w:sz w:val="24"/>
        </w:rPr>
        <w:t>（三）除因不可抗力或谈判文件认可的情形以外，成交供应商不与采购人签订合同的；</w:t>
      </w:r>
    </w:p>
    <w:p w14:paraId="4B314AF0">
      <w:pPr>
        <w:spacing w:line="360" w:lineRule="auto"/>
        <w:ind w:firstLine="480" w:firstLineChars="200"/>
        <w:rPr>
          <w:rFonts w:hint="eastAsia" w:ascii="宋体" w:hAnsi="宋体"/>
          <w:sz w:val="24"/>
        </w:rPr>
      </w:pPr>
      <w:r>
        <w:rPr>
          <w:rFonts w:hint="eastAsia" w:ascii="宋体" w:hAnsi="宋体"/>
          <w:sz w:val="24"/>
        </w:rPr>
        <w:t>（四）供应商与采购人、其他供应商或者采购代理机构恶意串通的；</w:t>
      </w:r>
    </w:p>
    <w:p w14:paraId="5B5FF9A7">
      <w:pPr>
        <w:spacing w:line="360" w:lineRule="auto"/>
        <w:ind w:firstLine="480"/>
        <w:rPr>
          <w:rFonts w:hint="eastAsia" w:ascii="宋体" w:hAnsi="宋体"/>
          <w:sz w:val="24"/>
        </w:rPr>
      </w:pPr>
      <w:r>
        <w:rPr>
          <w:rFonts w:hint="eastAsia" w:ascii="宋体" w:hAnsi="宋体"/>
          <w:sz w:val="24"/>
        </w:rPr>
        <w:t>（五）采购文件规定的其他情形。</w:t>
      </w:r>
    </w:p>
    <w:p w14:paraId="27B4A98A">
      <w:pPr>
        <w:spacing w:line="360" w:lineRule="auto"/>
        <w:ind w:firstLine="480" w:firstLineChars="200"/>
        <w:rPr>
          <w:rFonts w:hint="eastAsia" w:ascii="宋体" w:hAnsi="宋体"/>
          <w:sz w:val="24"/>
        </w:rPr>
      </w:pPr>
      <w:r>
        <w:rPr>
          <w:rFonts w:hint="eastAsia" w:ascii="宋体" w:hAnsi="宋体"/>
          <w:sz w:val="24"/>
        </w:rPr>
        <w:t>上述不予退还保证金的情况给采购单位或招标代理机构造成损失的，还要承担赔偿责任。</w:t>
      </w:r>
    </w:p>
    <w:p w14:paraId="1E5259C7">
      <w:pPr>
        <w:spacing w:line="360" w:lineRule="auto"/>
        <w:ind w:firstLine="480" w:firstLineChars="200"/>
        <w:rPr>
          <w:rFonts w:ascii="宋体" w:hAnsi="宋体"/>
          <w:sz w:val="24"/>
        </w:rPr>
      </w:pPr>
      <w:r>
        <w:rPr>
          <w:rFonts w:ascii="宋体" w:hAnsi="宋体"/>
          <w:sz w:val="24"/>
        </w:rPr>
        <w:t>17</w:t>
      </w:r>
      <w:r>
        <w:rPr>
          <w:rFonts w:hint="eastAsia" w:ascii="宋体" w:hAnsi="宋体"/>
          <w:sz w:val="24"/>
        </w:rPr>
        <w:t>、谈判有效期</w:t>
      </w:r>
    </w:p>
    <w:p w14:paraId="20197FAA">
      <w:pPr>
        <w:spacing w:line="360" w:lineRule="auto"/>
        <w:ind w:firstLine="480" w:firstLineChars="200"/>
        <w:rPr>
          <w:rFonts w:ascii="宋体" w:hAnsi="宋体"/>
          <w:sz w:val="24"/>
        </w:rPr>
      </w:pPr>
      <w:r>
        <w:rPr>
          <w:rFonts w:ascii="宋体" w:hAnsi="宋体"/>
          <w:sz w:val="24"/>
        </w:rPr>
        <w:t>17.1</w:t>
      </w:r>
      <w:r>
        <w:rPr>
          <w:rFonts w:hint="eastAsia" w:ascii="宋体" w:hAnsi="宋体"/>
          <w:sz w:val="24"/>
        </w:rPr>
        <w:t>谈判应在规定递交竞争性谈判响应文件截止期结束后</w:t>
      </w:r>
      <w:r>
        <w:rPr>
          <w:rFonts w:hint="eastAsia" w:ascii="宋体" w:hAnsi="宋体"/>
          <w:sz w:val="24"/>
          <w:u w:val="single"/>
        </w:rPr>
        <w:t>90个</w:t>
      </w:r>
      <w:r>
        <w:rPr>
          <w:rFonts w:hint="eastAsia" w:ascii="宋体" w:hAnsi="宋体"/>
          <w:sz w:val="24"/>
        </w:rPr>
        <w:t>日历日内保持有效。有效期不足将导致其竞争性谈判响应文件被拒绝。</w:t>
      </w:r>
    </w:p>
    <w:p w14:paraId="1ABEB8F5">
      <w:pPr>
        <w:spacing w:line="360" w:lineRule="auto"/>
        <w:ind w:firstLine="480" w:firstLineChars="200"/>
        <w:jc w:val="left"/>
        <w:rPr>
          <w:rFonts w:hint="eastAsia" w:ascii="宋体" w:hAnsi="宋体"/>
          <w:b/>
          <w:bCs/>
          <w:sz w:val="24"/>
        </w:rPr>
      </w:pPr>
      <w:r>
        <w:rPr>
          <w:rFonts w:ascii="宋体" w:hAnsi="宋体"/>
          <w:sz w:val="24"/>
        </w:rPr>
        <w:t>17.2</w:t>
      </w:r>
      <w:r>
        <w:rPr>
          <w:rFonts w:hint="eastAsia" w:ascii="宋体" w:hAnsi="宋体"/>
          <w:sz w:val="24"/>
        </w:rPr>
        <w:t>特殊情况下，在原谈判有效期截止之前，采购代理机构可要求供应商同意延长谈判有效期。这种要求与答复均应以书面形式提交。供应商可拒绝采购代理机构的这种要求，其谈判保证金将予以无息退还。接受延长谈判有效期的供应商将被要求相应地延长其谈判保证金的有效期。在这种情况下，本须知第</w:t>
      </w:r>
      <w:r>
        <w:rPr>
          <w:rFonts w:ascii="宋体" w:hAnsi="宋体"/>
          <w:sz w:val="24"/>
        </w:rPr>
        <w:t>16</w:t>
      </w:r>
      <w:r>
        <w:rPr>
          <w:rFonts w:hint="eastAsia" w:ascii="宋体" w:hAnsi="宋体"/>
          <w:sz w:val="24"/>
        </w:rPr>
        <w:t>条有关谈判保证金的退还和不予退还的规定将在延长了的有效期内继续有效。</w:t>
      </w:r>
    </w:p>
    <w:p w14:paraId="34BED783">
      <w:pPr>
        <w:spacing w:line="360" w:lineRule="auto"/>
        <w:ind w:firstLine="482" w:firstLineChars="200"/>
        <w:jc w:val="center"/>
        <w:outlineLvl w:val="1"/>
        <w:rPr>
          <w:rFonts w:ascii="宋体" w:hAnsi="宋体"/>
          <w:b/>
          <w:bCs/>
          <w:sz w:val="28"/>
        </w:rPr>
      </w:pPr>
      <w:bookmarkStart w:id="8" w:name="_Toc8662"/>
      <w:r>
        <w:rPr>
          <w:rFonts w:hint="eastAsia" w:ascii="宋体" w:hAnsi="宋体"/>
          <w:b/>
          <w:bCs/>
          <w:sz w:val="24"/>
        </w:rPr>
        <w:t>四、谈判响应文件的递交</w:t>
      </w:r>
      <w:bookmarkEnd w:id="8"/>
    </w:p>
    <w:p w14:paraId="6DE793C3">
      <w:pPr>
        <w:spacing w:line="360" w:lineRule="auto"/>
        <w:ind w:firstLine="480" w:firstLineChars="200"/>
        <w:rPr>
          <w:rFonts w:ascii="宋体" w:hAnsi="宋体"/>
          <w:sz w:val="24"/>
        </w:rPr>
      </w:pPr>
      <w:r>
        <w:rPr>
          <w:rFonts w:ascii="宋体" w:hAnsi="宋体"/>
          <w:sz w:val="24"/>
        </w:rPr>
        <w:t>18</w:t>
      </w:r>
      <w:r>
        <w:rPr>
          <w:rFonts w:hint="eastAsia" w:ascii="宋体" w:hAnsi="宋体"/>
          <w:sz w:val="24"/>
        </w:rPr>
        <w:t>、谈判响应文件的密封和标记</w:t>
      </w:r>
    </w:p>
    <w:p w14:paraId="68D95E15">
      <w:pPr>
        <w:spacing w:line="360" w:lineRule="auto"/>
        <w:ind w:firstLine="480" w:firstLineChars="200"/>
        <w:rPr>
          <w:rFonts w:ascii="宋体" w:hAnsi="宋体"/>
          <w:sz w:val="24"/>
        </w:rPr>
      </w:pPr>
      <w:r>
        <w:rPr>
          <w:rFonts w:ascii="宋体" w:hAnsi="宋体"/>
          <w:sz w:val="24"/>
        </w:rPr>
        <w:t>18.1</w:t>
      </w:r>
      <w:r>
        <w:rPr>
          <w:rFonts w:hint="eastAsia" w:ascii="宋体" w:hAnsi="宋体"/>
          <w:sz w:val="24"/>
        </w:rPr>
        <w:t>谈判供应商应将响应书装袋用密封袋密封，并标明谈判响应文件编号、报价服务名称。</w:t>
      </w:r>
    </w:p>
    <w:p w14:paraId="0C04DB68">
      <w:pPr>
        <w:spacing w:line="360" w:lineRule="auto"/>
        <w:ind w:firstLine="480" w:firstLineChars="200"/>
        <w:rPr>
          <w:rFonts w:ascii="宋体" w:hAnsi="宋体"/>
          <w:sz w:val="24"/>
        </w:rPr>
      </w:pPr>
      <w:r>
        <w:rPr>
          <w:rFonts w:ascii="宋体" w:hAnsi="宋体"/>
          <w:sz w:val="24"/>
        </w:rPr>
        <w:t>18.2</w:t>
      </w:r>
      <w:r>
        <w:rPr>
          <w:rFonts w:hint="eastAsia" w:ascii="宋体" w:hAnsi="宋体"/>
          <w:sz w:val="24"/>
        </w:rPr>
        <w:t>封口处须加盖谈判供应商公章或有法定代表人或授权代表签字或盖章。</w:t>
      </w:r>
    </w:p>
    <w:p w14:paraId="5D126493">
      <w:pPr>
        <w:spacing w:line="360" w:lineRule="auto"/>
        <w:ind w:firstLine="480" w:firstLineChars="200"/>
        <w:rPr>
          <w:rFonts w:ascii="宋体" w:hAnsi="宋体"/>
          <w:sz w:val="24"/>
        </w:rPr>
      </w:pPr>
      <w:r>
        <w:rPr>
          <w:rFonts w:ascii="宋体" w:hAnsi="宋体"/>
          <w:sz w:val="24"/>
        </w:rPr>
        <w:t>19</w:t>
      </w:r>
      <w:r>
        <w:rPr>
          <w:rFonts w:hint="eastAsia" w:ascii="宋体" w:hAnsi="宋体"/>
          <w:sz w:val="24"/>
        </w:rPr>
        <w:t>、递交谈判响应文件的截止时间</w:t>
      </w:r>
    </w:p>
    <w:p w14:paraId="099F5206">
      <w:pPr>
        <w:spacing w:line="360" w:lineRule="auto"/>
        <w:ind w:firstLine="480" w:firstLineChars="200"/>
        <w:rPr>
          <w:rFonts w:hint="eastAsia" w:ascii="宋体" w:hAnsi="宋体"/>
          <w:sz w:val="24"/>
        </w:rPr>
      </w:pPr>
      <w:r>
        <w:rPr>
          <w:rFonts w:ascii="宋体" w:hAnsi="宋体"/>
          <w:sz w:val="24"/>
        </w:rPr>
        <w:t>19.1</w:t>
      </w:r>
      <w:r>
        <w:rPr>
          <w:rFonts w:hint="eastAsia" w:ascii="宋体" w:hAnsi="宋体"/>
          <w:sz w:val="24"/>
        </w:rPr>
        <w:t>所有谈判响应文件都必须按采购代理机构在竞争性谈判邀请中规定的递交谈判响应文件截止时间之前由谈判供应商代表送至谈判地点。递交响应文件时，必须由法定代表人或授权代表填写签到表。</w:t>
      </w:r>
    </w:p>
    <w:p w14:paraId="3F1C0118">
      <w:pPr>
        <w:spacing w:line="360" w:lineRule="auto"/>
        <w:ind w:firstLine="480" w:firstLineChars="200"/>
        <w:rPr>
          <w:rFonts w:hint="eastAsia" w:ascii="宋体" w:hAnsi="宋体"/>
          <w:sz w:val="24"/>
        </w:rPr>
      </w:pPr>
      <w:r>
        <w:rPr>
          <w:rFonts w:ascii="宋体" w:hAnsi="宋体"/>
          <w:sz w:val="24"/>
        </w:rPr>
        <w:t>19.2</w:t>
      </w:r>
      <w:r>
        <w:rPr>
          <w:rFonts w:hint="eastAsia" w:ascii="宋体" w:hAnsi="宋体"/>
          <w:sz w:val="24"/>
        </w:rPr>
        <w:t>出现第</w:t>
      </w:r>
      <w:r>
        <w:rPr>
          <w:rFonts w:ascii="宋体" w:hAnsi="宋体"/>
          <w:sz w:val="24"/>
        </w:rPr>
        <w:t>8</w:t>
      </w:r>
      <w:r>
        <w:rPr>
          <w:rFonts w:hint="eastAsia" w:ascii="宋体" w:hAnsi="宋体"/>
          <w:sz w:val="24"/>
        </w:rPr>
        <w:t>条因竞争性谈判采购文件的修改推迟谈判响应截止日期时，则按采购代理机构修改通知规定的时间递交。</w:t>
      </w:r>
    </w:p>
    <w:p w14:paraId="2FD32FE2">
      <w:pPr>
        <w:spacing w:line="360" w:lineRule="auto"/>
        <w:ind w:firstLine="480" w:firstLineChars="200"/>
        <w:rPr>
          <w:rFonts w:hint="eastAsia" w:ascii="宋体" w:hAnsi="宋体"/>
          <w:sz w:val="24"/>
        </w:rPr>
      </w:pPr>
      <w:r>
        <w:rPr>
          <w:rFonts w:hint="eastAsia" w:ascii="宋体" w:hAnsi="宋体"/>
          <w:sz w:val="24"/>
        </w:rPr>
        <w:t>19.3</w:t>
      </w:r>
      <w:r>
        <w:rPr>
          <w:rFonts w:hint="eastAsia" w:ascii="宋体" w:hAnsi="宋体" w:cs="宋体"/>
          <w:kern w:val="0"/>
          <w:sz w:val="24"/>
        </w:rPr>
        <w:t>供应商在提交响应文件截止时间前，可以对所提交的响应文件进行补充、修改或者撤回，并书面通知采购人、采购代理机构。补充、修改的内容作为响应文件的组成部分。补充、修改的内容与响应文件不一致的，以补充、修改的内容为准。</w:t>
      </w:r>
    </w:p>
    <w:p w14:paraId="79C1E7AB">
      <w:pPr>
        <w:spacing w:line="360" w:lineRule="auto"/>
        <w:ind w:firstLine="480" w:firstLineChars="200"/>
        <w:rPr>
          <w:rFonts w:ascii="宋体" w:hAnsi="宋体"/>
          <w:sz w:val="24"/>
        </w:rPr>
      </w:pPr>
      <w:r>
        <w:rPr>
          <w:rFonts w:hint="eastAsia" w:ascii="宋体" w:hAnsi="宋体"/>
          <w:sz w:val="24"/>
          <w:szCs w:val="18"/>
        </w:rPr>
        <w:t>19.4</w:t>
      </w:r>
      <w:r>
        <w:rPr>
          <w:rFonts w:hint="eastAsia" w:ascii="宋体" w:hAnsi="宋体"/>
          <w:sz w:val="24"/>
        </w:rPr>
        <w:t>递交谈判响应文件的截止后</w:t>
      </w:r>
      <w:r>
        <w:rPr>
          <w:rFonts w:hint="eastAsia" w:ascii="宋体" w:hAnsi="宋体"/>
          <w:sz w:val="24"/>
          <w:szCs w:val="18"/>
        </w:rPr>
        <w:t>，由竞争性谈判供应商或者其推选的代表或监督人员检查响应文件的密封情况，也可以由代理机构委托的公证机构公证人员检查并公证。</w:t>
      </w:r>
    </w:p>
    <w:p w14:paraId="71CE32FC">
      <w:pPr>
        <w:spacing w:line="360" w:lineRule="auto"/>
        <w:ind w:firstLine="480" w:firstLineChars="200"/>
        <w:rPr>
          <w:rFonts w:ascii="宋体" w:hAnsi="宋体"/>
          <w:sz w:val="24"/>
        </w:rPr>
      </w:pPr>
      <w:r>
        <w:rPr>
          <w:rFonts w:ascii="宋体" w:hAnsi="宋体"/>
          <w:sz w:val="24"/>
        </w:rPr>
        <w:t>20</w:t>
      </w:r>
      <w:r>
        <w:rPr>
          <w:rFonts w:hint="eastAsia" w:ascii="宋体" w:hAnsi="宋体"/>
          <w:sz w:val="24"/>
        </w:rPr>
        <w:t>、迟交的谈判响应文件</w:t>
      </w:r>
    </w:p>
    <w:p w14:paraId="10F7898B">
      <w:pPr>
        <w:spacing w:line="360" w:lineRule="auto"/>
        <w:ind w:firstLine="480" w:firstLineChars="200"/>
        <w:rPr>
          <w:rFonts w:ascii="宋体" w:hAnsi="宋体"/>
          <w:sz w:val="24"/>
        </w:rPr>
      </w:pPr>
      <w:r>
        <w:rPr>
          <w:rFonts w:hint="eastAsia" w:ascii="宋体" w:hAnsi="宋体"/>
          <w:sz w:val="24"/>
        </w:rPr>
        <w:t>20.1竞争性谈判小组将拒绝在递交谈判响应文件截止时间后收到的谈判响应文件。</w:t>
      </w:r>
    </w:p>
    <w:p w14:paraId="7F24C575">
      <w:pPr>
        <w:spacing w:line="360" w:lineRule="auto"/>
        <w:ind w:firstLine="480" w:firstLineChars="200"/>
        <w:rPr>
          <w:rFonts w:ascii="宋体" w:hAnsi="宋体"/>
          <w:sz w:val="24"/>
        </w:rPr>
      </w:pPr>
      <w:r>
        <w:rPr>
          <w:rFonts w:ascii="宋体" w:hAnsi="宋体"/>
          <w:sz w:val="24"/>
        </w:rPr>
        <w:t>21</w:t>
      </w:r>
      <w:r>
        <w:rPr>
          <w:rFonts w:hint="eastAsia" w:ascii="宋体" w:hAnsi="宋体"/>
          <w:sz w:val="24"/>
        </w:rPr>
        <w:t>、谈判响应文件撤销</w:t>
      </w:r>
    </w:p>
    <w:p w14:paraId="0A09BD8E">
      <w:pPr>
        <w:spacing w:line="360" w:lineRule="auto"/>
        <w:ind w:firstLine="480" w:firstLineChars="200"/>
        <w:rPr>
          <w:rFonts w:hint="eastAsia" w:ascii="宋体" w:hAnsi="宋体"/>
          <w:sz w:val="24"/>
        </w:rPr>
      </w:pPr>
      <w:r>
        <w:rPr>
          <w:rFonts w:ascii="宋体" w:hAnsi="宋体"/>
          <w:sz w:val="24"/>
        </w:rPr>
        <w:t>21.1</w:t>
      </w:r>
      <w:r>
        <w:rPr>
          <w:rFonts w:hint="eastAsia" w:ascii="宋体" w:hAnsi="宋体"/>
          <w:sz w:val="24"/>
        </w:rPr>
        <w:t>谈判供应商在提交谈判响应文件后可对其谈判响应文件进行撤销，但采购代理机构须在递交谈判响应文件截止时间之前收到该撤销的书面通知。</w:t>
      </w:r>
    </w:p>
    <w:p w14:paraId="17C5809B">
      <w:pPr>
        <w:spacing w:line="360" w:lineRule="auto"/>
        <w:ind w:firstLine="480" w:firstLineChars="200"/>
        <w:rPr>
          <w:rFonts w:hint="eastAsia" w:ascii="宋体" w:hAnsi="宋体"/>
          <w:sz w:val="24"/>
        </w:rPr>
      </w:pPr>
      <w:r>
        <w:rPr>
          <w:rFonts w:hint="eastAsia" w:ascii="宋体" w:hAnsi="宋体"/>
          <w:sz w:val="24"/>
        </w:rPr>
        <w:t>21.2谈判供应商不得在谈判有效期内撤销谈判响应文件，否则按第</w:t>
      </w:r>
      <w:r>
        <w:rPr>
          <w:rFonts w:ascii="宋体" w:hAnsi="宋体"/>
          <w:sz w:val="24"/>
        </w:rPr>
        <w:t>16</w:t>
      </w:r>
      <w:r>
        <w:rPr>
          <w:rFonts w:hint="eastAsia" w:ascii="宋体" w:hAnsi="宋体"/>
          <w:sz w:val="24"/>
        </w:rPr>
        <w:t>条规定，其谈判响应保证金将不予退回。</w:t>
      </w:r>
    </w:p>
    <w:p w14:paraId="05BE9729">
      <w:pPr>
        <w:spacing w:line="360" w:lineRule="auto"/>
        <w:ind w:firstLine="482" w:firstLineChars="200"/>
        <w:jc w:val="center"/>
        <w:outlineLvl w:val="1"/>
        <w:rPr>
          <w:rFonts w:ascii="宋体" w:hAnsi="宋体"/>
          <w:b/>
          <w:bCs/>
          <w:sz w:val="28"/>
        </w:rPr>
      </w:pPr>
      <w:bookmarkStart w:id="9" w:name="_Toc6384"/>
      <w:r>
        <w:rPr>
          <w:rFonts w:hint="eastAsia" w:ascii="宋体" w:hAnsi="宋体"/>
          <w:b/>
          <w:bCs/>
          <w:sz w:val="24"/>
        </w:rPr>
        <w:t>五、谈判程序与评审方法</w:t>
      </w:r>
      <w:bookmarkEnd w:id="9"/>
    </w:p>
    <w:p w14:paraId="7EF5B86C">
      <w:pPr>
        <w:spacing w:line="360" w:lineRule="auto"/>
        <w:ind w:firstLine="480" w:firstLineChars="200"/>
        <w:jc w:val="left"/>
        <w:rPr>
          <w:rFonts w:ascii="宋体" w:hAnsi="宋体"/>
          <w:sz w:val="24"/>
        </w:rPr>
      </w:pPr>
      <w:r>
        <w:rPr>
          <w:rFonts w:ascii="宋体" w:hAnsi="宋体"/>
          <w:sz w:val="24"/>
        </w:rPr>
        <w:t>22</w:t>
      </w:r>
      <w:r>
        <w:rPr>
          <w:rFonts w:hint="eastAsia" w:ascii="宋体" w:hAnsi="宋体"/>
          <w:sz w:val="24"/>
        </w:rPr>
        <w:t xml:space="preserve">、谈判小组与谈判程序 </w:t>
      </w:r>
    </w:p>
    <w:p w14:paraId="2D8700A5">
      <w:pPr>
        <w:spacing w:line="360" w:lineRule="auto"/>
        <w:ind w:firstLine="480" w:firstLineChars="200"/>
        <w:jc w:val="left"/>
        <w:rPr>
          <w:rFonts w:hint="eastAsia" w:ascii="宋体" w:hAnsi="宋体"/>
          <w:sz w:val="24"/>
        </w:rPr>
      </w:pPr>
      <w:r>
        <w:rPr>
          <w:rFonts w:hint="eastAsia" w:ascii="宋体" w:hAnsi="宋体"/>
          <w:sz w:val="24"/>
        </w:rPr>
        <w:t>22.1成立谈判小组。采购代理机构根据本次竞争性谈判采购的特点和有关规定组成谈判小组，该谈判小组由采购人代表、评审专家组成。</w:t>
      </w:r>
    </w:p>
    <w:p w14:paraId="7736EF63">
      <w:pPr>
        <w:spacing w:line="360" w:lineRule="auto"/>
        <w:ind w:firstLine="480" w:firstLineChars="200"/>
        <w:jc w:val="left"/>
        <w:rPr>
          <w:rFonts w:hint="eastAsia" w:ascii="宋体" w:hAnsi="宋体"/>
          <w:sz w:val="24"/>
        </w:rPr>
      </w:pPr>
      <w:r>
        <w:rPr>
          <w:rFonts w:hint="eastAsia" w:ascii="宋体" w:hAnsi="宋体"/>
          <w:sz w:val="24"/>
        </w:rPr>
        <w:t>22.2</w:t>
      </w:r>
      <w:r>
        <w:rPr>
          <w:rFonts w:hint="eastAsia" w:ascii="宋体" w:hAnsi="宋体" w:cs="宋体"/>
          <w:kern w:val="0"/>
          <w:sz w:val="24"/>
        </w:rPr>
        <w:t>谈判小组对响应文件进行评审，未实质性响应谈判文件的响应文件按无效处理。谈判小组将告知有关供应商。</w:t>
      </w:r>
    </w:p>
    <w:p w14:paraId="60BA48F6">
      <w:pPr>
        <w:spacing w:line="360" w:lineRule="auto"/>
        <w:ind w:firstLine="480" w:firstLineChars="200"/>
        <w:rPr>
          <w:rFonts w:hint="eastAsia" w:ascii="宋体" w:hAnsi="宋体"/>
          <w:b/>
          <w:sz w:val="24"/>
          <w:highlight w:val="none"/>
        </w:rPr>
      </w:pPr>
      <w:r>
        <w:rPr>
          <w:rFonts w:hint="eastAsia" w:ascii="宋体" w:hAnsi="宋体"/>
          <w:sz w:val="24"/>
        </w:rPr>
        <w:t>22.2.1谈判小组根据竞争性谈判采购文件的要求，对供应商进行资格文件审查。</w:t>
      </w:r>
      <w:r>
        <w:rPr>
          <w:rFonts w:hint="eastAsia" w:ascii="宋体" w:hAnsi="宋体"/>
          <w:b/>
          <w:sz w:val="24"/>
        </w:rPr>
        <w:t>只有经评</w:t>
      </w:r>
      <w:r>
        <w:rPr>
          <w:rFonts w:hint="eastAsia" w:ascii="宋体" w:hAnsi="宋体"/>
          <w:b/>
          <w:sz w:val="24"/>
          <w:highlight w:val="none"/>
        </w:rPr>
        <w:t>审谈判小组审查，符合本采购文件资格条件规定的供应商才是合格的供应商。</w:t>
      </w:r>
    </w:p>
    <w:p w14:paraId="29BFB4C3">
      <w:pPr>
        <w:spacing w:line="360" w:lineRule="auto"/>
        <w:ind w:firstLine="482" w:firstLineChars="200"/>
        <w:rPr>
          <w:rFonts w:hint="eastAsia" w:ascii="宋体" w:hAnsi="宋体"/>
          <w:b/>
          <w:sz w:val="24"/>
          <w:highlight w:val="none"/>
        </w:rPr>
      </w:pPr>
      <w:r>
        <w:rPr>
          <w:rFonts w:hint="eastAsia" w:ascii="宋体" w:hAnsi="宋体"/>
          <w:b/>
          <w:sz w:val="24"/>
          <w:highlight w:val="none"/>
        </w:rPr>
        <w:t>22.2.2只有资格证明文件符合采购文件要求且实质性响应谈判文件的供应商的家数不少于3家才可进入谈判程序。</w:t>
      </w:r>
    </w:p>
    <w:p w14:paraId="6C45EC39">
      <w:pPr>
        <w:tabs>
          <w:tab w:val="left" w:pos="0"/>
        </w:tabs>
        <w:spacing w:line="360" w:lineRule="auto"/>
        <w:ind w:firstLine="480" w:firstLineChars="200"/>
        <w:jc w:val="left"/>
        <w:rPr>
          <w:rFonts w:hint="eastAsia" w:ascii="宋体" w:hAnsi="宋体"/>
          <w:sz w:val="24"/>
        </w:rPr>
      </w:pPr>
      <w:r>
        <w:rPr>
          <w:rFonts w:hint="eastAsia" w:ascii="宋体" w:hAnsi="宋体" w:cs="宋体"/>
          <w:kern w:val="0"/>
          <w:sz w:val="24"/>
          <w:highlight w:val="none"/>
        </w:rPr>
        <w:t>22.3谈判小组所有成员集中与单一</w:t>
      </w:r>
      <w:r>
        <w:rPr>
          <w:rFonts w:hint="eastAsia" w:ascii="宋体" w:hAnsi="宋体" w:cs="宋体"/>
          <w:kern w:val="0"/>
          <w:sz w:val="24"/>
        </w:rPr>
        <w:t>供应商分别进行谈判。</w:t>
      </w:r>
      <w:r>
        <w:rPr>
          <w:rFonts w:hint="eastAsia" w:ascii="宋体" w:hAnsi="宋体"/>
          <w:sz w:val="24"/>
        </w:rPr>
        <w:t>在谈判中，谈判的任何一方不得透露与谈判有关的其他供应商的技术资料、价格信息或者其他与谈判有关的信息。</w:t>
      </w:r>
    </w:p>
    <w:p w14:paraId="5093718A">
      <w:pPr>
        <w:tabs>
          <w:tab w:val="left" w:pos="0"/>
        </w:tabs>
        <w:spacing w:line="360" w:lineRule="auto"/>
        <w:ind w:firstLine="482" w:firstLineChars="200"/>
        <w:jc w:val="left"/>
        <w:rPr>
          <w:rFonts w:hint="eastAsia" w:ascii="宋体" w:hAnsi="宋体"/>
          <w:sz w:val="24"/>
        </w:rPr>
      </w:pPr>
      <w:r>
        <w:rPr>
          <w:rFonts w:hint="eastAsia" w:ascii="宋体" w:hAnsi="宋体" w:cs="宋体"/>
          <w:b/>
          <w:kern w:val="0"/>
          <w:sz w:val="24"/>
        </w:rPr>
        <w:t>22.4在谈判过程中，谈判小组可以根据谈判文件和谈判情况实质性变动采购需求中的技术、服务要求以及合同草案条款。</w:t>
      </w:r>
    </w:p>
    <w:p w14:paraId="2844D5B6">
      <w:pPr>
        <w:tabs>
          <w:tab w:val="left" w:pos="0"/>
        </w:tabs>
        <w:spacing w:line="360" w:lineRule="auto"/>
        <w:ind w:firstLine="480" w:firstLineChars="200"/>
        <w:jc w:val="left"/>
        <w:rPr>
          <w:rFonts w:hint="eastAsia" w:ascii="宋体" w:hAnsi="宋体"/>
          <w:sz w:val="24"/>
        </w:rPr>
      </w:pPr>
      <w:r>
        <w:rPr>
          <w:rFonts w:hint="eastAsia" w:ascii="宋体" w:hAnsi="宋体" w:cs="宋体"/>
          <w:kern w:val="0"/>
          <w:sz w:val="24"/>
        </w:rPr>
        <w:t>对谈判文件作出的实质性变动是谈判文件的有效组成部分，谈判小组应当将以书面形式同时通知所有参加谈判的供应商。</w:t>
      </w:r>
    </w:p>
    <w:p w14:paraId="48262088">
      <w:pPr>
        <w:tabs>
          <w:tab w:val="left" w:pos="0"/>
        </w:tabs>
        <w:spacing w:line="360" w:lineRule="auto"/>
        <w:ind w:firstLine="480" w:firstLineChars="200"/>
        <w:jc w:val="left"/>
        <w:rPr>
          <w:rFonts w:hint="eastAsia" w:ascii="宋体" w:hAnsi="宋体"/>
          <w:sz w:val="24"/>
        </w:rPr>
      </w:pPr>
      <w:r>
        <w:rPr>
          <w:rFonts w:hint="eastAsia" w:ascii="宋体" w:hAnsi="宋体" w:cs="宋体"/>
          <w:kern w:val="0"/>
          <w:sz w:val="24"/>
        </w:rPr>
        <w:t>供应商应当按照谈判文件的变动情况和谈判小组的要求重新提交响应文件，并由其</w:t>
      </w:r>
      <w:r>
        <w:rPr>
          <w:rFonts w:hint="eastAsia" w:ascii="宋体" w:hAnsi="宋体"/>
          <w:sz w:val="24"/>
        </w:rPr>
        <w:t>法定代表人</w:t>
      </w:r>
      <w:r>
        <w:rPr>
          <w:rFonts w:hint="eastAsia" w:ascii="宋体" w:hAnsi="宋体" w:cs="宋体"/>
          <w:kern w:val="0"/>
          <w:sz w:val="24"/>
        </w:rPr>
        <w:t>或授权代表签字或者加盖公章。由授权代表签字的，应当附</w:t>
      </w:r>
      <w:r>
        <w:rPr>
          <w:rFonts w:hint="eastAsia" w:ascii="宋体" w:hAnsi="宋体"/>
          <w:sz w:val="24"/>
        </w:rPr>
        <w:t>法定代表人</w:t>
      </w:r>
      <w:r>
        <w:rPr>
          <w:rFonts w:hint="eastAsia" w:ascii="宋体" w:hAnsi="宋体" w:cs="宋体"/>
          <w:kern w:val="0"/>
          <w:sz w:val="24"/>
        </w:rPr>
        <w:t>授权书。</w:t>
      </w:r>
    </w:p>
    <w:p w14:paraId="14F3A75A">
      <w:pPr>
        <w:tabs>
          <w:tab w:val="left" w:pos="0"/>
        </w:tabs>
        <w:spacing w:line="360" w:lineRule="auto"/>
        <w:ind w:firstLine="480" w:firstLineChars="200"/>
        <w:jc w:val="left"/>
        <w:rPr>
          <w:rFonts w:hint="eastAsia" w:ascii="宋体" w:hAnsi="宋体"/>
          <w:sz w:val="28"/>
          <w:szCs w:val="28"/>
        </w:rPr>
      </w:pPr>
      <w:r>
        <w:rPr>
          <w:rFonts w:hint="eastAsia" w:ascii="宋体" w:hAnsi="宋体"/>
          <w:sz w:val="24"/>
        </w:rPr>
        <w:t>22.5最后报价。</w:t>
      </w:r>
    </w:p>
    <w:p w14:paraId="2A0240EF">
      <w:pPr>
        <w:spacing w:line="360" w:lineRule="auto"/>
        <w:ind w:firstLine="480" w:firstLineChars="200"/>
        <w:rPr>
          <w:rFonts w:hint="eastAsia" w:ascii="宋体" w:hAnsi="宋体"/>
          <w:sz w:val="24"/>
        </w:rPr>
      </w:pPr>
      <w:r>
        <w:rPr>
          <w:rFonts w:hint="eastAsia" w:ascii="宋体" w:hAnsi="宋体"/>
          <w:sz w:val="24"/>
        </w:rPr>
        <w:t>谈判文件能够详细列明采购标的的技术、服务要求的，谈判结束后，谈判小组要求所有继续参加谈判的供应商在规定时间内提交最后报价，提交最后报价的供应商不得少于3家。</w:t>
      </w:r>
    </w:p>
    <w:p w14:paraId="574D7B84">
      <w:pPr>
        <w:spacing w:line="360" w:lineRule="auto"/>
        <w:ind w:firstLine="480"/>
        <w:rPr>
          <w:rFonts w:hint="eastAsia" w:ascii="宋体" w:hAnsi="宋体"/>
          <w:sz w:val="24"/>
        </w:rPr>
      </w:pPr>
      <w:r>
        <w:rPr>
          <w:rFonts w:hint="eastAsia" w:ascii="宋体" w:hAnsi="宋体"/>
          <w:sz w:val="24"/>
        </w:rPr>
        <w:t>谈判文件不能详细列明采购标的的技术、服务要求，需经谈判由供应商提供最终设计方案或解决方案的，谈判结束后，谈判小组按照少数服从多数的原则投票推荐3家以上供应商的设计方案或者解决方案，并要求其在规定时间内提交最后报价。</w:t>
      </w:r>
    </w:p>
    <w:p w14:paraId="2354106E">
      <w:pPr>
        <w:spacing w:line="360" w:lineRule="auto"/>
        <w:ind w:firstLine="480"/>
        <w:rPr>
          <w:rFonts w:hint="eastAsia" w:ascii="宋体" w:hAnsi="宋体"/>
          <w:sz w:val="24"/>
        </w:rPr>
      </w:pPr>
      <w:r>
        <w:rPr>
          <w:rFonts w:hint="eastAsia" w:ascii="宋体" w:hAnsi="宋体"/>
          <w:sz w:val="24"/>
        </w:rPr>
        <w:t>最后报价是供应商响应文件的有效组成部分。</w:t>
      </w:r>
    </w:p>
    <w:p w14:paraId="5A16BE0E">
      <w:pPr>
        <w:spacing w:line="360" w:lineRule="auto"/>
        <w:ind w:firstLine="480" w:firstLineChars="200"/>
        <w:rPr>
          <w:rFonts w:hint="eastAsia" w:ascii="宋体" w:hAnsi="宋体"/>
          <w:sz w:val="24"/>
        </w:rPr>
      </w:pPr>
      <w:r>
        <w:rPr>
          <w:rFonts w:hint="eastAsia" w:ascii="宋体" w:hAnsi="宋体"/>
          <w:sz w:val="24"/>
        </w:rPr>
        <w:t>已提交响应文件的供应商，在提交最后报价之前，可以根据谈判情况退出谈判。</w:t>
      </w:r>
    </w:p>
    <w:p w14:paraId="55A564EA">
      <w:pPr>
        <w:tabs>
          <w:tab w:val="left" w:pos="0"/>
        </w:tabs>
        <w:spacing w:line="360" w:lineRule="auto"/>
        <w:ind w:firstLine="480" w:firstLineChars="200"/>
        <w:jc w:val="left"/>
        <w:rPr>
          <w:rFonts w:hint="eastAsia" w:ascii="宋体" w:hAnsi="宋体"/>
          <w:sz w:val="24"/>
        </w:rPr>
      </w:pPr>
      <w:r>
        <w:rPr>
          <w:rFonts w:hint="eastAsia" w:ascii="宋体" w:hAnsi="宋体"/>
          <w:sz w:val="24"/>
        </w:rPr>
        <w:t>22.6谈判结束后，评审谈判小组对供应商的响应文件和谈判、报价情况进行综合评价、比较，根据谈判采购文件的成交原则，向采购单位推荐成交候选供应商。</w:t>
      </w:r>
    </w:p>
    <w:p w14:paraId="17B25B52">
      <w:pPr>
        <w:spacing w:line="360" w:lineRule="auto"/>
        <w:ind w:firstLine="480" w:firstLineChars="200"/>
        <w:jc w:val="left"/>
        <w:rPr>
          <w:rFonts w:hint="eastAsia" w:ascii="宋体" w:hAnsi="宋体"/>
          <w:b/>
          <w:sz w:val="24"/>
        </w:rPr>
      </w:pPr>
      <w:r>
        <w:rPr>
          <w:rFonts w:hint="eastAsia" w:ascii="宋体" w:hAnsi="宋体"/>
          <w:sz w:val="24"/>
        </w:rPr>
        <w:t>23、</w:t>
      </w:r>
      <w:r>
        <w:rPr>
          <w:rFonts w:hint="eastAsia" w:ascii="宋体" w:hAnsi="宋体"/>
          <w:b/>
          <w:sz w:val="24"/>
        </w:rPr>
        <w:t>评审方法和成交原则：</w:t>
      </w:r>
    </w:p>
    <w:p w14:paraId="6B05C58D">
      <w:pPr>
        <w:spacing w:line="360" w:lineRule="auto"/>
        <w:ind w:firstLine="472" w:firstLineChars="196"/>
        <w:rPr>
          <w:rFonts w:hint="eastAsia" w:ascii="宋体" w:hAnsi="宋体"/>
          <w:b/>
          <w:sz w:val="24"/>
        </w:rPr>
      </w:pPr>
      <w:r>
        <w:rPr>
          <w:rFonts w:hint="eastAsia" w:ascii="宋体" w:hAnsi="宋体"/>
          <w:b/>
          <w:sz w:val="24"/>
        </w:rPr>
        <w:t>23.1评审方法</w:t>
      </w:r>
    </w:p>
    <w:p w14:paraId="43AF9239">
      <w:pPr>
        <w:spacing w:line="360" w:lineRule="auto"/>
        <w:ind w:firstLine="472" w:firstLineChars="196"/>
        <w:rPr>
          <w:rFonts w:hint="eastAsia"/>
          <w:b/>
          <w:sz w:val="24"/>
        </w:rPr>
      </w:pPr>
      <w:r>
        <w:rPr>
          <w:rFonts w:hint="eastAsia" w:ascii="宋体" w:hAnsi="宋体"/>
          <w:b/>
          <w:color w:val="000000"/>
          <w:sz w:val="24"/>
          <w:shd w:val="clear" w:color="auto" w:fill="auto"/>
        </w:rPr>
        <w:t>23.1谈判小组将从质量和服务均能满足采购文件实质性响应要求的供应商中，按照最后报价由低到高的顺序提出3名以上成交候选人。</w:t>
      </w:r>
      <w:r>
        <w:rPr>
          <w:rFonts w:hint="eastAsia"/>
          <w:b/>
          <w:sz w:val="24"/>
          <w:shd w:val="clear" w:color="auto" w:fill="auto"/>
        </w:rPr>
        <w:t>如果出现了两家（或以上）谈判供应商最后报价一致的情况，则按23.2采取抽签办法确定成交候选人顺序。</w:t>
      </w:r>
    </w:p>
    <w:p w14:paraId="562E1B84">
      <w:pPr>
        <w:spacing w:line="360" w:lineRule="auto"/>
        <w:ind w:firstLine="480" w:firstLineChars="200"/>
        <w:rPr>
          <w:rFonts w:hint="eastAsia" w:ascii="宋体" w:hAnsi="宋体"/>
          <w:color w:val="000000"/>
          <w:sz w:val="24"/>
        </w:rPr>
      </w:pPr>
      <w:r>
        <w:rPr>
          <w:rFonts w:hint="eastAsia" w:ascii="宋体" w:hAnsi="宋体"/>
          <w:color w:val="000000"/>
          <w:sz w:val="24"/>
        </w:rPr>
        <w:t>23.2抽签办法：</w:t>
      </w:r>
    </w:p>
    <w:p w14:paraId="38959A1D">
      <w:pPr>
        <w:spacing w:line="360" w:lineRule="auto"/>
        <w:ind w:firstLine="360" w:firstLineChars="150"/>
        <w:rPr>
          <w:rFonts w:hint="eastAsia" w:ascii="宋体" w:hAnsi="宋体" w:eastAsia="宋体" w:cs="宋体"/>
          <w:sz w:val="24"/>
        </w:rPr>
      </w:pPr>
      <w:r>
        <w:rPr>
          <w:rFonts w:hint="eastAsia" w:ascii="宋体" w:hAnsi="宋体" w:eastAsia="宋体" w:cs="宋体"/>
          <w:sz w:val="24"/>
        </w:rPr>
        <w:t>1、第一步：由谈判供应商代表按递交文件的先后顺序抽取“抽签顺序”；</w:t>
      </w:r>
    </w:p>
    <w:p w14:paraId="2AA505DE">
      <w:pPr>
        <w:spacing w:line="360" w:lineRule="auto"/>
        <w:ind w:firstLine="360" w:firstLineChars="150"/>
        <w:rPr>
          <w:rFonts w:hint="eastAsia" w:ascii="宋体" w:hAnsi="宋体" w:eastAsia="宋体" w:cs="宋体"/>
          <w:sz w:val="24"/>
        </w:rPr>
      </w:pPr>
      <w:r>
        <w:rPr>
          <w:rFonts w:hint="eastAsia" w:ascii="宋体" w:hAnsi="宋体" w:eastAsia="宋体" w:cs="宋体"/>
          <w:sz w:val="24"/>
        </w:rPr>
        <w:t>2、第二步：由谈判供应商代表按第一步抽到的数字由小到大先后抽取成交候选供应商顺序。</w:t>
      </w:r>
    </w:p>
    <w:p w14:paraId="5A00CEDC">
      <w:pPr>
        <w:spacing w:line="360" w:lineRule="auto"/>
        <w:ind w:firstLine="360" w:firstLineChars="150"/>
        <w:rPr>
          <w:rFonts w:hint="eastAsia"/>
          <w:sz w:val="24"/>
        </w:rPr>
      </w:pPr>
      <w:r>
        <w:rPr>
          <w:rFonts w:hint="eastAsia" w:ascii="宋体" w:hAnsi="宋体" w:eastAsia="宋体" w:cs="宋体"/>
          <w:sz w:val="24"/>
        </w:rPr>
        <w:t>3、</w:t>
      </w:r>
      <w:r>
        <w:rPr>
          <w:rFonts w:hint="eastAsia"/>
          <w:sz w:val="24"/>
        </w:rPr>
        <w:t>参与抽签的谈判供应商候选顺序按“2、第二步”抽签后的数字由小到大先后排列。</w:t>
      </w:r>
    </w:p>
    <w:p w14:paraId="4BABA1A4">
      <w:pPr>
        <w:spacing w:line="360" w:lineRule="auto"/>
        <w:ind w:firstLine="480" w:firstLineChars="200"/>
        <w:jc w:val="left"/>
        <w:rPr>
          <w:rFonts w:hint="eastAsia" w:ascii="宋体" w:hAnsi="宋体"/>
          <w:b/>
          <w:sz w:val="24"/>
          <w:shd w:val="clear" w:color="auto" w:fill="FFFF00"/>
          <w:lang w:eastAsia="zh-CN"/>
        </w:rPr>
      </w:pPr>
      <w:r>
        <w:rPr>
          <w:rFonts w:hint="eastAsia" w:ascii="宋体" w:hAnsi="宋体" w:eastAsia="宋体" w:cs="宋体"/>
          <w:sz w:val="24"/>
          <w:shd w:val="clear" w:color="auto" w:fill="FFFF00"/>
        </w:rPr>
        <w:t>23.3</w:t>
      </w:r>
      <w:r>
        <w:rPr>
          <w:rFonts w:hint="eastAsia" w:ascii="宋体" w:hAnsi="宋体"/>
          <w:b/>
          <w:sz w:val="24"/>
          <w:shd w:val="clear" w:color="auto" w:fill="FFFF00"/>
        </w:rPr>
        <w:t>采购人将按照评审报告中推荐的成交候选供应商顺序</w:t>
      </w:r>
      <w:r>
        <w:rPr>
          <w:rFonts w:hint="eastAsia" w:ascii="宋体" w:hAnsi="宋体"/>
          <w:b/>
          <w:sz w:val="24"/>
          <w:shd w:val="clear" w:color="auto" w:fill="FFFF00"/>
          <w:lang w:eastAsia="zh-CN"/>
        </w:rPr>
        <w:t>，</w:t>
      </w:r>
      <w:r>
        <w:rPr>
          <w:rFonts w:hint="eastAsia" w:ascii="宋体" w:hAnsi="宋体"/>
          <w:b/>
          <w:sz w:val="24"/>
          <w:shd w:val="clear" w:color="auto" w:fill="FFFF00"/>
        </w:rPr>
        <w:t>确定</w:t>
      </w:r>
      <w:r>
        <w:rPr>
          <w:rFonts w:hint="eastAsia" w:ascii="宋体" w:hAnsi="宋体"/>
          <w:b/>
          <w:sz w:val="24"/>
          <w:shd w:val="clear" w:color="auto" w:fill="FFFF00"/>
          <w:lang w:val="en-US" w:eastAsia="zh-CN"/>
        </w:rPr>
        <w:t>1</w:t>
      </w:r>
      <w:r>
        <w:rPr>
          <w:rFonts w:hint="eastAsia" w:ascii="宋体" w:hAnsi="宋体"/>
          <w:b/>
          <w:sz w:val="24"/>
          <w:shd w:val="clear" w:color="auto" w:fill="FFFF00"/>
        </w:rPr>
        <w:t>名成交供应商</w:t>
      </w:r>
      <w:r>
        <w:rPr>
          <w:rFonts w:hint="eastAsia" w:ascii="宋体" w:hAnsi="宋体"/>
          <w:b/>
          <w:sz w:val="24"/>
          <w:shd w:val="clear" w:color="auto" w:fill="FFFF00"/>
          <w:lang w:eastAsia="zh-CN"/>
        </w:rPr>
        <w:t>；</w:t>
      </w:r>
    </w:p>
    <w:p w14:paraId="3443F787">
      <w:pPr>
        <w:spacing w:line="360" w:lineRule="auto"/>
        <w:ind w:firstLine="480" w:firstLineChars="200"/>
        <w:jc w:val="left"/>
        <w:rPr>
          <w:rFonts w:ascii="宋体" w:hAnsi="宋体"/>
          <w:sz w:val="24"/>
        </w:rPr>
      </w:pPr>
      <w:r>
        <w:rPr>
          <w:rFonts w:ascii="宋体" w:hAnsi="宋体"/>
          <w:sz w:val="24"/>
        </w:rPr>
        <w:t>24、</w:t>
      </w:r>
      <w:r>
        <w:rPr>
          <w:rFonts w:hint="eastAsia" w:ascii="宋体" w:hAnsi="宋体"/>
          <w:sz w:val="24"/>
        </w:rPr>
        <w:t>成交</w:t>
      </w:r>
      <w:r>
        <w:rPr>
          <w:rFonts w:ascii="宋体" w:hAnsi="宋体"/>
          <w:sz w:val="24"/>
        </w:rPr>
        <w:t>基本条件</w:t>
      </w:r>
    </w:p>
    <w:p w14:paraId="7B42A96E">
      <w:pPr>
        <w:spacing w:line="360" w:lineRule="auto"/>
        <w:ind w:firstLine="480" w:firstLineChars="200"/>
        <w:jc w:val="left"/>
        <w:rPr>
          <w:rFonts w:ascii="宋体" w:hAnsi="宋体"/>
          <w:sz w:val="24"/>
        </w:rPr>
      </w:pPr>
      <w:r>
        <w:rPr>
          <w:rFonts w:ascii="宋体" w:hAnsi="宋体"/>
          <w:sz w:val="24"/>
        </w:rPr>
        <w:t>24.1</w:t>
      </w:r>
      <w:r>
        <w:rPr>
          <w:rFonts w:hint="eastAsia" w:ascii="宋体" w:hAnsi="宋体"/>
          <w:sz w:val="24"/>
        </w:rPr>
        <w:t>谈判响应</w:t>
      </w:r>
      <w:r>
        <w:rPr>
          <w:rFonts w:ascii="宋体" w:hAnsi="宋体"/>
          <w:sz w:val="24"/>
        </w:rPr>
        <w:t>文件完全响应</w:t>
      </w:r>
      <w:r>
        <w:rPr>
          <w:rFonts w:hint="eastAsia" w:ascii="宋体" w:hAnsi="宋体"/>
          <w:sz w:val="24"/>
        </w:rPr>
        <w:t>竞争性谈判采购文件所有的实质性要求。</w:t>
      </w:r>
    </w:p>
    <w:p w14:paraId="1A420DF9">
      <w:pPr>
        <w:spacing w:line="360" w:lineRule="auto"/>
        <w:ind w:firstLine="480" w:firstLineChars="200"/>
        <w:jc w:val="left"/>
        <w:rPr>
          <w:rFonts w:hint="eastAsia" w:ascii="宋体" w:hAnsi="宋体"/>
          <w:sz w:val="24"/>
        </w:rPr>
      </w:pPr>
      <w:r>
        <w:rPr>
          <w:rFonts w:ascii="宋体" w:hAnsi="宋体"/>
          <w:sz w:val="24"/>
        </w:rPr>
        <w:t>24.2</w:t>
      </w:r>
      <w:r>
        <w:rPr>
          <w:rFonts w:hint="eastAsia" w:ascii="宋体" w:hAnsi="宋体"/>
          <w:sz w:val="24"/>
        </w:rPr>
        <w:t>成交</w:t>
      </w:r>
      <w:r>
        <w:rPr>
          <w:rFonts w:ascii="宋体" w:hAnsi="宋体"/>
          <w:sz w:val="24"/>
        </w:rPr>
        <w:t>价对采购人有利</w:t>
      </w:r>
      <w:r>
        <w:rPr>
          <w:rFonts w:hint="eastAsia" w:ascii="宋体" w:hAnsi="宋体"/>
          <w:sz w:val="24"/>
        </w:rPr>
        <w:t>。</w:t>
      </w:r>
    </w:p>
    <w:p w14:paraId="17424D8A">
      <w:pPr>
        <w:spacing w:line="360" w:lineRule="auto"/>
        <w:ind w:firstLine="480" w:firstLineChars="200"/>
        <w:jc w:val="left"/>
        <w:rPr>
          <w:rFonts w:ascii="宋体" w:hAnsi="宋体"/>
          <w:sz w:val="24"/>
        </w:rPr>
      </w:pPr>
      <w:r>
        <w:rPr>
          <w:rFonts w:ascii="宋体" w:hAnsi="宋体"/>
          <w:sz w:val="24"/>
        </w:rPr>
        <w:t>24.3有良好的执行合同能力和售后服务承诺。</w:t>
      </w:r>
    </w:p>
    <w:p w14:paraId="3AEA31C7">
      <w:pPr>
        <w:spacing w:line="360" w:lineRule="auto"/>
        <w:ind w:firstLine="480" w:firstLineChars="200"/>
        <w:jc w:val="left"/>
        <w:rPr>
          <w:rFonts w:hint="eastAsia" w:ascii="宋体" w:hAnsi="宋体"/>
          <w:sz w:val="24"/>
        </w:rPr>
      </w:pPr>
      <w:r>
        <w:rPr>
          <w:rFonts w:ascii="宋体" w:hAnsi="宋体"/>
          <w:sz w:val="24"/>
        </w:rPr>
        <w:t>25、重大偏离</w:t>
      </w:r>
    </w:p>
    <w:p w14:paraId="28EDC4D9">
      <w:pPr>
        <w:spacing w:line="360" w:lineRule="auto"/>
        <w:ind w:firstLine="480" w:firstLineChars="200"/>
        <w:jc w:val="left"/>
        <w:rPr>
          <w:rFonts w:hint="eastAsia" w:ascii="宋体" w:hAnsi="宋体"/>
          <w:sz w:val="24"/>
        </w:rPr>
      </w:pPr>
      <w:r>
        <w:rPr>
          <w:rFonts w:hint="eastAsia" w:ascii="宋体" w:hAnsi="宋体"/>
          <w:sz w:val="24"/>
        </w:rPr>
        <w:t>25.1</w:t>
      </w:r>
      <w:r>
        <w:rPr>
          <w:rFonts w:ascii="宋体" w:hAnsi="宋体"/>
          <w:sz w:val="24"/>
        </w:rPr>
        <w:t>重大偏离系指</w:t>
      </w:r>
      <w:r>
        <w:rPr>
          <w:rFonts w:hint="eastAsia" w:ascii="宋体" w:hAnsi="宋体"/>
          <w:sz w:val="24"/>
        </w:rPr>
        <w:t>谈判供应商谈判后服务</w:t>
      </w:r>
      <w:r>
        <w:rPr>
          <w:rFonts w:ascii="宋体" w:hAnsi="宋体"/>
          <w:sz w:val="24"/>
        </w:rPr>
        <w:t>的质量、数量和交货期限等明显不能满足</w:t>
      </w:r>
      <w:r>
        <w:rPr>
          <w:rFonts w:hint="eastAsia" w:ascii="宋体" w:hAnsi="宋体"/>
          <w:sz w:val="24"/>
        </w:rPr>
        <w:t>谈判</w:t>
      </w:r>
      <w:r>
        <w:rPr>
          <w:rFonts w:ascii="宋体" w:hAnsi="宋体"/>
          <w:sz w:val="24"/>
        </w:rPr>
        <w:t>的要求，或者实质上与</w:t>
      </w:r>
      <w:r>
        <w:rPr>
          <w:rFonts w:hint="eastAsia" w:ascii="宋体" w:hAnsi="宋体"/>
          <w:sz w:val="24"/>
        </w:rPr>
        <w:t>竞争性谈判采购文件</w:t>
      </w:r>
      <w:r>
        <w:rPr>
          <w:rFonts w:ascii="宋体" w:hAnsi="宋体"/>
          <w:sz w:val="24"/>
        </w:rPr>
        <w:t>不一致，而且限制了</w:t>
      </w:r>
      <w:r>
        <w:rPr>
          <w:rFonts w:hint="eastAsia" w:ascii="宋体" w:hAnsi="宋体"/>
          <w:sz w:val="24"/>
        </w:rPr>
        <w:t>采购</w:t>
      </w:r>
      <w:r>
        <w:rPr>
          <w:rFonts w:ascii="宋体" w:hAnsi="宋体"/>
          <w:sz w:val="24"/>
        </w:rPr>
        <w:t>人的权利或</w:t>
      </w:r>
      <w:r>
        <w:rPr>
          <w:rFonts w:hint="eastAsia" w:ascii="宋体" w:hAnsi="宋体"/>
          <w:sz w:val="24"/>
        </w:rPr>
        <w:t>谈判供应商</w:t>
      </w:r>
      <w:r>
        <w:rPr>
          <w:rFonts w:ascii="宋体" w:hAnsi="宋体"/>
          <w:sz w:val="24"/>
        </w:rPr>
        <w:t>的义务，包括但不限于：</w:t>
      </w:r>
      <w:r>
        <w:rPr>
          <w:rFonts w:hint="eastAsia" w:ascii="宋体" w:hAnsi="宋体"/>
          <w:sz w:val="24"/>
        </w:rPr>
        <w:t xml:space="preserve"> </w:t>
      </w:r>
    </w:p>
    <w:p w14:paraId="14A974CF">
      <w:pPr>
        <w:spacing w:line="360" w:lineRule="auto"/>
        <w:ind w:left="239" w:leftChars="114" w:firstLine="480" w:firstLineChars="200"/>
        <w:jc w:val="left"/>
        <w:rPr>
          <w:rFonts w:ascii="宋体" w:hAnsi="宋体"/>
          <w:sz w:val="24"/>
        </w:rPr>
      </w:pPr>
      <w:r>
        <w:rPr>
          <w:rFonts w:hint="eastAsia" w:ascii="宋体" w:hAnsi="宋体"/>
          <w:sz w:val="24"/>
        </w:rPr>
        <w:t>①谈判供应商未提交谈判保证金或金额不足的；</w:t>
      </w:r>
      <w:r>
        <w:rPr>
          <w:rFonts w:ascii="宋体" w:hAnsi="宋体"/>
          <w:sz w:val="24"/>
        </w:rPr>
        <w:t xml:space="preserve"> </w:t>
      </w:r>
    </w:p>
    <w:p w14:paraId="47564CAE">
      <w:pPr>
        <w:spacing w:line="360" w:lineRule="auto"/>
        <w:ind w:left="239" w:leftChars="114" w:firstLine="480" w:firstLineChars="200"/>
        <w:jc w:val="left"/>
        <w:rPr>
          <w:rFonts w:ascii="宋体" w:hAnsi="宋体"/>
          <w:sz w:val="24"/>
        </w:rPr>
      </w:pPr>
      <w:r>
        <w:rPr>
          <w:rFonts w:hint="eastAsia" w:ascii="宋体" w:hAnsi="宋体"/>
          <w:sz w:val="24"/>
        </w:rPr>
        <w:t>②超出经营范围谈判的；</w:t>
      </w:r>
      <w:r>
        <w:rPr>
          <w:rFonts w:ascii="宋体" w:hAnsi="宋体"/>
          <w:sz w:val="24"/>
        </w:rPr>
        <w:t xml:space="preserve"> </w:t>
      </w:r>
    </w:p>
    <w:p w14:paraId="4CED3C20">
      <w:pPr>
        <w:pStyle w:val="20"/>
        <w:spacing w:line="360" w:lineRule="auto"/>
        <w:ind w:firstLine="720" w:firstLineChars="300"/>
      </w:pPr>
      <w:r>
        <w:rPr>
          <w:rFonts w:hint="eastAsia"/>
        </w:rPr>
        <w:t>③资格证明文件不全或无效的；</w:t>
      </w:r>
    </w:p>
    <w:p w14:paraId="132B1135">
      <w:pPr>
        <w:spacing w:line="360" w:lineRule="auto"/>
        <w:ind w:left="239" w:leftChars="114" w:firstLine="480" w:firstLineChars="200"/>
        <w:jc w:val="left"/>
        <w:rPr>
          <w:rFonts w:ascii="宋体" w:hAnsi="宋体"/>
          <w:sz w:val="24"/>
        </w:rPr>
      </w:pPr>
      <w:r>
        <w:rPr>
          <w:rFonts w:hint="eastAsia" w:ascii="宋体" w:hAnsi="宋体"/>
          <w:sz w:val="24"/>
        </w:rPr>
        <w:t>④递交的响应文件未按竞争性谈判文件的规定盖章、签署或内容与本竞争性谈判文件格式内容存在实质性差别的；</w:t>
      </w:r>
      <w:r>
        <w:rPr>
          <w:rFonts w:ascii="宋体" w:hAnsi="宋体"/>
          <w:sz w:val="24"/>
        </w:rPr>
        <w:t xml:space="preserve"> </w:t>
      </w:r>
    </w:p>
    <w:p w14:paraId="022753C1">
      <w:pPr>
        <w:spacing w:line="360" w:lineRule="auto"/>
        <w:ind w:left="239" w:leftChars="114" w:firstLine="480" w:firstLineChars="200"/>
        <w:jc w:val="left"/>
        <w:rPr>
          <w:rFonts w:ascii="宋体" w:hAnsi="宋体"/>
          <w:sz w:val="24"/>
        </w:rPr>
      </w:pPr>
      <w:r>
        <w:rPr>
          <w:rFonts w:hint="eastAsia" w:ascii="宋体" w:hAnsi="宋体"/>
          <w:sz w:val="24"/>
        </w:rPr>
        <w:t>⑤谈判有效期不足的；</w:t>
      </w:r>
    </w:p>
    <w:p w14:paraId="69BD7CE8">
      <w:pPr>
        <w:pStyle w:val="20"/>
        <w:spacing w:line="360" w:lineRule="auto"/>
        <w:ind w:firstLine="720" w:firstLineChars="300"/>
        <w:rPr>
          <w:rFonts w:hint="eastAsia"/>
        </w:rPr>
      </w:pPr>
      <w:r>
        <w:rPr>
          <w:rFonts w:hint="eastAsia"/>
        </w:rPr>
        <w:t>⑥谈判响应服务性能、数量、交货时间、售后服务承诺不满足竞争性谈判采购文件中的相关要求和超出采购人可接受的偏差范围的；</w:t>
      </w:r>
    </w:p>
    <w:p w14:paraId="76B06B28">
      <w:pPr>
        <w:pStyle w:val="20"/>
        <w:spacing w:line="360" w:lineRule="auto"/>
        <w:ind w:firstLine="720" w:firstLineChars="300"/>
        <w:rPr>
          <w:rFonts w:hint="eastAsia"/>
        </w:rPr>
      </w:pPr>
      <w:r>
        <w:rPr>
          <w:rFonts w:hint="eastAsia"/>
        </w:rPr>
        <w:t>⑦付款方式不符合本次采购规定的；</w:t>
      </w:r>
    </w:p>
    <w:p w14:paraId="1A27C294">
      <w:pPr>
        <w:pStyle w:val="20"/>
        <w:spacing w:line="360" w:lineRule="auto"/>
        <w:ind w:firstLine="720" w:firstLineChars="300"/>
        <w:rPr>
          <w:rFonts w:hint="eastAsia"/>
        </w:rPr>
      </w:pPr>
      <w:r>
        <w:rPr>
          <w:rFonts w:hint="eastAsia"/>
        </w:rPr>
        <w:t>⑧未按照本文件第二章第14条规定报价的。</w:t>
      </w:r>
    </w:p>
    <w:p w14:paraId="3F6DC675">
      <w:pPr>
        <w:pStyle w:val="20"/>
        <w:spacing w:line="360" w:lineRule="auto"/>
        <w:ind w:firstLine="720" w:firstLineChars="300"/>
        <w:rPr>
          <w:rFonts w:hint="eastAsia"/>
        </w:rPr>
      </w:pPr>
      <w:r>
        <w:rPr>
          <w:rFonts w:hint="eastAsia"/>
        </w:rPr>
        <w:t>⑨谈判供应商递交的《最后报价单》供应商代表未签字的。</w:t>
      </w:r>
    </w:p>
    <w:p w14:paraId="0BA983A3">
      <w:pPr>
        <w:pStyle w:val="20"/>
        <w:spacing w:line="360" w:lineRule="auto"/>
        <w:ind w:firstLine="480" w:firstLineChars="200"/>
      </w:pPr>
      <w:r>
        <w:rPr>
          <w:rFonts w:hint="eastAsia"/>
        </w:rPr>
        <w:t>25.2存在重大偏离的供应商将不能成为成交供应商。</w:t>
      </w:r>
    </w:p>
    <w:p w14:paraId="16468C4B">
      <w:pPr>
        <w:spacing w:line="360" w:lineRule="auto"/>
        <w:ind w:firstLine="480" w:firstLineChars="200"/>
        <w:jc w:val="left"/>
        <w:rPr>
          <w:rFonts w:hint="eastAsia" w:ascii="宋体" w:hAnsi="宋体"/>
          <w:sz w:val="24"/>
        </w:rPr>
      </w:pPr>
      <w:r>
        <w:rPr>
          <w:rFonts w:ascii="宋体" w:hAnsi="宋体"/>
          <w:sz w:val="24"/>
        </w:rPr>
        <w:t>26、</w:t>
      </w:r>
      <w:r>
        <w:rPr>
          <w:rFonts w:hint="eastAsia" w:ascii="宋体" w:hAnsi="宋体"/>
          <w:sz w:val="24"/>
        </w:rPr>
        <w:t>谈判响应</w:t>
      </w:r>
      <w:r>
        <w:rPr>
          <w:rFonts w:ascii="宋体" w:hAnsi="宋体"/>
          <w:sz w:val="24"/>
        </w:rPr>
        <w:t>的澄清</w:t>
      </w:r>
      <w:r>
        <w:rPr>
          <w:rFonts w:hint="eastAsia" w:ascii="宋体" w:hAnsi="宋体"/>
          <w:sz w:val="24"/>
        </w:rPr>
        <w:t>、说明、答辩和修正</w:t>
      </w:r>
    </w:p>
    <w:p w14:paraId="42D9C89B">
      <w:pPr>
        <w:spacing w:line="360" w:lineRule="auto"/>
        <w:ind w:firstLine="480" w:firstLineChars="200"/>
        <w:jc w:val="left"/>
        <w:rPr>
          <w:rFonts w:hint="eastAsia" w:ascii="宋体" w:hAnsi="宋体"/>
          <w:sz w:val="24"/>
        </w:rPr>
      </w:pPr>
      <w:r>
        <w:rPr>
          <w:rFonts w:ascii="宋体" w:hAnsi="宋体"/>
          <w:sz w:val="24"/>
        </w:rPr>
        <w:t>26.1</w:t>
      </w:r>
      <w:r>
        <w:rPr>
          <w:rFonts w:hint="eastAsia" w:ascii="宋体" w:hAnsi="宋体"/>
          <w:sz w:val="24"/>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7F8AB6E9">
      <w:pPr>
        <w:spacing w:line="360" w:lineRule="auto"/>
        <w:ind w:firstLine="480" w:firstLineChars="200"/>
        <w:jc w:val="left"/>
        <w:rPr>
          <w:rFonts w:hint="eastAsia" w:ascii="宋体" w:hAnsi="宋体"/>
          <w:sz w:val="24"/>
        </w:rPr>
      </w:pPr>
      <w:r>
        <w:rPr>
          <w:rFonts w:hint="eastAsia" w:ascii="宋体" w:hAnsi="宋体"/>
          <w:sz w:val="24"/>
        </w:rPr>
        <w:t>谈判小组要求供应商澄清、说明或者更正响应文件应当以书面形式作出。供应商的澄清、说明或者更正应当由负责人其授权代表签字或者加盖公章。由授权代表签字的，应当附负责人授权书。供应商为自然人的，应当由本人签字并附身份证明。</w:t>
      </w:r>
    </w:p>
    <w:p w14:paraId="7C656097">
      <w:pPr>
        <w:spacing w:line="360" w:lineRule="auto"/>
        <w:ind w:firstLine="480" w:firstLineChars="200"/>
        <w:jc w:val="left"/>
        <w:rPr>
          <w:rFonts w:hint="eastAsia" w:ascii="宋体" w:hAnsi="宋体"/>
          <w:sz w:val="24"/>
        </w:rPr>
      </w:pPr>
      <w:r>
        <w:rPr>
          <w:rFonts w:ascii="宋体" w:hAnsi="宋体"/>
          <w:sz w:val="24"/>
        </w:rPr>
        <w:t>26.2</w:t>
      </w:r>
      <w:r>
        <w:rPr>
          <w:rFonts w:hint="eastAsia" w:ascii="宋体" w:hAnsi="宋体"/>
          <w:sz w:val="24"/>
        </w:rPr>
        <w:t>谈判供应商在进行澄清、说明、答辩或修正时，不得阐述与问题无关的内容，未经允许不得向谈判小组提供新的材料。</w:t>
      </w:r>
    </w:p>
    <w:p w14:paraId="3F8B23CD">
      <w:pPr>
        <w:spacing w:line="360" w:lineRule="auto"/>
        <w:ind w:firstLine="477" w:firstLineChars="199"/>
        <w:jc w:val="left"/>
        <w:rPr>
          <w:rFonts w:hint="eastAsia" w:ascii="宋体" w:hAnsi="宋体"/>
          <w:sz w:val="24"/>
        </w:rPr>
      </w:pPr>
      <w:r>
        <w:rPr>
          <w:rFonts w:hint="eastAsia" w:ascii="宋体" w:hAnsi="宋体"/>
          <w:sz w:val="24"/>
        </w:rPr>
        <w:t>26</w:t>
      </w:r>
      <w:r>
        <w:rPr>
          <w:rFonts w:ascii="宋体" w:hAnsi="宋体"/>
          <w:sz w:val="24"/>
        </w:rPr>
        <w:t>.</w:t>
      </w:r>
      <w:r>
        <w:rPr>
          <w:rFonts w:hint="eastAsia" w:ascii="宋体" w:hAnsi="宋体"/>
          <w:sz w:val="24"/>
        </w:rPr>
        <w:t>3</w:t>
      </w:r>
      <w:r>
        <w:rPr>
          <w:rFonts w:ascii="宋体" w:hAnsi="宋体"/>
          <w:sz w:val="24"/>
        </w:rPr>
        <w:t>如果</w:t>
      </w:r>
      <w:r>
        <w:rPr>
          <w:rFonts w:hint="eastAsia" w:ascii="宋体" w:hAnsi="宋体"/>
          <w:sz w:val="24"/>
        </w:rPr>
        <w:t>谈判小组一</w:t>
      </w:r>
      <w:r>
        <w:rPr>
          <w:rFonts w:ascii="宋体" w:hAnsi="宋体"/>
          <w:sz w:val="24"/>
        </w:rPr>
        <w:t>致认为某个</w:t>
      </w:r>
      <w:r>
        <w:rPr>
          <w:rFonts w:hint="eastAsia" w:ascii="宋体" w:hAnsi="宋体"/>
          <w:sz w:val="24"/>
        </w:rPr>
        <w:t>谈判供应商</w:t>
      </w:r>
      <w:r>
        <w:rPr>
          <w:rFonts w:ascii="宋体" w:hAnsi="宋体"/>
          <w:sz w:val="24"/>
        </w:rPr>
        <w:t>的</w:t>
      </w:r>
      <w:r>
        <w:rPr>
          <w:rFonts w:hint="eastAsia" w:ascii="宋体" w:hAnsi="宋体"/>
          <w:sz w:val="24"/>
        </w:rPr>
        <w:t>最后</w:t>
      </w:r>
      <w:r>
        <w:rPr>
          <w:rFonts w:ascii="宋体" w:hAnsi="宋体"/>
          <w:sz w:val="24"/>
        </w:rPr>
        <w:t>报价</w:t>
      </w:r>
      <w:r>
        <w:rPr>
          <w:rFonts w:hint="eastAsia" w:ascii="宋体" w:hAnsi="宋体"/>
          <w:sz w:val="24"/>
        </w:rPr>
        <w:t>低于成本价</w:t>
      </w:r>
      <w:r>
        <w:rPr>
          <w:rFonts w:ascii="宋体" w:hAnsi="宋体"/>
          <w:sz w:val="24"/>
        </w:rPr>
        <w:t>，有降低质量，不能诚信履行的可能时，</w:t>
      </w:r>
      <w:r>
        <w:rPr>
          <w:rFonts w:hint="eastAsia" w:ascii="宋体" w:hAnsi="宋体"/>
          <w:sz w:val="24"/>
        </w:rPr>
        <w:t>谈判小组</w:t>
      </w:r>
      <w:r>
        <w:rPr>
          <w:rFonts w:ascii="宋体" w:hAnsi="宋体"/>
          <w:sz w:val="24"/>
        </w:rPr>
        <w:t>有权通知</w:t>
      </w:r>
      <w:r>
        <w:rPr>
          <w:rFonts w:hint="eastAsia" w:ascii="宋体" w:hAnsi="宋体"/>
          <w:sz w:val="24"/>
        </w:rPr>
        <w:t>谈判供应商</w:t>
      </w:r>
      <w:r>
        <w:rPr>
          <w:rFonts w:ascii="宋体" w:hAnsi="宋体"/>
          <w:sz w:val="24"/>
        </w:rPr>
        <w:t>限期进行解释。若该</w:t>
      </w:r>
      <w:r>
        <w:rPr>
          <w:rFonts w:hint="eastAsia" w:ascii="宋体" w:hAnsi="宋体"/>
          <w:sz w:val="24"/>
        </w:rPr>
        <w:t>谈判供应商</w:t>
      </w:r>
      <w:r>
        <w:rPr>
          <w:rFonts w:ascii="宋体" w:hAnsi="宋体"/>
          <w:sz w:val="24"/>
        </w:rPr>
        <w:t>未在规定期限内做出解释，或作出的解释不合理，经</w:t>
      </w:r>
      <w:r>
        <w:rPr>
          <w:rFonts w:hint="eastAsia" w:ascii="宋体" w:hAnsi="宋体"/>
          <w:sz w:val="24"/>
        </w:rPr>
        <w:t>谈判小组</w:t>
      </w:r>
      <w:r>
        <w:rPr>
          <w:rFonts w:ascii="宋体" w:hAnsi="宋体"/>
          <w:sz w:val="24"/>
        </w:rPr>
        <w:t>取得一致意见后，可拒绝该</w:t>
      </w:r>
      <w:r>
        <w:rPr>
          <w:rFonts w:hint="eastAsia" w:ascii="宋体" w:hAnsi="宋体"/>
          <w:sz w:val="24"/>
        </w:rPr>
        <w:t>谈判响应。</w:t>
      </w:r>
    </w:p>
    <w:p w14:paraId="498C4F39">
      <w:pPr>
        <w:spacing w:line="360" w:lineRule="auto"/>
        <w:ind w:firstLine="477" w:firstLineChars="199"/>
        <w:jc w:val="left"/>
        <w:rPr>
          <w:rFonts w:hint="eastAsia" w:ascii="宋体" w:hAnsi="宋体"/>
          <w:sz w:val="24"/>
        </w:rPr>
      </w:pPr>
      <w:r>
        <w:rPr>
          <w:rFonts w:hint="eastAsia" w:ascii="宋体" w:hAnsi="宋体"/>
          <w:sz w:val="24"/>
        </w:rPr>
        <w:t>26.4报价金额大小写修正原则：报价金额如大小写不一致时，以大写金额为准。</w:t>
      </w:r>
    </w:p>
    <w:p w14:paraId="6824A02B">
      <w:pPr>
        <w:spacing w:line="360" w:lineRule="auto"/>
        <w:ind w:firstLine="480" w:firstLineChars="200"/>
        <w:jc w:val="left"/>
        <w:rPr>
          <w:rFonts w:hint="eastAsia" w:ascii="宋体" w:hAnsi="宋体"/>
          <w:sz w:val="24"/>
        </w:rPr>
      </w:pPr>
      <w:r>
        <w:rPr>
          <w:rFonts w:hint="eastAsia" w:ascii="宋体" w:hAnsi="宋体"/>
          <w:sz w:val="24"/>
        </w:rPr>
        <w:t>27、保密和披露</w:t>
      </w:r>
    </w:p>
    <w:p w14:paraId="49592DDB">
      <w:pPr>
        <w:spacing w:line="360" w:lineRule="auto"/>
        <w:ind w:firstLine="480" w:firstLineChars="200"/>
        <w:jc w:val="left"/>
        <w:rPr>
          <w:rFonts w:hint="eastAsia" w:ascii="宋体" w:hAnsi="宋体"/>
          <w:sz w:val="24"/>
        </w:rPr>
      </w:pPr>
      <w:r>
        <w:rPr>
          <w:rFonts w:hint="eastAsia" w:ascii="宋体" w:hAnsi="宋体"/>
          <w:sz w:val="24"/>
        </w:rPr>
        <w:t>27.1凡是属于审查、澄清、评价和比较的有关资料，均不向谈判供应商或其他与谈判无关的人员透露。</w:t>
      </w:r>
    </w:p>
    <w:p w14:paraId="1FA32687">
      <w:pPr>
        <w:spacing w:line="360" w:lineRule="auto"/>
        <w:ind w:firstLine="480" w:firstLineChars="200"/>
        <w:jc w:val="left"/>
        <w:rPr>
          <w:rFonts w:hint="eastAsia" w:ascii="宋体" w:hAnsi="宋体"/>
          <w:sz w:val="24"/>
        </w:rPr>
      </w:pPr>
      <w:r>
        <w:rPr>
          <w:rFonts w:hint="eastAsia" w:ascii="宋体" w:hAnsi="宋体"/>
          <w:sz w:val="24"/>
        </w:rPr>
        <w:t>27.2供应商</w:t>
      </w:r>
      <w:r>
        <w:rPr>
          <w:rFonts w:ascii="宋体" w:hAnsi="宋体"/>
          <w:sz w:val="24"/>
        </w:rPr>
        <w:t>提供的所有资料</w:t>
      </w:r>
      <w:r>
        <w:rPr>
          <w:rFonts w:hint="eastAsia" w:ascii="宋体" w:hAnsi="宋体"/>
          <w:sz w:val="24"/>
        </w:rPr>
        <w:t>和评审过程有关资料，均不得向其他人员和单位透露，除采购监督管理部门、采购单位和依法可查阅的单位外</w:t>
      </w:r>
      <w:r>
        <w:rPr>
          <w:rFonts w:ascii="宋体" w:hAnsi="宋体"/>
          <w:sz w:val="24"/>
        </w:rPr>
        <w:t>。</w:t>
      </w:r>
    </w:p>
    <w:p w14:paraId="30CB5EEA">
      <w:pPr>
        <w:spacing w:line="360" w:lineRule="auto"/>
        <w:ind w:firstLine="480" w:firstLineChars="200"/>
        <w:jc w:val="left"/>
        <w:rPr>
          <w:rFonts w:hint="eastAsia" w:ascii="宋体" w:hAnsi="宋体"/>
          <w:sz w:val="24"/>
        </w:rPr>
      </w:pPr>
      <w:r>
        <w:rPr>
          <w:rFonts w:hint="eastAsia" w:ascii="宋体" w:hAnsi="宋体"/>
          <w:sz w:val="24"/>
        </w:rPr>
        <w:t>27.3采购人和采购代理机构</w:t>
      </w:r>
      <w:r>
        <w:rPr>
          <w:rFonts w:ascii="宋体" w:hAnsi="宋体"/>
          <w:sz w:val="24"/>
        </w:rPr>
        <w:t>有权在</w:t>
      </w:r>
      <w:r>
        <w:rPr>
          <w:rFonts w:hint="eastAsia" w:ascii="宋体" w:hAnsi="宋体"/>
          <w:sz w:val="24"/>
        </w:rPr>
        <w:t>合同签订后</w:t>
      </w:r>
      <w:r>
        <w:rPr>
          <w:rFonts w:ascii="宋体" w:hAnsi="宋体"/>
          <w:sz w:val="24"/>
        </w:rPr>
        <w:t>，无须事先征求</w:t>
      </w:r>
      <w:r>
        <w:rPr>
          <w:rFonts w:hint="eastAsia" w:ascii="宋体" w:hAnsi="宋体"/>
          <w:sz w:val="24"/>
        </w:rPr>
        <w:t>成交供应商</w:t>
      </w:r>
      <w:r>
        <w:rPr>
          <w:rFonts w:ascii="宋体" w:hAnsi="宋体"/>
          <w:sz w:val="24"/>
        </w:rPr>
        <w:t>同意而披露关于已订立合同的资料，</w:t>
      </w:r>
      <w:r>
        <w:rPr>
          <w:rFonts w:hint="eastAsia" w:ascii="宋体" w:hAnsi="宋体"/>
          <w:sz w:val="24"/>
        </w:rPr>
        <w:t>成交供应商</w:t>
      </w:r>
      <w:r>
        <w:rPr>
          <w:rFonts w:ascii="宋体" w:hAnsi="宋体"/>
          <w:sz w:val="24"/>
        </w:rPr>
        <w:t>的名称及地址、</w:t>
      </w:r>
      <w:r>
        <w:rPr>
          <w:rFonts w:hint="eastAsia" w:ascii="宋体" w:hAnsi="宋体"/>
          <w:sz w:val="24"/>
        </w:rPr>
        <w:t>成交服务</w:t>
      </w:r>
      <w:r>
        <w:rPr>
          <w:rFonts w:ascii="宋体" w:hAnsi="宋体"/>
          <w:sz w:val="24"/>
        </w:rPr>
        <w:t>的有关信息以及合同条款等。</w:t>
      </w:r>
    </w:p>
    <w:p w14:paraId="6994EF0A">
      <w:pPr>
        <w:spacing w:line="360" w:lineRule="auto"/>
        <w:ind w:firstLine="480" w:firstLineChars="200"/>
        <w:rPr>
          <w:rFonts w:hint="eastAsia" w:ascii="宋体" w:hAnsi="宋体"/>
          <w:sz w:val="24"/>
        </w:rPr>
      </w:pPr>
      <w:r>
        <w:rPr>
          <w:rFonts w:hint="eastAsia" w:ascii="宋体" w:hAnsi="宋体"/>
          <w:sz w:val="24"/>
        </w:rPr>
        <w:t>28、谈判小组终止谈判</w:t>
      </w:r>
    </w:p>
    <w:p w14:paraId="3B12927E">
      <w:pPr>
        <w:spacing w:line="360" w:lineRule="auto"/>
        <w:ind w:firstLine="480" w:firstLineChars="200"/>
        <w:rPr>
          <w:rFonts w:hint="eastAsia" w:ascii="宋体" w:hAnsi="宋体"/>
          <w:sz w:val="24"/>
        </w:rPr>
      </w:pPr>
      <w:r>
        <w:rPr>
          <w:rFonts w:hint="eastAsia" w:ascii="宋体" w:hAnsi="宋体"/>
          <w:sz w:val="24"/>
        </w:rPr>
        <w:t>28.1出现下列情况之一时，谈判小组</w:t>
      </w:r>
      <w:r>
        <w:rPr>
          <w:rFonts w:hint="eastAsia" w:ascii="宋体" w:hAnsi="宋体" w:cs="Arial"/>
          <w:sz w:val="24"/>
        </w:rPr>
        <w:t>应当终止谈判</w:t>
      </w:r>
      <w:r>
        <w:rPr>
          <w:rFonts w:hint="eastAsia" w:ascii="宋体" w:hAnsi="宋体"/>
          <w:sz w:val="24"/>
        </w:rPr>
        <w:t>。如谈判小组终止谈判，应将理由通知所有谈判供应商：</w:t>
      </w:r>
    </w:p>
    <w:p w14:paraId="32E7A832">
      <w:pPr>
        <w:spacing w:line="360" w:lineRule="auto"/>
        <w:ind w:firstLine="240" w:firstLineChars="100"/>
        <w:rPr>
          <w:rFonts w:hint="eastAsia" w:ascii="宋体" w:hAnsi="宋体"/>
          <w:b/>
          <w:sz w:val="24"/>
        </w:rPr>
      </w:pPr>
      <w:r>
        <w:rPr>
          <w:rFonts w:hint="eastAsia" w:ascii="宋体" w:hAnsi="宋体"/>
          <w:sz w:val="24"/>
        </w:rPr>
        <w:t>（</w:t>
      </w:r>
      <w:r>
        <w:rPr>
          <w:rFonts w:hint="eastAsia" w:ascii="宋体" w:hAnsi="宋体"/>
          <w:b/>
          <w:sz w:val="24"/>
        </w:rPr>
        <w:t>1）因情况变化，不再符合规定的竞争性谈判采购方式适用情形的；</w:t>
      </w:r>
    </w:p>
    <w:p w14:paraId="1EF81E8A">
      <w:pPr>
        <w:spacing w:line="360" w:lineRule="auto"/>
        <w:ind w:firstLine="241" w:firstLineChars="100"/>
        <w:rPr>
          <w:rFonts w:hint="eastAsia" w:ascii="宋体" w:hAnsi="宋体"/>
          <w:b/>
          <w:sz w:val="24"/>
        </w:rPr>
      </w:pPr>
      <w:r>
        <w:rPr>
          <w:rFonts w:hint="eastAsia" w:ascii="宋体" w:hAnsi="宋体"/>
          <w:b/>
          <w:sz w:val="24"/>
        </w:rPr>
        <w:t>（2）出现影响采购公正的违法、违规行为的；</w:t>
      </w:r>
    </w:p>
    <w:p w14:paraId="68C587C0">
      <w:pPr>
        <w:spacing w:line="360" w:lineRule="auto"/>
        <w:ind w:firstLine="241" w:firstLineChars="100"/>
        <w:rPr>
          <w:rFonts w:hint="eastAsia" w:ascii="宋体" w:hAnsi="宋体"/>
          <w:b/>
          <w:sz w:val="24"/>
        </w:rPr>
      </w:pPr>
      <w:r>
        <w:rPr>
          <w:rFonts w:hint="eastAsia" w:ascii="宋体" w:hAnsi="宋体"/>
          <w:b/>
          <w:sz w:val="24"/>
        </w:rPr>
        <w:t>（3）在采购过程中符合竞争要求的供应商或者报价未超过采购预算的供应商不足3家的。</w:t>
      </w:r>
    </w:p>
    <w:p w14:paraId="13B5CCD4">
      <w:pPr>
        <w:spacing w:line="360" w:lineRule="auto"/>
        <w:ind w:firstLine="480" w:firstLineChars="200"/>
        <w:jc w:val="left"/>
        <w:rPr>
          <w:rFonts w:hint="eastAsia" w:ascii="宋体" w:hAnsi="宋体"/>
          <w:b/>
          <w:sz w:val="24"/>
        </w:rPr>
      </w:pPr>
      <w:r>
        <w:rPr>
          <w:rFonts w:hint="eastAsia" w:ascii="宋体" w:hAnsi="宋体"/>
          <w:sz w:val="24"/>
        </w:rPr>
        <w:t>28.2谈判终止后，除因重大变故，采购任务取消外，采购人或采购代理机构将择期或另择方式进行该项目货物和服务的采购。</w:t>
      </w:r>
    </w:p>
    <w:p w14:paraId="594F0522">
      <w:pPr>
        <w:spacing w:line="360" w:lineRule="auto"/>
        <w:ind w:firstLine="482" w:firstLineChars="200"/>
        <w:jc w:val="center"/>
        <w:outlineLvl w:val="1"/>
        <w:rPr>
          <w:rFonts w:hint="eastAsia" w:ascii="宋体" w:hAnsi="宋体"/>
          <w:b/>
          <w:sz w:val="24"/>
        </w:rPr>
      </w:pPr>
      <w:bookmarkStart w:id="10" w:name="_Toc12350"/>
      <w:r>
        <w:rPr>
          <w:rFonts w:hint="eastAsia" w:ascii="宋体" w:hAnsi="宋体"/>
          <w:b/>
          <w:sz w:val="24"/>
        </w:rPr>
        <w:t>六、确定成交供应商与签订合同</w:t>
      </w:r>
      <w:bookmarkEnd w:id="10"/>
    </w:p>
    <w:p w14:paraId="49ED2358">
      <w:pPr>
        <w:spacing w:line="360" w:lineRule="auto"/>
        <w:ind w:firstLine="480" w:firstLineChars="200"/>
        <w:rPr>
          <w:rFonts w:hint="eastAsia" w:ascii="宋体" w:hAnsi="宋体"/>
          <w:sz w:val="24"/>
        </w:rPr>
      </w:pPr>
      <w:r>
        <w:rPr>
          <w:rFonts w:hint="eastAsia" w:ascii="宋体" w:hAnsi="宋体"/>
          <w:sz w:val="24"/>
        </w:rPr>
        <w:t>29</w:t>
      </w:r>
      <w:r>
        <w:rPr>
          <w:rFonts w:ascii="宋体" w:hAnsi="宋体"/>
          <w:sz w:val="24"/>
        </w:rPr>
        <w:t>.</w:t>
      </w:r>
      <w:r>
        <w:rPr>
          <w:rFonts w:hint="eastAsia" w:ascii="宋体" w:hAnsi="宋体"/>
          <w:sz w:val="24"/>
        </w:rPr>
        <w:t>确定成交供应商准则</w:t>
      </w:r>
    </w:p>
    <w:p w14:paraId="725B342C">
      <w:pPr>
        <w:spacing w:line="360" w:lineRule="auto"/>
        <w:ind w:firstLine="480" w:firstLineChars="200"/>
        <w:rPr>
          <w:rFonts w:hint="eastAsia" w:ascii="宋体" w:hAnsi="宋体"/>
          <w:sz w:val="24"/>
        </w:rPr>
      </w:pPr>
      <w:r>
        <w:rPr>
          <w:rFonts w:hint="eastAsia" w:ascii="宋体" w:hAnsi="宋体"/>
          <w:sz w:val="24"/>
        </w:rPr>
        <w:t>29</w:t>
      </w:r>
      <w:r>
        <w:rPr>
          <w:rFonts w:ascii="宋体" w:hAnsi="宋体"/>
          <w:sz w:val="24"/>
        </w:rPr>
        <w:t>.1</w:t>
      </w:r>
      <w:r>
        <w:rPr>
          <w:rFonts w:hint="eastAsia" w:ascii="宋体" w:hAnsi="宋体"/>
          <w:sz w:val="24"/>
        </w:rPr>
        <w:t>最低投报价不作为成交供应商的保证。</w:t>
      </w:r>
    </w:p>
    <w:p w14:paraId="3C7056D0">
      <w:pPr>
        <w:spacing w:line="360" w:lineRule="auto"/>
        <w:ind w:firstLine="480" w:firstLineChars="200"/>
        <w:rPr>
          <w:rFonts w:hint="eastAsia" w:ascii="宋体" w:hAnsi="宋体"/>
          <w:sz w:val="24"/>
        </w:rPr>
      </w:pPr>
      <w:r>
        <w:rPr>
          <w:rFonts w:hint="eastAsia" w:ascii="宋体" w:hAnsi="宋体"/>
          <w:sz w:val="24"/>
        </w:rPr>
        <w:t>29</w:t>
      </w:r>
      <w:r>
        <w:rPr>
          <w:rFonts w:ascii="宋体" w:hAnsi="宋体"/>
          <w:sz w:val="24"/>
        </w:rPr>
        <w:t>.</w:t>
      </w:r>
      <w:r>
        <w:rPr>
          <w:rFonts w:hint="eastAsia" w:ascii="宋体" w:hAnsi="宋体"/>
          <w:sz w:val="24"/>
        </w:rPr>
        <w:t>2竞争性谈判供应商的竞争性谈判响应文件符合竞争性谈判文件要求，按竞争性谈判文件确定评审标准、方法，经谈判评审小组评审并推荐为成交候选供应商。</w:t>
      </w:r>
    </w:p>
    <w:p w14:paraId="5261A726">
      <w:pPr>
        <w:spacing w:line="360" w:lineRule="auto"/>
        <w:ind w:firstLine="480" w:firstLineChars="200"/>
        <w:jc w:val="left"/>
        <w:rPr>
          <w:rFonts w:hint="eastAsia" w:ascii="宋体" w:hAnsi="宋体"/>
          <w:b/>
          <w:color w:val="auto"/>
          <w:sz w:val="24"/>
        </w:rPr>
      </w:pPr>
      <w:r>
        <w:rPr>
          <w:rFonts w:hint="eastAsia" w:ascii="宋体" w:hAnsi="宋体"/>
          <w:color w:val="auto"/>
          <w:sz w:val="24"/>
          <w:shd w:val="clear" w:color="auto" w:fill="FFFF00"/>
        </w:rPr>
        <w:t>29.3</w:t>
      </w:r>
      <w:r>
        <w:rPr>
          <w:rFonts w:hint="eastAsia" w:ascii="宋体" w:hAnsi="宋体"/>
          <w:b/>
          <w:color w:val="auto"/>
          <w:sz w:val="24"/>
          <w:shd w:val="clear" w:color="auto" w:fill="FFFF00"/>
        </w:rPr>
        <w:t>采购人将按照评审报告中推荐的成交候选供应商顺序</w:t>
      </w:r>
      <w:r>
        <w:rPr>
          <w:rFonts w:hint="eastAsia" w:ascii="宋体" w:hAnsi="宋体"/>
          <w:b/>
          <w:color w:val="auto"/>
          <w:sz w:val="24"/>
          <w:shd w:val="clear" w:color="auto" w:fill="FFFF00"/>
          <w:lang w:eastAsia="zh-CN"/>
        </w:rPr>
        <w:t>，</w:t>
      </w:r>
      <w:r>
        <w:rPr>
          <w:rFonts w:hint="eastAsia" w:ascii="宋体" w:hAnsi="宋体"/>
          <w:b/>
          <w:color w:val="auto"/>
          <w:sz w:val="24"/>
          <w:shd w:val="clear" w:color="auto" w:fill="FFFF00"/>
        </w:rPr>
        <w:t>确定</w:t>
      </w:r>
      <w:r>
        <w:rPr>
          <w:rFonts w:hint="eastAsia" w:ascii="宋体" w:hAnsi="宋体"/>
          <w:b/>
          <w:color w:val="auto"/>
          <w:sz w:val="24"/>
          <w:shd w:val="clear" w:color="auto" w:fill="FFFF00"/>
          <w:lang w:val="en-US" w:eastAsia="zh-CN"/>
        </w:rPr>
        <w:t>1</w:t>
      </w:r>
      <w:r>
        <w:rPr>
          <w:rFonts w:hint="eastAsia" w:ascii="宋体" w:hAnsi="宋体"/>
          <w:b/>
          <w:color w:val="auto"/>
          <w:sz w:val="24"/>
          <w:shd w:val="clear" w:color="auto" w:fill="FFFF00"/>
        </w:rPr>
        <w:t>名成交供应商</w:t>
      </w:r>
      <w:r>
        <w:rPr>
          <w:rFonts w:hint="eastAsia" w:ascii="宋体" w:hAnsi="宋体"/>
          <w:b/>
          <w:color w:val="auto"/>
          <w:sz w:val="24"/>
          <w:shd w:val="clear" w:color="auto" w:fill="FFFF00"/>
          <w:lang w:eastAsia="zh-CN"/>
        </w:rPr>
        <w:t>；</w:t>
      </w:r>
    </w:p>
    <w:p w14:paraId="5D235549">
      <w:pPr>
        <w:spacing w:line="360" w:lineRule="auto"/>
        <w:ind w:firstLine="480" w:firstLineChars="200"/>
        <w:rPr>
          <w:rFonts w:hint="eastAsia" w:ascii="宋体" w:hAnsi="宋体"/>
          <w:sz w:val="24"/>
        </w:rPr>
      </w:pPr>
      <w:r>
        <w:rPr>
          <w:rFonts w:hint="eastAsia" w:ascii="宋体" w:hAnsi="宋体"/>
          <w:sz w:val="24"/>
        </w:rPr>
        <w:t>30</w:t>
      </w:r>
      <w:r>
        <w:rPr>
          <w:rFonts w:ascii="宋体" w:hAnsi="宋体"/>
          <w:sz w:val="24"/>
        </w:rPr>
        <w:t xml:space="preserve">. </w:t>
      </w:r>
      <w:r>
        <w:rPr>
          <w:rFonts w:hint="eastAsia" w:ascii="宋体" w:hAnsi="宋体"/>
          <w:sz w:val="24"/>
        </w:rPr>
        <w:t>成交通知</w:t>
      </w:r>
    </w:p>
    <w:p w14:paraId="23E6A78A">
      <w:pPr>
        <w:spacing w:line="360" w:lineRule="auto"/>
        <w:ind w:firstLine="480" w:firstLineChars="200"/>
        <w:rPr>
          <w:rFonts w:hint="eastAsia" w:ascii="宋体" w:hAnsi="宋体"/>
          <w:sz w:val="24"/>
        </w:rPr>
      </w:pPr>
      <w:r>
        <w:rPr>
          <w:rFonts w:hint="eastAsia" w:ascii="宋体" w:hAnsi="宋体"/>
          <w:sz w:val="24"/>
        </w:rPr>
        <w:t>30</w:t>
      </w:r>
      <w:r>
        <w:rPr>
          <w:rFonts w:ascii="宋体" w:hAnsi="宋体"/>
          <w:sz w:val="24"/>
        </w:rPr>
        <w:t>.1</w:t>
      </w:r>
      <w:r>
        <w:rPr>
          <w:rFonts w:hint="eastAsia" w:ascii="宋体" w:hAnsi="宋体"/>
          <w:sz w:val="24"/>
        </w:rPr>
        <w:t>评审结束，采购人确认成交供应商后，招标代理机构在刊登本采购项目竞争性谈判公告的媒介上对成交结果进行公告，并向成交供应商发出成交通知书。成交通知书对采购人和成交供应商具有同等法律效力，成交通知书发出后，采购人改变成交结果，或者成交供应商放弃成交，应按相关法律、规章、规范性文件的规定承担相应的法律责任。</w:t>
      </w:r>
    </w:p>
    <w:p w14:paraId="35CC0CF6">
      <w:pPr>
        <w:spacing w:line="360" w:lineRule="auto"/>
        <w:ind w:firstLine="480" w:firstLineChars="200"/>
        <w:rPr>
          <w:rFonts w:hint="eastAsia" w:ascii="宋体" w:hAnsi="宋体"/>
          <w:sz w:val="24"/>
        </w:rPr>
      </w:pPr>
      <w:r>
        <w:rPr>
          <w:rFonts w:hint="eastAsia" w:ascii="宋体" w:hAnsi="宋体"/>
          <w:sz w:val="24"/>
        </w:rPr>
        <w:t>30.2  《成交通知书》将作为签订合同的依据。合同签订后，《成交通知书》成为合同的一部分。</w:t>
      </w:r>
    </w:p>
    <w:p w14:paraId="11D5912E">
      <w:pPr>
        <w:spacing w:line="360" w:lineRule="auto"/>
        <w:ind w:firstLine="480" w:firstLineChars="200"/>
        <w:rPr>
          <w:rFonts w:hint="eastAsia" w:ascii="宋体" w:hAnsi="宋体"/>
          <w:sz w:val="24"/>
        </w:rPr>
      </w:pPr>
      <w:r>
        <w:rPr>
          <w:rFonts w:hint="eastAsia" w:ascii="宋体" w:hAnsi="宋体"/>
          <w:sz w:val="24"/>
        </w:rPr>
        <w:t>30</w:t>
      </w:r>
      <w:r>
        <w:rPr>
          <w:rFonts w:ascii="宋体" w:hAnsi="宋体"/>
          <w:sz w:val="24"/>
        </w:rPr>
        <w:t>.</w:t>
      </w:r>
      <w:r>
        <w:rPr>
          <w:rFonts w:hint="eastAsia" w:ascii="宋体" w:hAnsi="宋体"/>
          <w:sz w:val="24"/>
        </w:rPr>
        <w:t>3</w:t>
      </w:r>
      <w:r>
        <w:rPr>
          <w:rFonts w:ascii="宋体" w:hAnsi="宋体"/>
          <w:sz w:val="24"/>
        </w:rPr>
        <w:t xml:space="preserve"> </w:t>
      </w:r>
      <w:r>
        <w:rPr>
          <w:rFonts w:hint="eastAsia" w:ascii="宋体" w:hAnsi="宋体"/>
          <w:sz w:val="24"/>
        </w:rPr>
        <w:t>《成交通知书》发出后5个工作日内，招标代理机构以原缴交方式向未成交的竞争性谈判供应商退还其竞争性谈判保证金。</w:t>
      </w:r>
    </w:p>
    <w:p w14:paraId="7B4983AA">
      <w:pPr>
        <w:spacing w:line="360" w:lineRule="auto"/>
        <w:ind w:right="61" w:firstLine="357" w:firstLineChars="148"/>
        <w:rPr>
          <w:rFonts w:ascii="宋体" w:hAnsi="宋体"/>
          <w:sz w:val="24"/>
        </w:rPr>
      </w:pPr>
      <w:r>
        <w:rPr>
          <w:rFonts w:hint="eastAsia" w:ascii="宋体" w:hAnsi="宋体"/>
          <w:b/>
          <w:sz w:val="24"/>
        </w:rPr>
        <w:t>成交供应商与采购人签订合同后，凭合同原件，到</w:t>
      </w:r>
      <w:r>
        <w:rPr>
          <w:rFonts w:hint="eastAsia" w:ascii="宋体" w:hAnsi="宋体"/>
          <w:b/>
          <w:sz w:val="24"/>
          <w:lang w:eastAsia="zh-CN"/>
        </w:rPr>
        <w:t>福建优胜招标项目管理集团有限公司</w:t>
      </w:r>
      <w:r>
        <w:rPr>
          <w:rFonts w:hint="eastAsia" w:ascii="宋体" w:hAnsi="宋体"/>
          <w:b/>
          <w:sz w:val="24"/>
          <w:lang w:val="en-US" w:eastAsia="zh-CN"/>
        </w:rPr>
        <w:t>龙岩分公司</w:t>
      </w:r>
      <w:r>
        <w:rPr>
          <w:rFonts w:hint="eastAsia" w:ascii="宋体" w:hAnsi="宋体"/>
          <w:b/>
          <w:sz w:val="24"/>
        </w:rPr>
        <w:t>无息退回谈判保证金。</w:t>
      </w:r>
    </w:p>
    <w:p w14:paraId="3636CC63">
      <w:pPr>
        <w:pStyle w:val="73"/>
        <w:spacing w:line="360" w:lineRule="auto"/>
        <w:ind w:firstLine="480" w:firstLineChars="200"/>
        <w:rPr>
          <w:rFonts w:hint="eastAsia" w:hAnsi="宋体"/>
          <w:color w:val="auto"/>
        </w:rPr>
      </w:pPr>
      <w:r>
        <w:rPr>
          <w:rFonts w:hint="eastAsia" w:hAnsi="宋体"/>
          <w:bCs/>
          <w:color w:val="auto"/>
        </w:rPr>
        <w:t>31</w:t>
      </w:r>
      <w:r>
        <w:rPr>
          <w:rFonts w:hint="eastAsia" w:hAnsi="宋体"/>
          <w:color w:val="auto"/>
        </w:rPr>
        <w:t>.签订合同</w:t>
      </w:r>
    </w:p>
    <w:p w14:paraId="7B523F0F">
      <w:pPr>
        <w:spacing w:before="120" w:line="360" w:lineRule="auto"/>
        <w:ind w:firstLine="480" w:firstLineChars="200"/>
        <w:rPr>
          <w:rFonts w:hint="eastAsia" w:ascii="宋体" w:hAnsi="宋体"/>
          <w:sz w:val="24"/>
        </w:rPr>
      </w:pPr>
      <w:r>
        <w:rPr>
          <w:rFonts w:hint="eastAsia" w:ascii="宋体" w:hAnsi="宋体"/>
          <w:sz w:val="24"/>
        </w:rPr>
        <w:t>31</w:t>
      </w:r>
      <w:r>
        <w:rPr>
          <w:rFonts w:ascii="宋体" w:hAnsi="宋体"/>
          <w:sz w:val="24"/>
        </w:rPr>
        <w:t>.</w:t>
      </w:r>
      <w:r>
        <w:rPr>
          <w:rFonts w:hint="eastAsia" w:ascii="宋体" w:hAnsi="宋体"/>
          <w:sz w:val="24"/>
        </w:rPr>
        <w:t>1采购人、成交供应商在《成交通知书》发出之日起，根据竞争性谈判文件确定的时间、事项和成交供应商竞争性谈判响应文件，参照本竞争性谈判文件第四章的合同文本签订合同。双方所签订的合同不得对竞争性谈判文件和成交供应商竞争性谈判响应文件、</w:t>
      </w:r>
      <w:r>
        <w:rPr>
          <w:rFonts w:ascii="宋体" w:hAnsi="宋体"/>
          <w:sz w:val="24"/>
        </w:rPr>
        <w:t>澄清、说明</w:t>
      </w:r>
      <w:r>
        <w:rPr>
          <w:rFonts w:hint="eastAsia" w:ascii="宋体" w:hAnsi="宋体"/>
          <w:sz w:val="24"/>
        </w:rPr>
        <w:t>、答辩</w:t>
      </w:r>
      <w:r>
        <w:rPr>
          <w:rFonts w:ascii="宋体" w:hAnsi="宋体"/>
          <w:sz w:val="24"/>
        </w:rPr>
        <w:t>或</w:t>
      </w:r>
      <w:r>
        <w:rPr>
          <w:rFonts w:hint="eastAsia" w:ascii="宋体" w:hAnsi="宋体"/>
          <w:sz w:val="24"/>
        </w:rPr>
        <w:t>修</w:t>
      </w:r>
      <w:r>
        <w:rPr>
          <w:rFonts w:ascii="宋体" w:hAnsi="宋体"/>
          <w:sz w:val="24"/>
        </w:rPr>
        <w:t>正</w:t>
      </w:r>
      <w:r>
        <w:rPr>
          <w:rFonts w:hint="eastAsia" w:ascii="宋体" w:hAnsi="宋体"/>
          <w:sz w:val="24"/>
        </w:rPr>
        <w:t>文书作实质性修改。逾期未签订合同，按照有关法律规定承担相应的法律责任；招标代理机构将没收谈判保证金，以抵偿对采购人造成的损失。采购人逾期不与成交供应商签订合同的，按有关规定处理。</w:t>
      </w:r>
    </w:p>
    <w:p w14:paraId="1CE08C89">
      <w:pPr>
        <w:spacing w:before="120" w:line="360" w:lineRule="auto"/>
        <w:ind w:firstLine="480" w:firstLineChars="200"/>
        <w:rPr>
          <w:rFonts w:hint="eastAsia" w:ascii="宋体" w:hAnsi="宋体"/>
          <w:sz w:val="24"/>
        </w:rPr>
      </w:pPr>
      <w:r>
        <w:rPr>
          <w:rFonts w:hint="eastAsia" w:ascii="宋体" w:hAnsi="宋体"/>
          <w:sz w:val="24"/>
        </w:rPr>
        <w:t>31</w:t>
      </w:r>
      <w:r>
        <w:rPr>
          <w:rFonts w:ascii="宋体" w:hAnsi="宋体"/>
          <w:sz w:val="24"/>
        </w:rPr>
        <w:t>.</w:t>
      </w:r>
      <w:r>
        <w:rPr>
          <w:rFonts w:hint="eastAsia" w:ascii="宋体" w:hAnsi="宋体"/>
          <w:sz w:val="24"/>
        </w:rPr>
        <w:t>2竞争性谈判文件、竞争性谈判文件的修改文件、成交供应商的响应文件、</w:t>
      </w:r>
      <w:r>
        <w:rPr>
          <w:rFonts w:ascii="宋体" w:hAnsi="宋体"/>
          <w:sz w:val="24"/>
        </w:rPr>
        <w:t>澄清、说明</w:t>
      </w:r>
      <w:r>
        <w:rPr>
          <w:rFonts w:hint="eastAsia" w:ascii="宋体" w:hAnsi="宋体"/>
          <w:sz w:val="24"/>
        </w:rPr>
        <w:t>、答辩</w:t>
      </w:r>
      <w:r>
        <w:rPr>
          <w:rFonts w:ascii="宋体" w:hAnsi="宋体"/>
          <w:sz w:val="24"/>
        </w:rPr>
        <w:t>或</w:t>
      </w:r>
      <w:r>
        <w:rPr>
          <w:rFonts w:hint="eastAsia" w:ascii="宋体" w:hAnsi="宋体"/>
          <w:sz w:val="24"/>
        </w:rPr>
        <w:t>修</w:t>
      </w:r>
      <w:r>
        <w:rPr>
          <w:rFonts w:ascii="宋体" w:hAnsi="宋体"/>
          <w:sz w:val="24"/>
        </w:rPr>
        <w:t>正</w:t>
      </w:r>
      <w:r>
        <w:rPr>
          <w:rFonts w:hint="eastAsia" w:ascii="宋体" w:hAnsi="宋体"/>
          <w:sz w:val="24"/>
        </w:rPr>
        <w:t>文书等，均为双方签订合同的组成部分，并与合同一并作为本竞争性谈判文件所列采购项目的互补性法律文件，与合同具有同等法律效力。</w:t>
      </w:r>
    </w:p>
    <w:p w14:paraId="6E2DD78D">
      <w:pPr>
        <w:spacing w:before="120" w:line="360" w:lineRule="auto"/>
        <w:ind w:firstLine="480" w:firstLineChars="200"/>
        <w:rPr>
          <w:rFonts w:hint="eastAsia" w:ascii="宋体" w:hAnsi="宋体"/>
          <w:sz w:val="24"/>
        </w:rPr>
      </w:pPr>
      <w:r>
        <w:rPr>
          <w:rFonts w:hint="eastAsia" w:ascii="宋体" w:hAnsi="宋体"/>
          <w:sz w:val="24"/>
        </w:rPr>
        <w:t>31</w:t>
      </w:r>
      <w:r>
        <w:rPr>
          <w:rFonts w:ascii="宋体" w:hAnsi="宋体"/>
          <w:sz w:val="24"/>
        </w:rPr>
        <w:t>.</w:t>
      </w:r>
      <w:r>
        <w:rPr>
          <w:rFonts w:hint="eastAsia" w:ascii="宋体" w:hAnsi="宋体"/>
          <w:sz w:val="24"/>
        </w:rPr>
        <w:t xml:space="preserve">3采购人在合同履行中，需追加与合同标的相同的货物或者服务的，在不改变合同其他条款的前提下，可与成交供应商协商签订补充合同，但所有补充合同的采购金额不得超过原合同采购金额的百分之十。 </w:t>
      </w:r>
    </w:p>
    <w:p w14:paraId="22E68FC0">
      <w:pPr>
        <w:spacing w:before="120" w:line="360" w:lineRule="auto"/>
        <w:ind w:firstLine="480" w:firstLineChars="200"/>
        <w:rPr>
          <w:rFonts w:hint="eastAsia" w:ascii="宋体" w:hAnsi="宋体"/>
          <w:b/>
          <w:sz w:val="24"/>
        </w:rPr>
      </w:pPr>
      <w:r>
        <w:rPr>
          <w:rFonts w:hint="eastAsia" w:ascii="宋体" w:hAnsi="宋体"/>
          <w:sz w:val="24"/>
        </w:rPr>
        <w:t>31</w:t>
      </w:r>
      <w:r>
        <w:rPr>
          <w:rFonts w:ascii="宋体" w:hAnsi="宋体"/>
          <w:sz w:val="24"/>
        </w:rPr>
        <w:t>.</w:t>
      </w:r>
      <w:r>
        <w:rPr>
          <w:rFonts w:hint="eastAsia" w:ascii="宋体" w:hAnsi="宋体"/>
          <w:sz w:val="24"/>
        </w:rPr>
        <w:t>4成交供应商因不可抗力或者自身原因不能履行采购合同的，采购人可以与排位在成交供应商之后第一位的成交候选供应商签订采购合同，以此类推。</w:t>
      </w:r>
    </w:p>
    <w:p w14:paraId="60BDEEA9">
      <w:pPr>
        <w:spacing w:line="360" w:lineRule="auto"/>
        <w:ind w:firstLine="482" w:firstLineChars="200"/>
        <w:jc w:val="center"/>
        <w:outlineLvl w:val="1"/>
        <w:rPr>
          <w:rFonts w:hint="eastAsia" w:ascii="宋体" w:hAnsi="宋体"/>
          <w:b/>
          <w:sz w:val="24"/>
        </w:rPr>
      </w:pPr>
      <w:bookmarkStart w:id="11" w:name="_Toc305"/>
      <w:r>
        <w:rPr>
          <w:rFonts w:hint="eastAsia" w:ascii="宋体" w:hAnsi="宋体"/>
          <w:b/>
          <w:sz w:val="24"/>
        </w:rPr>
        <w:t>七、质疑与投诉</w:t>
      </w:r>
      <w:bookmarkEnd w:id="11"/>
    </w:p>
    <w:p w14:paraId="24279C1E">
      <w:pPr>
        <w:spacing w:line="360" w:lineRule="auto"/>
        <w:ind w:firstLine="480" w:firstLineChars="200"/>
        <w:rPr>
          <w:rFonts w:hint="eastAsia" w:ascii="宋体" w:hAnsi="宋体"/>
          <w:sz w:val="24"/>
        </w:rPr>
      </w:pPr>
      <w:r>
        <w:rPr>
          <w:rFonts w:hint="eastAsia" w:ascii="宋体" w:hAnsi="宋体"/>
          <w:sz w:val="24"/>
        </w:rPr>
        <w:t>32、质疑</w:t>
      </w:r>
    </w:p>
    <w:p w14:paraId="1C009BCF">
      <w:pPr>
        <w:spacing w:line="360" w:lineRule="auto"/>
        <w:ind w:firstLine="480" w:firstLineChars="200"/>
        <w:rPr>
          <w:rFonts w:hint="eastAsia" w:ascii="宋体" w:hAnsi="宋体"/>
          <w:sz w:val="24"/>
        </w:rPr>
      </w:pPr>
      <w:r>
        <w:rPr>
          <w:rFonts w:hint="eastAsia" w:ascii="宋体" w:hAnsi="宋体"/>
          <w:sz w:val="24"/>
        </w:rPr>
        <w:t>32.1供应商对采购事项有疑问的，可以向采购人或采购代理机构提出询问。</w:t>
      </w:r>
    </w:p>
    <w:p w14:paraId="6040F28E">
      <w:pPr>
        <w:spacing w:line="360" w:lineRule="auto"/>
        <w:ind w:firstLine="480" w:firstLineChars="200"/>
        <w:rPr>
          <w:rFonts w:hint="eastAsia" w:ascii="宋体" w:hAnsi="宋体"/>
          <w:sz w:val="24"/>
        </w:rPr>
      </w:pPr>
      <w:r>
        <w:rPr>
          <w:rFonts w:hint="eastAsia" w:ascii="宋体" w:hAnsi="宋体"/>
          <w:sz w:val="24"/>
        </w:rPr>
        <w:t>32.2若供应商认为采购文件使自己的合法权利受到损害的，应当在谈判采购会召开</w:t>
      </w:r>
      <w:r>
        <w:rPr>
          <w:rFonts w:hint="eastAsia" w:ascii="宋体" w:hAnsi="宋体"/>
          <w:b/>
          <w:bCs/>
          <w:sz w:val="24"/>
        </w:rPr>
        <w:t>2个工作</w:t>
      </w:r>
      <w:r>
        <w:rPr>
          <w:rFonts w:hint="eastAsia" w:ascii="宋体" w:hAnsi="宋体"/>
          <w:sz w:val="24"/>
        </w:rPr>
        <w:t>日前，按有关规定，以书面形式向采购人或采购代理机构进行质疑并要求作出答复。逾期或未提出的视为接受或认可本采购文件。</w:t>
      </w:r>
    </w:p>
    <w:p w14:paraId="39300BC9">
      <w:pPr>
        <w:spacing w:line="360" w:lineRule="auto"/>
        <w:ind w:firstLine="480" w:firstLineChars="200"/>
        <w:rPr>
          <w:rFonts w:hint="eastAsia" w:ascii="宋体" w:hAnsi="宋体"/>
          <w:sz w:val="24"/>
        </w:rPr>
      </w:pPr>
      <w:r>
        <w:rPr>
          <w:rFonts w:hint="eastAsia" w:ascii="宋体" w:hAnsi="宋体"/>
          <w:sz w:val="24"/>
        </w:rPr>
        <w:t>32.3采购结果公告期限为1个工作日，若供应商认为采购过程和成交结果使自己的合法权益受到损害的，可以在采购结果公告期限届满之日起7个工作日内，以书面形式向招标采购单位提出质疑并要求作出答复。逾期则不予受理，视同接受招标过程和采购结果。</w:t>
      </w:r>
    </w:p>
    <w:p w14:paraId="59C4757F">
      <w:pPr>
        <w:spacing w:line="360" w:lineRule="auto"/>
        <w:ind w:firstLine="480" w:firstLineChars="200"/>
        <w:rPr>
          <w:rFonts w:hint="eastAsia" w:ascii="宋体" w:hAnsi="宋体"/>
          <w:sz w:val="24"/>
        </w:rPr>
      </w:pPr>
      <w:r>
        <w:rPr>
          <w:rFonts w:hint="eastAsia" w:ascii="宋体" w:hAnsi="宋体"/>
          <w:sz w:val="24"/>
        </w:rPr>
        <w:t>32.4 采购人或采购代理机构将在收到书面质疑后的7个工作日内审查质疑事项，作出答复，并以书面形式通知质疑供应商和其他有关供应商，但答复的内容不涉及商业秘密。</w:t>
      </w:r>
    </w:p>
    <w:p w14:paraId="20D3B6B0">
      <w:pPr>
        <w:spacing w:line="360" w:lineRule="auto"/>
        <w:ind w:firstLine="480" w:firstLineChars="200"/>
        <w:rPr>
          <w:rFonts w:hint="eastAsia" w:ascii="宋体" w:hAnsi="宋体"/>
          <w:sz w:val="24"/>
        </w:rPr>
      </w:pPr>
      <w:r>
        <w:rPr>
          <w:rFonts w:hint="eastAsia" w:ascii="宋体" w:hAnsi="宋体"/>
          <w:sz w:val="24"/>
        </w:rPr>
        <w:t>33、投诉</w:t>
      </w:r>
    </w:p>
    <w:p w14:paraId="3195A8F6">
      <w:pPr>
        <w:spacing w:line="360" w:lineRule="auto"/>
        <w:ind w:firstLine="480" w:firstLineChars="200"/>
        <w:rPr>
          <w:rFonts w:hint="eastAsia" w:ascii="宋体" w:hAnsi="宋体"/>
          <w:sz w:val="24"/>
        </w:rPr>
      </w:pPr>
      <w:r>
        <w:rPr>
          <w:rFonts w:hint="eastAsia" w:ascii="宋体" w:hAnsi="宋体"/>
          <w:sz w:val="24"/>
        </w:rPr>
        <w:t xml:space="preserve"> 质疑供应商对采购人、采购代理机构的答复不满意或采购人、采购代理机构未在规定的时间内做出答复的，可以在答复期满后15个工作日内向采购单位主管部门投诉。</w:t>
      </w:r>
    </w:p>
    <w:p w14:paraId="51796B25">
      <w:pPr>
        <w:spacing w:line="360" w:lineRule="auto"/>
        <w:ind w:firstLine="480" w:firstLineChars="200"/>
        <w:rPr>
          <w:rFonts w:hint="eastAsia" w:ascii="宋体" w:hAnsi="宋体"/>
          <w:sz w:val="24"/>
        </w:rPr>
      </w:pPr>
      <w:r>
        <w:rPr>
          <w:rFonts w:hint="eastAsia" w:ascii="宋体" w:hAnsi="宋体"/>
          <w:sz w:val="24"/>
        </w:rPr>
        <w:t>34、质疑投诉人应保证质疑投诉的真实性和可靠性，并承担相应的法律责任。对捏造事实或者提供虚假投诉材料的，将被列入不良行为记录名单。</w:t>
      </w:r>
    </w:p>
    <w:p w14:paraId="1D157C85">
      <w:pPr>
        <w:spacing w:line="360" w:lineRule="auto"/>
        <w:ind w:firstLine="482" w:firstLineChars="200"/>
        <w:jc w:val="center"/>
        <w:rPr>
          <w:rFonts w:hint="eastAsia" w:ascii="宋体" w:hAnsi="宋体"/>
          <w:b/>
          <w:sz w:val="30"/>
          <w:szCs w:val="30"/>
        </w:rPr>
      </w:pPr>
      <w:r>
        <w:rPr>
          <w:rFonts w:ascii="宋体" w:hAnsi="宋体"/>
          <w:b/>
          <w:bCs/>
          <w:sz w:val="24"/>
        </w:rPr>
        <w:br w:type="page"/>
      </w:r>
      <w:r>
        <w:rPr>
          <w:rFonts w:hint="eastAsia" w:ascii="宋体" w:hAnsi="宋体"/>
          <w:b/>
          <w:sz w:val="32"/>
          <w:szCs w:val="32"/>
        </w:rPr>
        <w:t>第三章  采购内容及要求</w:t>
      </w:r>
    </w:p>
    <w:p w14:paraId="57FAF7DF">
      <w:pPr>
        <w:pStyle w:val="29"/>
        <w:ind w:firstLine="0" w:firstLineChars="0"/>
        <w:rPr>
          <w:rFonts w:hint="eastAsia" w:ascii="宋体" w:hAnsi="宋体" w:cs="宋体"/>
          <w:b/>
          <w:bCs/>
          <w:sz w:val="24"/>
          <w:szCs w:val="24"/>
        </w:rPr>
      </w:pPr>
      <w:r>
        <w:rPr>
          <w:rFonts w:hint="eastAsia" w:ascii="宋体" w:hAnsi="宋体" w:cs="宋体"/>
          <w:b/>
          <w:bCs/>
          <w:sz w:val="24"/>
          <w:szCs w:val="24"/>
        </w:rPr>
        <w:t>一、项目概况</w:t>
      </w:r>
    </w:p>
    <w:tbl>
      <w:tblPr>
        <w:tblStyle w:val="31"/>
        <w:tblW w:w="498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655"/>
        <w:gridCol w:w="1803"/>
        <w:gridCol w:w="1310"/>
        <w:gridCol w:w="2810"/>
        <w:gridCol w:w="1536"/>
        <w:gridCol w:w="1665"/>
      </w:tblGrid>
      <w:tr w14:paraId="4BCBC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3" w:hRule="atLeast"/>
        </w:trPr>
        <w:tc>
          <w:tcPr>
            <w:tcW w:w="335" w:type="pct"/>
            <w:tcBorders>
              <w:bottom w:val="single" w:color="auto" w:sz="4" w:space="0"/>
              <w:right w:val="single" w:color="auto" w:sz="4" w:space="0"/>
            </w:tcBorders>
            <w:noWrap w:val="0"/>
            <w:vAlign w:val="center"/>
          </w:tcPr>
          <w:p w14:paraId="4F4CC139">
            <w:pPr>
              <w:spacing w:line="360" w:lineRule="auto"/>
              <w:jc w:val="center"/>
              <w:rPr>
                <w:rFonts w:hint="eastAsia" w:ascii="宋体" w:hAnsi="宋体" w:cs="宋体"/>
                <w:sz w:val="24"/>
              </w:rPr>
            </w:pPr>
            <w:r>
              <w:rPr>
                <w:rFonts w:hint="eastAsia" w:ascii="宋体" w:hAnsi="宋体" w:cs="宋体"/>
                <w:sz w:val="24"/>
                <w:lang w:val="en-US" w:eastAsia="zh-CN"/>
              </w:rPr>
              <w:t>序号</w:t>
            </w:r>
          </w:p>
        </w:tc>
        <w:tc>
          <w:tcPr>
            <w:tcW w:w="922" w:type="pct"/>
            <w:tcBorders>
              <w:left w:val="single" w:color="auto" w:sz="4" w:space="0"/>
              <w:bottom w:val="single" w:color="auto" w:sz="4" w:space="0"/>
              <w:right w:val="single" w:color="auto" w:sz="4" w:space="0"/>
            </w:tcBorders>
            <w:noWrap w:val="0"/>
            <w:vAlign w:val="center"/>
          </w:tcPr>
          <w:p w14:paraId="7CE7AAD6">
            <w:pPr>
              <w:spacing w:line="360" w:lineRule="auto"/>
              <w:jc w:val="center"/>
              <w:rPr>
                <w:rFonts w:ascii="宋体" w:hAnsi="宋体" w:cs="宋体"/>
                <w:sz w:val="24"/>
              </w:rPr>
            </w:pPr>
            <w:r>
              <w:rPr>
                <w:rFonts w:hint="eastAsia" w:ascii="宋体" w:hAnsi="宋体" w:cs="宋体"/>
                <w:sz w:val="24"/>
              </w:rPr>
              <w:t>品目名称</w:t>
            </w:r>
          </w:p>
        </w:tc>
        <w:tc>
          <w:tcPr>
            <w:tcW w:w="670" w:type="pct"/>
            <w:tcBorders>
              <w:left w:val="single" w:color="auto" w:sz="4" w:space="0"/>
              <w:bottom w:val="single" w:color="auto" w:sz="4" w:space="0"/>
              <w:right w:val="single" w:color="auto" w:sz="4" w:space="0"/>
            </w:tcBorders>
            <w:noWrap w:val="0"/>
            <w:vAlign w:val="center"/>
          </w:tcPr>
          <w:p w14:paraId="6613359A">
            <w:pPr>
              <w:spacing w:line="360" w:lineRule="auto"/>
              <w:jc w:val="center"/>
              <w:rPr>
                <w:rFonts w:hint="eastAsia" w:ascii="宋体" w:hAnsi="宋体" w:cs="宋体"/>
                <w:sz w:val="24"/>
              </w:rPr>
            </w:pPr>
            <w:r>
              <w:rPr>
                <w:rFonts w:hint="eastAsia" w:ascii="宋体" w:hAnsi="宋体" w:cs="宋体"/>
                <w:sz w:val="24"/>
              </w:rPr>
              <w:t>采购数量</w:t>
            </w:r>
          </w:p>
        </w:tc>
        <w:tc>
          <w:tcPr>
            <w:tcW w:w="1437" w:type="pct"/>
            <w:tcBorders>
              <w:left w:val="single" w:color="auto" w:sz="4" w:space="0"/>
              <w:bottom w:val="single" w:color="auto" w:sz="4" w:space="0"/>
              <w:right w:val="single" w:color="auto" w:sz="4" w:space="0"/>
            </w:tcBorders>
            <w:noWrap w:val="0"/>
            <w:vAlign w:val="center"/>
          </w:tcPr>
          <w:p w14:paraId="7BBB1CD0">
            <w:pPr>
              <w:spacing w:line="360" w:lineRule="auto"/>
              <w:jc w:val="center"/>
              <w:rPr>
                <w:rFonts w:hint="eastAsia" w:ascii="宋体" w:hAnsi="宋体" w:cs="宋体"/>
                <w:sz w:val="24"/>
              </w:rPr>
            </w:pPr>
            <w:r>
              <w:rPr>
                <w:rFonts w:hint="eastAsia" w:ascii="宋体" w:hAnsi="宋体" w:cs="宋体"/>
                <w:sz w:val="24"/>
                <w:lang w:val="en-US" w:eastAsia="zh-CN"/>
              </w:rPr>
              <w:t>规格参数</w:t>
            </w:r>
          </w:p>
        </w:tc>
        <w:tc>
          <w:tcPr>
            <w:tcW w:w="785" w:type="pct"/>
            <w:tcBorders>
              <w:left w:val="single" w:color="auto" w:sz="4" w:space="0"/>
              <w:bottom w:val="single" w:color="auto" w:sz="4" w:space="0"/>
              <w:right w:val="single" w:color="auto" w:sz="4" w:space="0"/>
            </w:tcBorders>
            <w:noWrap w:val="0"/>
            <w:vAlign w:val="center"/>
          </w:tcPr>
          <w:p w14:paraId="2F78C967">
            <w:pPr>
              <w:spacing w:line="360" w:lineRule="auto"/>
              <w:jc w:val="center"/>
              <w:rPr>
                <w:rFonts w:hint="eastAsia" w:ascii="宋体" w:hAnsi="宋体" w:cs="宋体"/>
                <w:sz w:val="24"/>
              </w:rPr>
            </w:pPr>
            <w:r>
              <w:rPr>
                <w:rFonts w:hint="eastAsia" w:ascii="宋体" w:hAnsi="宋体" w:cs="宋体"/>
                <w:sz w:val="24"/>
              </w:rPr>
              <w:t>服务期限</w:t>
            </w:r>
          </w:p>
        </w:tc>
        <w:tc>
          <w:tcPr>
            <w:tcW w:w="849" w:type="pct"/>
            <w:tcBorders>
              <w:left w:val="single" w:color="auto" w:sz="4" w:space="0"/>
              <w:bottom w:val="single" w:color="auto" w:sz="4" w:space="0"/>
            </w:tcBorders>
            <w:noWrap w:val="0"/>
            <w:vAlign w:val="center"/>
          </w:tcPr>
          <w:p w14:paraId="47E7BDEC">
            <w:pPr>
              <w:pStyle w:val="18"/>
              <w:tabs>
                <w:tab w:val="left" w:pos="8360"/>
              </w:tabs>
              <w:spacing w:line="360" w:lineRule="auto"/>
              <w:jc w:val="center"/>
              <w:rPr>
                <w:rFonts w:hint="eastAsia" w:hAnsi="宋体" w:cs="宋体"/>
                <w:sz w:val="24"/>
                <w:szCs w:val="24"/>
              </w:rPr>
            </w:pPr>
            <w:r>
              <w:rPr>
                <w:rFonts w:hint="eastAsia" w:hAnsi="宋体" w:cs="宋体"/>
                <w:sz w:val="24"/>
                <w:szCs w:val="24"/>
              </w:rPr>
              <w:t>配送地点</w:t>
            </w:r>
          </w:p>
        </w:tc>
      </w:tr>
      <w:tr w14:paraId="19BF8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34" w:hRule="atLeast"/>
        </w:trPr>
        <w:tc>
          <w:tcPr>
            <w:tcW w:w="335" w:type="pct"/>
            <w:tcBorders>
              <w:top w:val="single" w:color="auto" w:sz="4" w:space="0"/>
              <w:bottom w:val="single" w:color="auto" w:sz="4" w:space="0"/>
              <w:right w:val="single" w:color="auto" w:sz="4" w:space="0"/>
            </w:tcBorders>
            <w:noWrap w:val="0"/>
            <w:vAlign w:val="center"/>
          </w:tcPr>
          <w:p w14:paraId="4BD4AD18">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cs="宋体"/>
                <w:bCs/>
                <w:sz w:val="24"/>
                <w:highlight w:val="none"/>
              </w:rPr>
            </w:pPr>
            <w:r>
              <w:rPr>
                <w:rFonts w:hint="eastAsia" w:ascii="宋体" w:hAnsi="宋体" w:cs="宋体"/>
                <w:bCs/>
                <w:sz w:val="24"/>
                <w:highlight w:val="none"/>
              </w:rPr>
              <w:t>1</w:t>
            </w:r>
          </w:p>
        </w:tc>
        <w:tc>
          <w:tcPr>
            <w:tcW w:w="922" w:type="pct"/>
            <w:tcBorders>
              <w:top w:val="single" w:color="auto" w:sz="4" w:space="0"/>
              <w:left w:val="single" w:color="auto" w:sz="4" w:space="0"/>
              <w:bottom w:val="single" w:color="auto" w:sz="4" w:space="0"/>
              <w:right w:val="single" w:color="auto" w:sz="4" w:space="0"/>
            </w:tcBorders>
            <w:noWrap w:val="0"/>
            <w:vAlign w:val="center"/>
          </w:tcPr>
          <w:p w14:paraId="5A15E683">
            <w:pPr>
              <w:pStyle w:val="92"/>
              <w:jc w:val="center"/>
              <w:rPr>
                <w:rFonts w:hint="eastAsia" w:ascii="宋体" w:hAnsi="宋体" w:cs="宋体"/>
                <w:sz w:val="24"/>
                <w:highlight w:val="none"/>
              </w:rPr>
            </w:pPr>
            <w:r>
              <w:rPr>
                <w:rFonts w:hint="eastAsia" w:ascii="宋体" w:hAnsi="宋体" w:cs="宋体"/>
                <w:sz w:val="24"/>
                <w:highlight w:val="none"/>
                <w:lang w:eastAsia="zh-CN"/>
              </w:rPr>
              <w:t>“</w:t>
            </w:r>
            <w:r>
              <w:rPr>
                <w:rFonts w:hint="eastAsia" w:ascii="宋体" w:hAnsi="宋体" w:cs="宋体"/>
                <w:sz w:val="24"/>
                <w:highlight w:val="none"/>
                <w:lang w:val="en-US" w:eastAsia="zh-CN"/>
              </w:rPr>
              <w:t>龙飞凤舞</w:t>
            </w:r>
            <w:r>
              <w:rPr>
                <w:rFonts w:hint="eastAsia" w:ascii="宋体" w:hAnsi="宋体" w:cs="宋体"/>
                <w:sz w:val="24"/>
                <w:highlight w:val="none"/>
                <w:lang w:eastAsia="zh-CN"/>
              </w:rPr>
              <w:t>”</w:t>
            </w:r>
            <w:r>
              <w:rPr>
                <w:rFonts w:hint="eastAsia" w:ascii="宋体" w:hAnsi="宋体" w:cs="宋体"/>
                <w:sz w:val="24"/>
                <w:highlight w:val="none"/>
                <w:lang w:val="en-US" w:eastAsia="zh-CN"/>
              </w:rPr>
              <w:t>非遗嘉年华排练点心配送服务</w:t>
            </w:r>
          </w:p>
        </w:tc>
        <w:tc>
          <w:tcPr>
            <w:tcW w:w="670" w:type="pct"/>
            <w:tcBorders>
              <w:top w:val="single" w:color="auto" w:sz="4" w:space="0"/>
              <w:left w:val="single" w:color="auto" w:sz="4" w:space="0"/>
              <w:bottom w:val="single" w:color="auto" w:sz="4" w:space="0"/>
              <w:right w:val="single" w:color="auto" w:sz="4" w:space="0"/>
            </w:tcBorders>
            <w:noWrap w:val="0"/>
            <w:vAlign w:val="center"/>
          </w:tcPr>
          <w:p w14:paraId="2E961284">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cs="宋体"/>
                <w:sz w:val="24"/>
                <w:highlight w:val="none"/>
              </w:rPr>
            </w:pPr>
            <w:r>
              <w:rPr>
                <w:rFonts w:hint="eastAsia" w:ascii="宋体" w:hAnsi="宋体" w:cs="宋体"/>
                <w:sz w:val="24"/>
                <w:highlight w:val="none"/>
              </w:rPr>
              <w:t>1批</w:t>
            </w:r>
          </w:p>
        </w:tc>
        <w:tc>
          <w:tcPr>
            <w:tcW w:w="1437" w:type="pct"/>
            <w:tcBorders>
              <w:top w:val="single" w:color="auto" w:sz="4" w:space="0"/>
              <w:left w:val="single" w:color="auto" w:sz="4" w:space="0"/>
              <w:bottom w:val="single" w:color="auto" w:sz="4" w:space="0"/>
              <w:right w:val="single" w:color="auto" w:sz="4" w:space="0"/>
            </w:tcBorders>
            <w:noWrap w:val="0"/>
            <w:vAlign w:val="center"/>
          </w:tcPr>
          <w:p w14:paraId="0DAAAD03">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cs="宋体"/>
                <w:sz w:val="24"/>
                <w:highlight w:val="none"/>
              </w:rPr>
            </w:pPr>
            <w:r>
              <w:rPr>
                <w:rFonts w:hint="eastAsia" w:ascii="宋体" w:hAnsi="宋体" w:cs="宋体"/>
                <w:sz w:val="24"/>
                <w:highlight w:val="none"/>
                <w:lang w:val="en-US" w:eastAsia="zh-CN"/>
              </w:rPr>
              <w:t>单个克重在≥25克且≤150克，不得添加防腐剂。</w:t>
            </w:r>
          </w:p>
        </w:tc>
        <w:tc>
          <w:tcPr>
            <w:tcW w:w="785" w:type="pct"/>
            <w:tcBorders>
              <w:top w:val="single" w:color="auto" w:sz="4" w:space="0"/>
              <w:left w:val="single" w:color="auto" w:sz="4" w:space="0"/>
              <w:bottom w:val="single" w:color="auto" w:sz="4" w:space="0"/>
              <w:right w:val="single" w:color="auto" w:sz="4" w:space="0"/>
            </w:tcBorders>
            <w:noWrap w:val="0"/>
            <w:vAlign w:val="center"/>
          </w:tcPr>
          <w:p w14:paraId="2C565417">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4"/>
                <w:highlight w:val="none"/>
                <w:lang w:val="en-US" w:eastAsia="zh-CN"/>
              </w:rPr>
            </w:pPr>
            <w:r>
              <w:rPr>
                <w:rFonts w:hint="default" w:ascii="宋体" w:hAnsi="宋体" w:eastAsia="宋体" w:cs="宋体"/>
                <w:sz w:val="24"/>
                <w:highlight w:val="none"/>
                <w:lang w:val="en-US" w:eastAsia="zh-CN"/>
              </w:rPr>
              <w:t>合同签订后15日完成</w:t>
            </w:r>
          </w:p>
        </w:tc>
        <w:tc>
          <w:tcPr>
            <w:tcW w:w="849" w:type="pct"/>
            <w:tcBorders>
              <w:top w:val="single" w:color="auto" w:sz="4" w:space="0"/>
              <w:left w:val="single" w:color="auto" w:sz="4" w:space="0"/>
              <w:bottom w:val="single" w:color="auto" w:sz="4" w:space="0"/>
            </w:tcBorders>
            <w:noWrap w:val="0"/>
            <w:vAlign w:val="top"/>
          </w:tcPr>
          <w:p w14:paraId="284DEF37">
            <w:pPr>
              <w:pStyle w:val="18"/>
              <w:keepNext w:val="0"/>
              <w:keepLines w:val="0"/>
              <w:pageBreakBefore w:val="0"/>
              <w:tabs>
                <w:tab w:val="left" w:pos="8360"/>
              </w:tabs>
              <w:kinsoku/>
              <w:wordWrap/>
              <w:overflowPunct/>
              <w:topLinePunct w:val="0"/>
              <w:autoSpaceDE/>
              <w:autoSpaceDN/>
              <w:bidi w:val="0"/>
              <w:adjustRightInd/>
              <w:snapToGrid/>
              <w:spacing w:line="400" w:lineRule="exact"/>
              <w:jc w:val="left"/>
              <w:textAlignment w:val="auto"/>
              <w:rPr>
                <w:rFonts w:hint="eastAsia" w:hAnsi="宋体" w:cs="宋体"/>
                <w:sz w:val="24"/>
                <w:szCs w:val="24"/>
                <w:highlight w:val="none"/>
              </w:rPr>
            </w:pPr>
            <w:r>
              <w:rPr>
                <w:rFonts w:hint="eastAsia" w:hAnsi="宋体" w:cs="宋体"/>
                <w:sz w:val="24"/>
                <w:szCs w:val="24"/>
                <w:highlight w:val="none"/>
                <w:lang w:val="en-US" w:eastAsia="zh-CN"/>
              </w:rPr>
              <w:t>采购人指定地点</w:t>
            </w:r>
          </w:p>
        </w:tc>
      </w:tr>
      <w:tr w14:paraId="64128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00" w:hRule="atLeast"/>
        </w:trPr>
        <w:tc>
          <w:tcPr>
            <w:tcW w:w="5000" w:type="pct"/>
            <w:gridSpan w:val="6"/>
            <w:tcBorders>
              <w:top w:val="single" w:color="auto" w:sz="4" w:space="0"/>
            </w:tcBorders>
            <w:noWrap w:val="0"/>
            <w:vAlign w:val="center"/>
          </w:tcPr>
          <w:p w14:paraId="699592F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sz w:val="24"/>
              </w:rPr>
            </w:pPr>
            <w:r>
              <w:rPr>
                <w:rFonts w:hint="eastAsia" w:ascii="宋体" w:hAnsi="宋体" w:cs="宋体"/>
                <w:sz w:val="24"/>
              </w:rPr>
              <w:t>备注：</w:t>
            </w:r>
          </w:p>
          <w:p w14:paraId="3935E713">
            <w:pPr>
              <w:rPr>
                <w:rFonts w:hint="eastAsia" w:ascii="宋体" w:hAnsi="宋体" w:cs="宋体"/>
                <w:sz w:val="24"/>
                <w:szCs w:val="24"/>
              </w:rPr>
            </w:pPr>
            <w:r>
              <w:rPr>
                <w:rFonts w:hint="eastAsia" w:ascii="宋体" w:hAnsi="宋体" w:cs="宋体"/>
                <w:sz w:val="24"/>
              </w:rPr>
              <w:t>1</w:t>
            </w:r>
            <w:r>
              <w:rPr>
                <w:rFonts w:hint="eastAsia" w:ascii="宋体" w:hAnsi="宋体" w:cs="宋体"/>
                <w:sz w:val="24"/>
                <w:lang w:val="en-US" w:eastAsia="zh-CN"/>
              </w:rPr>
              <w:t>.</w:t>
            </w:r>
            <w:r>
              <w:rPr>
                <w:rFonts w:hint="eastAsia" w:ascii="宋体" w:hAnsi="宋体" w:cs="宋体"/>
                <w:sz w:val="24"/>
              </w:rPr>
              <w:t>具体采购数量以合同期内采购人实际需求为准；合同期内，若由于需求变化导致采购数量发生变化，采购人可以调整货物的具体采购数量。</w:t>
            </w:r>
          </w:p>
        </w:tc>
      </w:tr>
    </w:tbl>
    <w:p w14:paraId="05CC2803">
      <w:pPr>
        <w:numPr>
          <w:ilvl w:val="0"/>
          <w:numId w:val="0"/>
        </w:numPr>
        <w:spacing w:line="500" w:lineRule="exact"/>
      </w:pPr>
      <w:r>
        <w:rPr>
          <w:rFonts w:hint="eastAsia" w:ascii="Times New Roman" w:hAnsi="Times New Roman" w:eastAsia="宋体" w:cs="Times New Roman"/>
          <w:b/>
          <w:bCs/>
          <w:kern w:val="2"/>
          <w:sz w:val="21"/>
          <w:szCs w:val="24"/>
          <w:lang w:val="en-US" w:eastAsia="zh-CN" w:bidi="ar-SA"/>
        </w:rPr>
        <w:t>二、</w:t>
      </w:r>
      <w:r>
        <w:rPr>
          <w:rFonts w:hint="eastAsia" w:ascii="宋体" w:hAnsi="宋体" w:cs="宋体"/>
          <w:b/>
          <w:sz w:val="24"/>
          <w:szCs w:val="24"/>
        </w:rPr>
        <w:t>技术和服务要求</w:t>
      </w:r>
    </w:p>
    <w:p w14:paraId="1F827AF4">
      <w:pPr>
        <w:pStyle w:val="2"/>
        <w:numPr>
          <w:ilvl w:val="-1"/>
          <w:numId w:val="0"/>
        </w:numPr>
        <w:rPr>
          <w:rFonts w:hint="eastAsia" w:ascii="宋体" w:hAnsi="宋体" w:eastAsia="宋体" w:cs="宋体"/>
          <w:b/>
          <w:bCs/>
          <w:lang w:val="en-US" w:eastAsia="zh-CN"/>
        </w:rPr>
      </w:pPr>
      <w:r>
        <w:rPr>
          <w:rFonts w:hint="eastAsia" w:ascii="宋体" w:hAnsi="宋体" w:eastAsia="宋体" w:cs="宋体"/>
          <w:b/>
          <w:bCs/>
          <w:lang w:val="en-US" w:eastAsia="zh-CN"/>
        </w:rPr>
        <w:t>（一）采购清单</w:t>
      </w:r>
    </w:p>
    <w:tbl>
      <w:tblPr>
        <w:tblStyle w:val="31"/>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6"/>
        <w:gridCol w:w="1924"/>
        <w:gridCol w:w="1035"/>
        <w:gridCol w:w="1110"/>
        <w:gridCol w:w="1335"/>
        <w:gridCol w:w="1260"/>
        <w:gridCol w:w="1575"/>
      </w:tblGrid>
      <w:tr w14:paraId="5E1DC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9095"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E5AC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小洋校区</w:t>
            </w:r>
          </w:p>
        </w:tc>
      </w:tr>
      <w:tr w14:paraId="651CF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648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1A7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品名</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C29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克重</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298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520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每份个数</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047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份数</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F19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天数</w:t>
            </w:r>
          </w:p>
        </w:tc>
      </w:tr>
      <w:tr w14:paraId="1C1B2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100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E9A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砖块面包</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F8C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33B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AA7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05D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FF9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407E9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ABF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FA4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黄油蛋糕</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78B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E1D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650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C8D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AE0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4870B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A14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922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麻薯</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09B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9D0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B2D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62A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D7D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299DF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24B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B3C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肉松面包</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8C5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D5B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6C5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6C4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546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3419D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F55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4EC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吐司</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AF5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4E4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7BE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66A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8CC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6E7E9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329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B1F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虎皮蛋糕</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7E8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83</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97D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78F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D02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92A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3CA57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04A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D41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蛋挞</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1E8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3F9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BEA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2F8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5DB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017DF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C91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F6B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牛奶小馒头</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A25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859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695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532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E07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0159C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9095"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F933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虎岭校区</w:t>
            </w:r>
          </w:p>
        </w:tc>
      </w:tr>
      <w:tr w14:paraId="41404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E05E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序号</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F8BD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品名</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C81B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克重</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3820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单位</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9301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每份个数</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D5AA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份数</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6C3F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天数</w:t>
            </w:r>
          </w:p>
        </w:tc>
      </w:tr>
      <w:tr w14:paraId="03DBD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6ABD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7446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砖块面包</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12E0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130</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28C4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DE69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82DE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A06B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r>
      <w:tr w14:paraId="6C2D7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BA8A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0F89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黄油蛋糕</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F2CD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A5A2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79D7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6042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B9EC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r>
      <w:tr w14:paraId="0371C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0F42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0F0F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麻薯</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6DD6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4D4A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4EC5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2FD5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6F91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r>
      <w:tr w14:paraId="7E354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A410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C421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肉松面包</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7E78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4019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8F5C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E646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65B6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r>
      <w:tr w14:paraId="39B85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CA0F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FBBD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吐司</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10B3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3181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B94F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16A1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C851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r>
      <w:tr w14:paraId="7E46D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8FA5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FD2B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虎皮蛋糕</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C2EC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83</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6B26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BB28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223A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92EF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r>
      <w:tr w14:paraId="603E7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586A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7423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蛋挞</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2607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60</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1A9B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9799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86BE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6029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r>
      <w:tr w14:paraId="713CF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8B41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w:t>
            </w:r>
          </w:p>
        </w:tc>
        <w:tc>
          <w:tcPr>
            <w:tcW w:w="1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E623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牛奶小馒头</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0BB7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156F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2E43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FF9F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5C63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r>
    </w:tbl>
    <w:p w14:paraId="036524EF">
      <w:pPr>
        <w:pStyle w:val="92"/>
        <w:keepNext w:val="0"/>
        <w:keepLines w:val="0"/>
        <w:pageBreakBefore w:val="0"/>
        <w:widowControl w:val="0"/>
        <w:kinsoku/>
        <w:wordWrap/>
        <w:overflowPunct/>
        <w:topLinePunct w:val="0"/>
        <w:autoSpaceDE/>
        <w:autoSpaceDN/>
        <w:bidi w:val="0"/>
        <w:adjustRightInd/>
        <w:snapToGrid/>
        <w:spacing w:line="400" w:lineRule="exact"/>
        <w:ind w:firstLine="0" w:firstLineChars="0"/>
        <w:jc w:val="both"/>
        <w:textAlignment w:val="auto"/>
        <w:rPr>
          <w:rFonts w:ascii="宋体" w:hAnsi="宋体" w:cs="宋体"/>
          <w:sz w:val="24"/>
          <w:szCs w:val="24"/>
          <w:shd w:val="clear" w:color="auto" w:fill="FFFFFF"/>
        </w:rPr>
      </w:pPr>
      <w:r>
        <w:rPr>
          <w:rFonts w:ascii="宋体" w:hAnsi="宋体" w:cs="宋体"/>
          <w:b/>
          <w:bCs/>
          <w:sz w:val="24"/>
          <w:szCs w:val="24"/>
          <w:shd w:val="clear" w:color="auto" w:fill="FFFFFF"/>
        </w:rPr>
        <w:t>（</w:t>
      </w:r>
      <w:r>
        <w:rPr>
          <w:rFonts w:hint="eastAsia" w:ascii="宋体" w:hAnsi="宋体" w:cs="宋体"/>
          <w:b/>
          <w:bCs/>
          <w:sz w:val="24"/>
          <w:szCs w:val="24"/>
          <w:shd w:val="clear" w:color="auto" w:fill="FFFFFF"/>
          <w:lang w:val="en-US" w:eastAsia="zh-CN"/>
        </w:rPr>
        <w:t>二</w:t>
      </w:r>
      <w:r>
        <w:rPr>
          <w:rFonts w:ascii="宋体" w:hAnsi="宋体" w:cs="宋体"/>
          <w:b/>
          <w:bCs/>
          <w:sz w:val="24"/>
          <w:szCs w:val="24"/>
          <w:shd w:val="clear" w:color="auto" w:fill="FFFFFF"/>
        </w:rPr>
        <w:t>）采购需求：</w:t>
      </w:r>
    </w:p>
    <w:p w14:paraId="62F17701">
      <w:pPr>
        <w:pStyle w:val="92"/>
        <w:spacing w:line="400" w:lineRule="exact"/>
        <w:ind w:firstLine="480"/>
        <w:jc w:val="both"/>
        <w:rPr>
          <w:rFonts w:ascii="宋体" w:hAnsi="宋体" w:cs="宋体"/>
          <w:bCs/>
          <w:sz w:val="24"/>
          <w:szCs w:val="24"/>
        </w:rPr>
      </w:pPr>
      <w:r>
        <w:rPr>
          <w:rFonts w:ascii="宋体" w:hAnsi="宋体" w:cs="宋体"/>
          <w:bCs/>
          <w:sz w:val="24"/>
          <w:szCs w:val="24"/>
        </w:rPr>
        <w:t>供应商必须在采购方约定的时间前依据采购方需求将食品送到指定地点并进行验收交货，供应商不得以任何理由拒绝供应或随意变更食品，由于特殊情况不能及时供应的，应提前通知采购方，经许可后方可调整。对于临时增加或调整订购的采购方将提前3小时通知成交供应商，成交供应商应在规定的时间内免费送达，不得以任何理由拒绝供货及配送。</w:t>
      </w:r>
    </w:p>
    <w:p w14:paraId="3A2B4604">
      <w:pPr>
        <w:pStyle w:val="92"/>
        <w:ind w:firstLine="0" w:firstLineChars="0"/>
        <w:jc w:val="both"/>
        <w:rPr>
          <w:rFonts w:hint="eastAsia" w:ascii="宋体" w:hAnsi="宋体" w:cs="宋体"/>
          <w:b/>
          <w:kern w:val="0"/>
          <w:sz w:val="24"/>
        </w:rPr>
      </w:pPr>
      <w:r>
        <w:rPr>
          <w:rFonts w:hint="eastAsia" w:ascii="宋体" w:hAnsi="宋体" w:cs="宋体"/>
          <w:b/>
          <w:bCs/>
          <w:sz w:val="24"/>
        </w:rPr>
        <w:t>（</w:t>
      </w:r>
      <w:r>
        <w:rPr>
          <w:rFonts w:hint="eastAsia" w:ascii="宋体" w:hAnsi="宋体" w:cs="宋体"/>
          <w:b/>
          <w:bCs/>
          <w:sz w:val="24"/>
          <w:lang w:val="en-US" w:eastAsia="zh-CN"/>
        </w:rPr>
        <w:t>三</w:t>
      </w:r>
      <w:r>
        <w:rPr>
          <w:rFonts w:hint="eastAsia" w:ascii="宋体" w:hAnsi="宋体" w:cs="宋体"/>
          <w:b/>
          <w:bCs/>
          <w:sz w:val="24"/>
        </w:rPr>
        <w:t>）</w:t>
      </w:r>
      <w:r>
        <w:rPr>
          <w:rFonts w:hint="eastAsia" w:ascii="宋体" w:hAnsi="宋体" w:cs="宋体"/>
          <w:b/>
          <w:kern w:val="0"/>
          <w:sz w:val="24"/>
        </w:rPr>
        <w:t>质量要求：</w:t>
      </w:r>
    </w:p>
    <w:p w14:paraId="5AE7C05A">
      <w:pPr>
        <w:spacing w:line="400" w:lineRule="exact"/>
        <w:ind w:firstLine="240" w:firstLineChars="100"/>
        <w:rPr>
          <w:rFonts w:hint="eastAsia" w:ascii="宋体" w:hAnsi="宋体" w:cs="宋体"/>
          <w:sz w:val="24"/>
        </w:rPr>
      </w:pPr>
      <w:r>
        <w:rPr>
          <w:rFonts w:hint="eastAsia" w:ascii="宋体" w:hAnsi="宋体" w:cs="宋体"/>
          <w:sz w:val="24"/>
        </w:rPr>
        <w:t>（1）所提供的物品必须符合国家有关标准，</w:t>
      </w:r>
      <w:r>
        <w:rPr>
          <w:rFonts w:hint="eastAsia" w:ascii="宋体" w:hAnsi="宋体" w:cs="宋体"/>
          <w:sz w:val="24"/>
          <w:lang w:val="en-US" w:eastAsia="zh-CN"/>
        </w:rPr>
        <w:t>行业相关标准，</w:t>
      </w:r>
      <w:r>
        <w:rPr>
          <w:rFonts w:hint="eastAsia" w:ascii="宋体" w:hAnsi="宋体" w:cs="宋体"/>
          <w:sz w:val="24"/>
        </w:rPr>
        <w:t>保证无异味、无霉烂变质。</w:t>
      </w:r>
    </w:p>
    <w:p w14:paraId="1F63B0F1">
      <w:pPr>
        <w:spacing w:line="400" w:lineRule="exact"/>
        <w:ind w:firstLine="240" w:firstLineChars="100"/>
        <w:rPr>
          <w:rFonts w:hint="eastAsia" w:ascii="宋体" w:hAnsi="宋体" w:cs="宋体"/>
          <w:sz w:val="24"/>
        </w:rPr>
      </w:pPr>
      <w:r>
        <w:rPr>
          <w:rFonts w:hint="eastAsia" w:ascii="宋体" w:hAnsi="宋体" w:cs="宋体"/>
          <w:sz w:val="24"/>
        </w:rPr>
        <w:t>（2） 外观：</w:t>
      </w:r>
      <w:r>
        <w:rPr>
          <w:rFonts w:hint="eastAsia" w:ascii="宋体" w:hAnsi="宋体" w:cs="宋体"/>
          <w:sz w:val="24"/>
          <w:lang w:val="en-US" w:eastAsia="zh-CN"/>
        </w:rPr>
        <w:t>具有独立包装，</w:t>
      </w:r>
      <w:r>
        <w:rPr>
          <w:rFonts w:hint="eastAsia" w:ascii="宋体" w:hAnsi="宋体" w:cs="宋体"/>
          <w:sz w:val="24"/>
        </w:rPr>
        <w:t>表面色泽均匀，无焦斑、霉点、裂缝，形状完整饱满，无明显变形。</w:t>
      </w:r>
      <w:r>
        <w:rPr>
          <w:rFonts w:hint="eastAsia" w:ascii="宋体" w:hAnsi="宋体" w:cs="宋体"/>
          <w:sz w:val="24"/>
          <w:lang w:val="zh-CN" w:eastAsia="zh-CN"/>
        </w:rPr>
        <w:t>货物包装均应原厂原包装，不提供散装或临时包装物品，货物包装符合国家或行业包装要求。</w:t>
      </w:r>
    </w:p>
    <w:p w14:paraId="10E9B98B">
      <w:pPr>
        <w:spacing w:line="360" w:lineRule="auto"/>
        <w:ind w:firstLine="210" w:firstLineChars="100"/>
        <w:rPr>
          <w:rFonts w:hint="eastAsia" w:ascii="宋体" w:hAnsi="宋体" w:eastAsia="宋体" w:cs="宋体"/>
          <w:kern w:val="2"/>
          <w:sz w:val="24"/>
          <w:lang w:val="en-US" w:eastAsia="zh-CN"/>
        </w:rPr>
      </w:pPr>
      <w:r>
        <w:rPr>
          <w:rFonts w:hint="eastAsia" w:ascii="宋体" w:hAnsi="宋体" w:eastAsia="宋体" w:cs="宋体"/>
          <w:kern w:val="2"/>
          <w:sz w:val="21"/>
          <w:lang w:eastAsia="zh-CN"/>
        </w:rPr>
        <w:t>（</w:t>
      </w:r>
      <w:r>
        <w:rPr>
          <w:rFonts w:hint="eastAsia" w:ascii="宋体" w:hAnsi="宋体" w:eastAsia="宋体" w:cs="宋体"/>
          <w:kern w:val="2"/>
          <w:sz w:val="24"/>
          <w:lang w:val="en-US" w:eastAsia="zh-CN"/>
        </w:rPr>
        <w:t>3）气味：具有面包特有的麦香或对应风味（如奶香、杂粮香），无酸败味、霉味、油耗味等异味。</w:t>
      </w:r>
    </w:p>
    <w:p w14:paraId="2A7C4F31">
      <w:pPr>
        <w:spacing w:line="360" w:lineRule="auto"/>
        <w:ind w:firstLine="240" w:firstLineChars="100"/>
        <w:rPr>
          <w:rFonts w:hint="eastAsia" w:ascii="宋体" w:hAnsi="宋体" w:eastAsia="宋体" w:cs="宋体"/>
          <w:kern w:val="2"/>
          <w:sz w:val="24"/>
          <w:lang w:val="en-US" w:eastAsia="zh-CN"/>
        </w:rPr>
      </w:pPr>
      <w:r>
        <w:rPr>
          <w:rFonts w:hint="eastAsia" w:ascii="宋体" w:hAnsi="宋体" w:eastAsia="宋体" w:cs="宋体"/>
          <w:kern w:val="2"/>
          <w:sz w:val="24"/>
          <w:lang w:val="en-US" w:eastAsia="zh-CN"/>
        </w:rPr>
        <w:t>（4）口感：撕开时内部组织细腻，气孔大小均匀，无硬心、黏牙情况；咀嚼时松软有弹性，不噎口。</w:t>
      </w:r>
    </w:p>
    <w:p w14:paraId="7A8295BA">
      <w:pPr>
        <w:spacing w:line="360" w:lineRule="auto"/>
        <w:ind w:firstLine="0" w:firstLineChars="0"/>
        <w:rPr>
          <w:rFonts w:hint="default" w:ascii="宋体" w:hAnsi="宋体" w:eastAsia="宋体" w:cs="宋体"/>
          <w:b/>
          <w:bCs/>
          <w:sz w:val="24"/>
          <w:szCs w:val="24"/>
          <w:shd w:val="clear" w:color="auto" w:fill="FFFFFF"/>
          <w:lang w:val="en-US" w:eastAsia="zh-CN"/>
        </w:rPr>
      </w:pPr>
      <w:r>
        <w:rPr>
          <w:rFonts w:hint="eastAsia" w:ascii="宋体" w:hAnsi="宋体" w:cs="宋体"/>
          <w:b/>
          <w:bCs/>
          <w:sz w:val="24"/>
          <w:szCs w:val="24"/>
          <w:shd w:val="clear" w:color="auto" w:fill="FFFFFF"/>
          <w:lang w:val="en-US" w:eastAsia="zh-CN"/>
        </w:rPr>
        <w:t>（四）</w:t>
      </w:r>
      <w:r>
        <w:rPr>
          <w:rFonts w:ascii="宋体" w:hAnsi="宋体" w:cs="宋体"/>
          <w:b/>
          <w:bCs/>
          <w:sz w:val="24"/>
          <w:szCs w:val="24"/>
        </w:rPr>
        <w:t>基准价及报价要求</w:t>
      </w:r>
    </w:p>
    <w:p w14:paraId="36D4D9F6">
      <w:pPr>
        <w:pStyle w:val="92"/>
        <w:wordWrap w:val="0"/>
        <w:spacing w:line="400" w:lineRule="exact"/>
        <w:ind w:firstLine="482"/>
        <w:jc w:val="both"/>
        <w:rPr>
          <w:rFonts w:ascii="宋体" w:hAnsi="宋体" w:cs="宋体"/>
          <w:b/>
          <w:bCs/>
          <w:color w:val="auto"/>
          <w:sz w:val="24"/>
          <w:szCs w:val="24"/>
          <w:highlight w:val="none"/>
          <w:shd w:val="clear" w:color="auto" w:fill="FFFFFF"/>
        </w:rPr>
      </w:pPr>
      <w:r>
        <w:rPr>
          <w:rFonts w:ascii="宋体" w:hAnsi="宋体" w:cs="宋体"/>
          <w:b/>
          <w:bCs/>
          <w:color w:val="auto"/>
          <w:sz w:val="24"/>
          <w:szCs w:val="24"/>
          <w:highlight w:val="none"/>
          <w:shd w:val="clear" w:color="auto" w:fill="FFFFFF"/>
        </w:rPr>
        <w:t>1.基准价：</w:t>
      </w:r>
      <w:r>
        <w:rPr>
          <w:rFonts w:ascii="宋体" w:hAnsi="宋体" w:cs="宋体"/>
          <w:b/>
          <w:color w:val="auto"/>
          <w:sz w:val="24"/>
          <w:szCs w:val="24"/>
          <w:highlight w:val="none"/>
        </w:rPr>
        <w:t>货物基准价</w:t>
      </w:r>
      <w:r>
        <w:rPr>
          <w:rFonts w:ascii="宋体" w:hAnsi="宋体" w:cs="宋体"/>
          <w:color w:val="auto"/>
          <w:sz w:val="24"/>
          <w:szCs w:val="24"/>
          <w:highlight w:val="none"/>
        </w:rPr>
        <w:t>以龙岩市</w:t>
      </w:r>
      <w:r>
        <w:rPr>
          <w:rFonts w:hint="eastAsia" w:ascii="宋体" w:hAnsi="宋体" w:cs="宋体"/>
          <w:color w:val="auto"/>
          <w:sz w:val="24"/>
          <w:szCs w:val="24"/>
          <w:highlight w:val="none"/>
          <w:lang w:val="en-US" w:eastAsia="zh-CN"/>
        </w:rPr>
        <w:t>大型商超（大润发超市、永辉超市、夏商百货）或大型连锁面包店同类、同规格产品的零售价作为参考</w:t>
      </w:r>
      <w:r>
        <w:rPr>
          <w:rFonts w:ascii="宋体" w:hAnsi="宋体" w:cs="宋体"/>
          <w:color w:val="auto"/>
          <w:sz w:val="24"/>
          <w:szCs w:val="24"/>
          <w:highlight w:val="none"/>
        </w:rPr>
        <w:t>。各单价不能超过龙岩市大型超市（大润发超市</w:t>
      </w:r>
      <w:r>
        <w:rPr>
          <w:rFonts w:hint="eastAsia" w:ascii="宋体" w:hAnsi="宋体" w:cs="宋体"/>
          <w:color w:val="auto"/>
          <w:sz w:val="24"/>
          <w:szCs w:val="24"/>
          <w:highlight w:val="none"/>
          <w:lang w:eastAsia="zh-CN"/>
        </w:rPr>
        <w:t>、</w:t>
      </w:r>
      <w:r>
        <w:rPr>
          <w:rFonts w:ascii="宋体" w:hAnsi="宋体" w:cs="宋体"/>
          <w:color w:val="auto"/>
          <w:sz w:val="24"/>
          <w:szCs w:val="24"/>
          <w:highlight w:val="none"/>
        </w:rPr>
        <w:t>永辉超市、</w:t>
      </w:r>
      <w:r>
        <w:rPr>
          <w:rFonts w:hint="eastAsia" w:ascii="宋体" w:hAnsi="宋体" w:cs="宋体"/>
          <w:color w:val="auto"/>
          <w:sz w:val="24"/>
          <w:szCs w:val="24"/>
          <w:highlight w:val="none"/>
          <w:lang w:val="en-US" w:eastAsia="zh-CN"/>
        </w:rPr>
        <w:t>夏商百货</w:t>
      </w:r>
      <w:r>
        <w:rPr>
          <w:rFonts w:ascii="宋体" w:hAnsi="宋体" w:cs="宋体"/>
          <w:color w:val="auto"/>
          <w:sz w:val="24"/>
          <w:szCs w:val="24"/>
          <w:highlight w:val="none"/>
        </w:rPr>
        <w:t>）</w:t>
      </w:r>
      <w:r>
        <w:rPr>
          <w:rFonts w:hint="eastAsia" w:ascii="宋体" w:hAnsi="宋体" w:cs="宋体"/>
          <w:color w:val="auto"/>
          <w:sz w:val="24"/>
          <w:szCs w:val="24"/>
          <w:highlight w:val="none"/>
          <w:lang w:val="en-US" w:eastAsia="zh-CN"/>
        </w:rPr>
        <w:t>或大型连锁面包店同类、同规格产品牌</w:t>
      </w:r>
      <w:r>
        <w:rPr>
          <w:rFonts w:ascii="宋体" w:hAnsi="宋体" w:cs="宋体"/>
          <w:color w:val="auto"/>
          <w:sz w:val="24"/>
          <w:szCs w:val="24"/>
          <w:highlight w:val="none"/>
        </w:rPr>
        <w:t>面价（特价除外）。</w:t>
      </w:r>
      <w:r>
        <w:rPr>
          <w:rFonts w:ascii="宋体" w:hAnsi="宋体" w:cs="宋体"/>
          <w:b/>
          <w:color w:val="auto"/>
          <w:sz w:val="24"/>
          <w:szCs w:val="24"/>
          <w:highlight w:val="none"/>
        </w:rPr>
        <w:t>以此算出当日某种供应货物的货款=某种货物基准价*（1-投标下浮率）。只有供货价格不高于供货方当日实际零售价时，供应货款才可作为采购人在采购期间购买货物需支付款项的计算依据，即结算价格。</w:t>
      </w:r>
    </w:p>
    <w:p w14:paraId="75C29488">
      <w:pPr>
        <w:pStyle w:val="92"/>
        <w:spacing w:line="400" w:lineRule="exact"/>
        <w:ind w:firstLine="480"/>
        <w:jc w:val="both"/>
        <w:rPr>
          <w:rFonts w:ascii="宋体" w:hAnsi="宋体" w:cs="宋体"/>
          <w:b/>
          <w:bCs/>
          <w:color w:val="auto"/>
          <w:sz w:val="24"/>
          <w:szCs w:val="24"/>
          <w:highlight w:val="none"/>
          <w:shd w:val="clear" w:color="auto" w:fill="FFFFFF"/>
        </w:rPr>
      </w:pPr>
      <w:r>
        <w:rPr>
          <w:rFonts w:ascii="宋体" w:hAnsi="宋体" w:cs="宋体"/>
          <w:b/>
          <w:bCs/>
          <w:color w:val="auto"/>
          <w:sz w:val="24"/>
          <w:szCs w:val="24"/>
          <w:highlight w:val="none"/>
          <w:shd w:val="clear" w:color="auto" w:fill="FFFFFF"/>
        </w:rPr>
        <w:t>2.报价要求：</w:t>
      </w:r>
      <w:r>
        <w:rPr>
          <w:rFonts w:ascii="宋体" w:hAnsi="宋体" w:cs="宋体"/>
          <w:b/>
          <w:bCs/>
          <w:color w:val="auto"/>
          <w:sz w:val="24"/>
          <w:szCs w:val="24"/>
          <w:highlight w:val="none"/>
        </w:rPr>
        <w:t>投标人应</w:t>
      </w:r>
      <w:r>
        <w:rPr>
          <w:rFonts w:hint="eastAsia" w:ascii="宋体" w:hAnsi="宋体" w:cs="宋体"/>
          <w:b/>
          <w:bCs/>
          <w:color w:val="auto"/>
          <w:sz w:val="24"/>
          <w:szCs w:val="24"/>
          <w:highlight w:val="none"/>
          <w:lang w:val="en-US" w:eastAsia="zh-CN"/>
        </w:rPr>
        <w:t>按统一下浮率</w:t>
      </w:r>
      <w:r>
        <w:rPr>
          <w:rFonts w:ascii="宋体" w:hAnsi="宋体" w:cs="宋体"/>
          <w:b/>
          <w:bCs/>
          <w:color w:val="auto"/>
          <w:sz w:val="24"/>
          <w:szCs w:val="24"/>
          <w:highlight w:val="none"/>
        </w:rPr>
        <w:t>投报本项目</w:t>
      </w:r>
      <w:r>
        <w:rPr>
          <w:rFonts w:hint="eastAsia" w:ascii="宋体" w:hAnsi="宋体" w:cs="宋体"/>
          <w:b/>
          <w:bCs/>
          <w:color w:val="auto"/>
          <w:sz w:val="24"/>
          <w:szCs w:val="24"/>
          <w:highlight w:val="none"/>
          <w:lang w:eastAsia="zh-CN"/>
        </w:rPr>
        <w:t>。</w:t>
      </w:r>
    </w:p>
    <w:p w14:paraId="45C32570">
      <w:pPr>
        <w:pStyle w:val="92"/>
        <w:keepNext w:val="0"/>
        <w:keepLines w:val="0"/>
        <w:pageBreakBefore w:val="0"/>
        <w:widowControl/>
        <w:kinsoku/>
        <w:wordWrap/>
        <w:overflowPunct/>
        <w:topLinePunct w:val="0"/>
        <w:autoSpaceDE/>
        <w:autoSpaceDN/>
        <w:bidi w:val="0"/>
        <w:adjustRightInd/>
        <w:snapToGrid/>
        <w:spacing w:before="163" w:beforeLines="50" w:line="400" w:lineRule="exact"/>
        <w:ind w:firstLine="482"/>
        <w:jc w:val="both"/>
        <w:textAlignment w:val="auto"/>
        <w:rPr>
          <w:rFonts w:hint="eastAsia" w:ascii="宋体" w:hAnsi="宋体" w:eastAsia="宋体" w:cs="宋体"/>
          <w:b/>
          <w:bCs/>
          <w:color w:val="auto"/>
          <w:sz w:val="28"/>
          <w:szCs w:val="28"/>
          <w:highlight w:val="none"/>
          <w:shd w:val="clear" w:color="auto" w:fill="FFFFFF"/>
          <w:lang w:val="en-US" w:eastAsia="zh-CN"/>
        </w:rPr>
      </w:pPr>
      <w:r>
        <w:rPr>
          <w:rFonts w:ascii="宋体" w:hAnsi="宋体" w:cs="宋体"/>
          <w:b/>
          <w:bCs/>
          <w:color w:val="auto"/>
          <w:sz w:val="24"/>
          <w:szCs w:val="24"/>
          <w:highlight w:val="none"/>
          <w:shd w:val="clear" w:color="auto" w:fill="FFFFFF"/>
        </w:rPr>
        <w:t>3.</w:t>
      </w:r>
      <w:r>
        <w:rPr>
          <w:rFonts w:ascii="宋体" w:hAnsi="宋体" w:cs="宋体"/>
          <w:b/>
          <w:bCs/>
          <w:color w:val="auto"/>
          <w:sz w:val="24"/>
          <w:szCs w:val="24"/>
          <w:highlight w:val="none"/>
        </w:rPr>
        <w:t>结算价格=</w:t>
      </w:r>
      <w:r>
        <w:rPr>
          <w:rFonts w:hint="eastAsia" w:ascii="宋体" w:hAnsi="宋体" w:cs="宋体"/>
          <w:b/>
          <w:bCs/>
          <w:color w:val="auto"/>
          <w:sz w:val="24"/>
          <w:szCs w:val="24"/>
          <w:highlight w:val="none"/>
          <w:lang w:val="en-US" w:eastAsia="zh-CN"/>
        </w:rPr>
        <w:t>基准价</w:t>
      </w:r>
      <w:r>
        <w:rPr>
          <w:rFonts w:hint="eastAsia" w:ascii="宋体" w:hAnsi="宋体" w:cs="宋体"/>
          <w:b/>
          <w:bCs/>
          <w:color w:val="auto"/>
          <w:sz w:val="24"/>
          <w:szCs w:val="24"/>
          <w:highlight w:val="none"/>
          <w:lang w:eastAsia="zh-CN"/>
        </w:rPr>
        <w:t>（</w:t>
      </w:r>
      <w:r>
        <w:rPr>
          <w:rFonts w:hint="eastAsia" w:ascii="宋体" w:hAnsi="宋体" w:cs="宋体"/>
          <w:b/>
          <w:bCs/>
          <w:color w:val="auto"/>
          <w:sz w:val="24"/>
          <w:szCs w:val="24"/>
          <w:highlight w:val="none"/>
          <w:lang w:val="en-US" w:eastAsia="zh-CN"/>
        </w:rPr>
        <w:t>龙岩市大型超市的牌面价）</w:t>
      </w:r>
      <w:r>
        <w:rPr>
          <w:rFonts w:ascii="宋体" w:hAnsi="宋体" w:cs="宋体"/>
          <w:b/>
          <w:bCs/>
          <w:color w:val="auto"/>
          <w:sz w:val="24"/>
          <w:szCs w:val="24"/>
          <w:highlight w:val="none"/>
        </w:rPr>
        <w:t>×（1-下浮率）</w:t>
      </w:r>
      <w:r>
        <w:rPr>
          <w:rFonts w:hint="eastAsia" w:ascii="宋体" w:hAnsi="宋体" w:cs="宋体"/>
          <w:b/>
          <w:bCs/>
          <w:color w:val="auto"/>
          <w:sz w:val="24"/>
          <w:szCs w:val="24"/>
          <w:highlight w:val="none"/>
          <w:lang w:eastAsia="zh-CN"/>
        </w:rPr>
        <w:t>。</w:t>
      </w:r>
    </w:p>
    <w:p w14:paraId="73C79F22">
      <w:pPr>
        <w:keepNext/>
        <w:keepLines/>
        <w:pageBreakBefore w:val="0"/>
        <w:widowControl w:val="0"/>
        <w:tabs>
          <w:tab w:val="left" w:pos="5852"/>
        </w:tabs>
        <w:kinsoku/>
        <w:wordWrap/>
        <w:overflowPunct/>
        <w:topLinePunct w:val="0"/>
        <w:autoSpaceDE/>
        <w:autoSpaceDN/>
        <w:bidi w:val="0"/>
        <w:adjustRightInd/>
        <w:snapToGrid w:val="0"/>
        <w:spacing w:before="163" w:beforeLines="50" w:line="400" w:lineRule="exact"/>
        <w:ind w:firstLine="0" w:firstLineChars="0"/>
        <w:textAlignment w:val="auto"/>
        <w:outlineLvl w:val="2"/>
        <w:rPr>
          <w:rFonts w:hint="eastAsia" w:ascii="宋体" w:hAnsi="宋体" w:eastAsia="宋体" w:cs="宋体"/>
          <w:b/>
          <w:color w:val="auto"/>
          <w:sz w:val="24"/>
          <w:highlight w:val="none"/>
          <w:lang w:eastAsia="zh-CN"/>
        </w:rPr>
      </w:pPr>
      <w:bookmarkStart w:id="12" w:name="_Toc16834"/>
      <w:r>
        <w:rPr>
          <w:rFonts w:hint="eastAsia" w:ascii="宋体" w:hAnsi="宋体" w:cs="宋体"/>
          <w:b/>
          <w:color w:val="auto"/>
          <w:sz w:val="24"/>
          <w:highlight w:val="none"/>
          <w:lang w:eastAsia="zh-CN"/>
        </w:rPr>
        <w:t>三、其他要求</w:t>
      </w:r>
    </w:p>
    <w:p w14:paraId="5D8660E0">
      <w:pPr>
        <w:keepNext/>
        <w:keepLines/>
        <w:pageBreakBefore w:val="0"/>
        <w:widowControl w:val="0"/>
        <w:tabs>
          <w:tab w:val="left" w:pos="5852"/>
        </w:tabs>
        <w:kinsoku/>
        <w:wordWrap/>
        <w:overflowPunct/>
        <w:topLinePunct w:val="0"/>
        <w:autoSpaceDE/>
        <w:autoSpaceDN/>
        <w:bidi w:val="0"/>
        <w:adjustRightInd/>
        <w:snapToGrid w:val="0"/>
        <w:spacing w:before="163" w:beforeLines="50" w:line="400" w:lineRule="exact"/>
        <w:ind w:firstLine="0" w:firstLineChars="0"/>
        <w:textAlignment w:val="auto"/>
        <w:outlineLvl w:val="2"/>
        <w:rPr>
          <w:rFonts w:hint="eastAsia" w:ascii="宋体" w:hAnsi="宋体" w:cs="宋体"/>
          <w:b/>
          <w:color w:val="auto"/>
          <w:sz w:val="24"/>
          <w:highlight w:val="none"/>
        </w:rPr>
      </w:pPr>
      <w:r>
        <w:rPr>
          <w:rFonts w:hint="eastAsia" w:ascii="宋体" w:hAnsi="宋体" w:cs="宋体"/>
          <w:b/>
          <w:color w:val="auto"/>
          <w:sz w:val="24"/>
          <w:highlight w:val="none"/>
        </w:rPr>
        <w:t>（</w:t>
      </w:r>
      <w:r>
        <w:rPr>
          <w:rFonts w:hint="eastAsia" w:ascii="宋体" w:hAnsi="宋体" w:cs="宋体"/>
          <w:b/>
          <w:color w:val="auto"/>
          <w:sz w:val="24"/>
          <w:highlight w:val="none"/>
          <w:lang w:val="en-US" w:eastAsia="zh-CN"/>
        </w:rPr>
        <w:t>一</w:t>
      </w:r>
      <w:r>
        <w:rPr>
          <w:rFonts w:hint="eastAsia" w:ascii="宋体" w:hAnsi="宋体" w:cs="宋体"/>
          <w:b/>
          <w:color w:val="auto"/>
          <w:sz w:val="24"/>
          <w:highlight w:val="none"/>
        </w:rPr>
        <w:t>）验收标准</w:t>
      </w:r>
      <w:bookmarkEnd w:id="12"/>
    </w:p>
    <w:p w14:paraId="0A3809D2">
      <w:pPr>
        <w:widowControl/>
        <w:spacing w:line="400" w:lineRule="exact"/>
        <w:ind w:firstLine="480" w:firstLineChars="200"/>
        <w:jc w:val="left"/>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1.按国家标准或行业标准验收。</w:t>
      </w:r>
    </w:p>
    <w:p w14:paraId="022A276F">
      <w:pPr>
        <w:widowControl/>
        <w:spacing w:line="400" w:lineRule="exact"/>
        <w:ind w:firstLine="480" w:firstLineChars="200"/>
        <w:jc w:val="left"/>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2.按规定送到指定验收区，采购方和配送方需都在场，按配送单从产品质量、数量、采购要求、凭证等进行核对验收。</w:t>
      </w:r>
    </w:p>
    <w:p w14:paraId="53FB546E">
      <w:pPr>
        <w:widowControl/>
        <w:spacing w:line="400" w:lineRule="exact"/>
        <w:ind w:firstLine="480" w:firstLineChars="200"/>
        <w:jc w:val="left"/>
        <w:rPr>
          <w:rFonts w:hint="eastAsia" w:ascii="宋体" w:hAnsi="宋体" w:cs="宋体"/>
          <w:kern w:val="0"/>
          <w:sz w:val="24"/>
          <w:lang w:val="en-US" w:eastAsia="zh-CN"/>
        </w:rPr>
      </w:pPr>
      <w:r>
        <w:rPr>
          <w:rFonts w:hint="eastAsia" w:ascii="宋体" w:hAnsi="宋体" w:cs="宋体"/>
          <w:kern w:val="0"/>
          <w:sz w:val="24"/>
          <w:lang w:val="en-US" w:eastAsia="zh-CN"/>
        </w:rPr>
        <w:t>3.验收不符合要求或问题食品，现场退货或换货。</w:t>
      </w:r>
    </w:p>
    <w:p w14:paraId="367C02CF">
      <w:pPr>
        <w:widowControl/>
        <w:spacing w:line="400" w:lineRule="exact"/>
        <w:ind w:firstLine="0" w:firstLineChars="0"/>
        <w:jc w:val="left"/>
        <w:rPr>
          <w:rFonts w:hint="eastAsia" w:ascii="宋体" w:hAnsi="宋体" w:cs="宋体"/>
          <w:kern w:val="0"/>
          <w:sz w:val="24"/>
        </w:rPr>
      </w:pPr>
      <w:r>
        <w:rPr>
          <w:rFonts w:hint="eastAsia" w:ascii="宋体" w:hAnsi="宋体" w:cs="宋体"/>
          <w:kern w:val="0"/>
          <w:sz w:val="24"/>
        </w:rPr>
        <w:t xml:space="preserve"> </w:t>
      </w:r>
      <w:r>
        <w:rPr>
          <w:rFonts w:hint="eastAsia" w:ascii="宋体" w:hAnsi="宋体" w:cs="宋体"/>
          <w:kern w:val="0"/>
          <w:sz w:val="24"/>
          <w:lang w:val="en-US" w:eastAsia="zh-CN"/>
        </w:rPr>
        <w:t xml:space="preserve">   4.</w:t>
      </w:r>
      <w:r>
        <w:rPr>
          <w:rFonts w:hint="eastAsia" w:ascii="宋体" w:hAnsi="宋体" w:cs="宋体"/>
          <w:kern w:val="0"/>
          <w:sz w:val="24"/>
        </w:rPr>
        <w:t xml:space="preserve">交货验收程序如下 </w:t>
      </w:r>
    </w:p>
    <w:p w14:paraId="5A5F3B67">
      <w:pPr>
        <w:widowControl/>
        <w:numPr>
          <w:ilvl w:val="0"/>
          <w:numId w:val="0"/>
        </w:numPr>
        <w:spacing w:line="400" w:lineRule="exact"/>
        <w:ind w:left="426" w:leftChars="202" w:hanging="2" w:hangingChars="1"/>
        <w:jc w:val="left"/>
        <w:rPr>
          <w:rFonts w:hint="eastAsia" w:ascii="宋体" w:hAnsi="宋体" w:cs="宋体"/>
          <w:kern w:val="0"/>
          <w:sz w:val="24"/>
        </w:rPr>
      </w:pPr>
      <w:r>
        <w:rPr>
          <w:rFonts w:hint="default" w:ascii="宋体" w:hAnsi="宋体" w:cs="宋体"/>
          <w:kern w:val="0"/>
          <w:sz w:val="24"/>
          <w:szCs w:val="24"/>
          <w:lang w:val="en-US" w:eastAsia="zh-CN" w:bidi="ar-SA"/>
        </w:rPr>
        <w:t>(1)</w:t>
      </w:r>
      <w:r>
        <w:rPr>
          <w:rFonts w:hint="eastAsia" w:ascii="宋体" w:hAnsi="宋体" w:cs="宋体"/>
          <w:kern w:val="0"/>
          <w:sz w:val="24"/>
        </w:rPr>
        <w:t xml:space="preserve">双方人员核对订货单据； </w:t>
      </w:r>
    </w:p>
    <w:p w14:paraId="45435BBD">
      <w:pPr>
        <w:widowControl/>
        <w:numPr>
          <w:ilvl w:val="0"/>
          <w:numId w:val="0"/>
        </w:numPr>
        <w:spacing w:line="400" w:lineRule="exact"/>
        <w:ind w:left="426" w:leftChars="202" w:hanging="2" w:hangingChars="1"/>
        <w:jc w:val="left"/>
        <w:rPr>
          <w:rFonts w:hint="eastAsia" w:ascii="宋体" w:hAnsi="宋体" w:cs="宋体"/>
          <w:kern w:val="0"/>
          <w:sz w:val="24"/>
        </w:rPr>
      </w:pPr>
      <w:r>
        <w:rPr>
          <w:rFonts w:hint="default" w:ascii="宋体" w:hAnsi="宋体" w:cs="宋体"/>
          <w:kern w:val="0"/>
          <w:sz w:val="24"/>
          <w:szCs w:val="24"/>
          <w:lang w:val="en-US" w:eastAsia="zh-CN" w:bidi="ar-SA"/>
        </w:rPr>
        <w:t>(2)</w:t>
      </w:r>
      <w:r>
        <w:rPr>
          <w:rFonts w:hint="eastAsia" w:ascii="宋体" w:hAnsi="宋体" w:cs="宋体"/>
          <w:kern w:val="0"/>
          <w:sz w:val="24"/>
        </w:rPr>
        <w:t>货物包装检查：包装检查不合格的，采购人有权拒收包装不合格的货物，做退货</w:t>
      </w:r>
    </w:p>
    <w:p w14:paraId="1281DB35">
      <w:pPr>
        <w:widowControl/>
        <w:numPr>
          <w:ilvl w:val="0"/>
          <w:numId w:val="0"/>
        </w:numPr>
        <w:spacing w:line="400" w:lineRule="exact"/>
        <w:jc w:val="left"/>
        <w:rPr>
          <w:rFonts w:hint="eastAsia" w:ascii="宋体" w:hAnsi="宋体" w:cs="宋体"/>
          <w:kern w:val="0"/>
          <w:sz w:val="24"/>
        </w:rPr>
      </w:pPr>
      <w:r>
        <w:rPr>
          <w:rFonts w:hint="eastAsia" w:ascii="宋体" w:hAnsi="宋体" w:cs="宋体"/>
          <w:kern w:val="0"/>
          <w:sz w:val="24"/>
        </w:rPr>
        <w:t xml:space="preserve">处理或服务方负责更换货物； </w:t>
      </w:r>
    </w:p>
    <w:p w14:paraId="3539A64E">
      <w:pPr>
        <w:widowControl/>
        <w:numPr>
          <w:ilvl w:val="0"/>
          <w:numId w:val="0"/>
        </w:numPr>
        <w:spacing w:line="400" w:lineRule="exact"/>
        <w:ind w:left="426" w:leftChars="202" w:hanging="2" w:hangingChars="1"/>
        <w:jc w:val="left"/>
        <w:rPr>
          <w:rFonts w:hint="eastAsia" w:ascii="宋体" w:hAnsi="宋体" w:cs="宋体"/>
          <w:kern w:val="0"/>
          <w:sz w:val="24"/>
        </w:rPr>
      </w:pPr>
      <w:r>
        <w:rPr>
          <w:rFonts w:hint="default" w:ascii="宋体" w:hAnsi="宋体" w:cs="宋体"/>
          <w:kern w:val="0"/>
          <w:sz w:val="24"/>
          <w:szCs w:val="24"/>
          <w:lang w:val="en-US" w:eastAsia="zh-CN" w:bidi="ar-SA"/>
        </w:rPr>
        <w:t>(3)</w:t>
      </w:r>
      <w:r>
        <w:rPr>
          <w:rFonts w:hint="eastAsia" w:ascii="宋体" w:hAnsi="宋体" w:cs="宋体"/>
          <w:kern w:val="0"/>
          <w:sz w:val="24"/>
        </w:rPr>
        <w:t>保质期检查：保质期检查不合格的，采购人有权拒收保质期不合格的货物，做退</w:t>
      </w:r>
    </w:p>
    <w:p w14:paraId="1A8BB915">
      <w:pPr>
        <w:widowControl/>
        <w:numPr>
          <w:ilvl w:val="0"/>
          <w:numId w:val="0"/>
        </w:numPr>
        <w:spacing w:line="400" w:lineRule="exact"/>
        <w:jc w:val="left"/>
        <w:rPr>
          <w:rFonts w:hint="eastAsia" w:ascii="宋体" w:hAnsi="宋体" w:cs="宋体"/>
          <w:kern w:val="0"/>
          <w:sz w:val="24"/>
        </w:rPr>
      </w:pPr>
      <w:r>
        <w:rPr>
          <w:rFonts w:hint="eastAsia" w:ascii="宋体" w:hAnsi="宋体" w:cs="宋体"/>
          <w:kern w:val="0"/>
          <w:sz w:val="24"/>
        </w:rPr>
        <w:t xml:space="preserve">货处理或服务方负责更换货物； </w:t>
      </w:r>
    </w:p>
    <w:p w14:paraId="313775FF">
      <w:pPr>
        <w:widowControl/>
        <w:numPr>
          <w:ilvl w:val="0"/>
          <w:numId w:val="0"/>
        </w:numPr>
        <w:spacing w:line="400" w:lineRule="exact"/>
        <w:ind w:left="426" w:leftChars="202" w:hanging="2" w:hangingChars="1"/>
        <w:jc w:val="left"/>
        <w:rPr>
          <w:rFonts w:hint="eastAsia" w:ascii="宋体" w:hAnsi="宋体" w:cs="宋体"/>
          <w:kern w:val="0"/>
          <w:sz w:val="24"/>
        </w:rPr>
      </w:pPr>
      <w:r>
        <w:rPr>
          <w:rFonts w:hint="default" w:ascii="宋体" w:hAnsi="宋体" w:cs="宋体"/>
          <w:kern w:val="0"/>
          <w:sz w:val="24"/>
          <w:szCs w:val="24"/>
          <w:lang w:val="en-US" w:eastAsia="zh-CN" w:bidi="ar-SA"/>
        </w:rPr>
        <w:t>(</w:t>
      </w:r>
      <w:r>
        <w:rPr>
          <w:rFonts w:hint="eastAsia" w:ascii="宋体" w:hAnsi="宋体" w:cs="宋体"/>
          <w:kern w:val="0"/>
          <w:sz w:val="24"/>
          <w:szCs w:val="24"/>
          <w:lang w:val="en-US" w:eastAsia="zh-CN" w:bidi="ar-SA"/>
        </w:rPr>
        <w:t>4</w:t>
      </w:r>
      <w:r>
        <w:rPr>
          <w:rFonts w:hint="default" w:ascii="宋体" w:hAnsi="宋体" w:cs="宋体"/>
          <w:kern w:val="0"/>
          <w:sz w:val="24"/>
          <w:szCs w:val="24"/>
          <w:lang w:val="en-US" w:eastAsia="zh-CN" w:bidi="ar-SA"/>
        </w:rPr>
        <w:t>)</w:t>
      </w:r>
      <w:r>
        <w:rPr>
          <w:rFonts w:hint="eastAsia" w:ascii="宋体" w:hAnsi="宋体" w:cs="宋体"/>
          <w:kern w:val="0"/>
          <w:sz w:val="24"/>
        </w:rPr>
        <w:t>数量检查：数量短缺的，服务方必须按照订单补齐货物；送货数量超出订货数量</w:t>
      </w:r>
    </w:p>
    <w:p w14:paraId="4DD18A53">
      <w:pPr>
        <w:widowControl/>
        <w:numPr>
          <w:ilvl w:val="0"/>
          <w:numId w:val="0"/>
        </w:numPr>
        <w:spacing w:line="400" w:lineRule="exact"/>
        <w:jc w:val="left"/>
        <w:rPr>
          <w:rFonts w:hint="eastAsia" w:ascii="宋体" w:hAnsi="宋体" w:cs="宋体"/>
          <w:kern w:val="0"/>
          <w:sz w:val="24"/>
        </w:rPr>
      </w:pPr>
      <w:r>
        <w:rPr>
          <w:rFonts w:hint="eastAsia" w:ascii="宋体" w:hAnsi="宋体" w:cs="宋体"/>
          <w:kern w:val="0"/>
          <w:sz w:val="24"/>
        </w:rPr>
        <w:t>的，超出部分采购人有权拒收，服务方自行将多余货物清运出采购人场所；</w:t>
      </w:r>
    </w:p>
    <w:p w14:paraId="6EFCD5DF">
      <w:pPr>
        <w:widowControl/>
        <w:numPr>
          <w:ilvl w:val="-1"/>
          <w:numId w:val="0"/>
        </w:numPr>
        <w:spacing w:line="360" w:lineRule="auto"/>
        <w:ind w:firstLine="480" w:firstLineChars="200"/>
        <w:jc w:val="left"/>
        <w:rPr>
          <w:rFonts w:hint="default" w:ascii="Times New Roman" w:hAnsi="Times New Roman" w:cs="Times New Roman"/>
          <w:kern w:val="2"/>
          <w:sz w:val="24"/>
        </w:rPr>
      </w:pPr>
      <w:r>
        <w:rPr>
          <w:rFonts w:hint="default" w:ascii="Times New Roman" w:hAnsi="Times New Roman" w:cs="Times New Roman"/>
          <w:kern w:val="2"/>
          <w:sz w:val="24"/>
          <w:szCs w:val="24"/>
          <w:lang w:val="en-US" w:eastAsia="zh-CN" w:bidi="ar-SA"/>
        </w:rPr>
        <w:t>(5)</w:t>
      </w:r>
      <w:r>
        <w:rPr>
          <w:rFonts w:hint="default" w:ascii="Times New Roman" w:hAnsi="Times New Roman" w:cs="Times New Roman"/>
          <w:kern w:val="2"/>
          <w:sz w:val="24"/>
        </w:rPr>
        <w:t>其它要求，如服务方配送的货物未达到采购人向服务方上报的采购</w:t>
      </w:r>
      <w:r>
        <w:rPr>
          <w:rFonts w:hint="default" w:ascii="Times New Roman" w:hAnsi="Times New Roman" w:cs="Times New Roman"/>
          <w:kern w:val="2"/>
          <w:sz w:val="24"/>
          <w:lang w:eastAsia="zh-CN"/>
        </w:rPr>
        <w:t>，</w:t>
      </w:r>
      <w:r>
        <w:rPr>
          <w:rFonts w:hint="default" w:ascii="Times New Roman" w:hAnsi="Times New Roman" w:cs="Times New Roman"/>
          <w:kern w:val="2"/>
          <w:sz w:val="24"/>
        </w:rPr>
        <w:t xml:space="preserve">清单中的货物品名、单位、数量及有关特别说明或要求的，采购人有权拒收，服务方不得有异议。 </w:t>
      </w:r>
    </w:p>
    <w:p w14:paraId="076166DB">
      <w:pPr>
        <w:widowControl/>
        <w:numPr>
          <w:ilvl w:val="0"/>
          <w:numId w:val="0"/>
        </w:numPr>
        <w:spacing w:line="400" w:lineRule="exact"/>
        <w:ind w:left="426" w:leftChars="202" w:hanging="2" w:hangingChars="1"/>
        <w:jc w:val="left"/>
        <w:rPr>
          <w:rFonts w:hint="eastAsia" w:ascii="宋体" w:hAnsi="宋体" w:cs="宋体"/>
          <w:kern w:val="0"/>
          <w:sz w:val="24"/>
        </w:rPr>
      </w:pPr>
      <w:r>
        <w:rPr>
          <w:rFonts w:hint="default" w:ascii="宋体" w:hAnsi="宋体" w:cs="宋体"/>
          <w:kern w:val="0"/>
          <w:sz w:val="24"/>
          <w:szCs w:val="24"/>
          <w:lang w:val="en-US" w:eastAsia="zh-CN" w:bidi="ar-SA"/>
        </w:rPr>
        <w:t>(</w:t>
      </w:r>
      <w:r>
        <w:rPr>
          <w:rFonts w:hint="eastAsia" w:ascii="宋体" w:hAnsi="宋体" w:cs="宋体"/>
          <w:kern w:val="0"/>
          <w:sz w:val="24"/>
          <w:szCs w:val="24"/>
          <w:lang w:val="en-US" w:eastAsia="zh-CN" w:bidi="ar-SA"/>
        </w:rPr>
        <w:t>6</w:t>
      </w:r>
      <w:r>
        <w:rPr>
          <w:rFonts w:hint="default" w:ascii="宋体" w:hAnsi="宋体" w:cs="宋体"/>
          <w:kern w:val="0"/>
          <w:sz w:val="24"/>
          <w:szCs w:val="24"/>
          <w:lang w:val="en-US" w:eastAsia="zh-CN" w:bidi="ar-SA"/>
        </w:rPr>
        <w:t>)</w:t>
      </w:r>
      <w:r>
        <w:rPr>
          <w:rFonts w:hint="eastAsia" w:ascii="宋体" w:hAnsi="宋体" w:cs="宋体"/>
          <w:kern w:val="0"/>
          <w:sz w:val="24"/>
        </w:rPr>
        <w:t>货物验收合格后，双方</w:t>
      </w:r>
      <w:r>
        <w:rPr>
          <w:rFonts w:hint="eastAsia" w:ascii="宋体" w:hAnsi="宋体" w:cs="宋体"/>
          <w:color w:val="auto"/>
          <w:kern w:val="0"/>
          <w:sz w:val="24"/>
        </w:rPr>
        <w:t>在送货单</w:t>
      </w:r>
      <w:r>
        <w:rPr>
          <w:rFonts w:hint="eastAsia" w:ascii="宋体" w:hAnsi="宋体" w:cs="宋体"/>
          <w:kern w:val="0"/>
          <w:sz w:val="24"/>
        </w:rPr>
        <w:t>上签字确认，验收登记表作为支付依据。</w:t>
      </w:r>
    </w:p>
    <w:p w14:paraId="71B3A450">
      <w:pPr>
        <w:keepNext w:val="0"/>
        <w:keepLines w:val="0"/>
        <w:pageBreakBefore w:val="0"/>
        <w:widowControl/>
        <w:kinsoku/>
        <w:wordWrap/>
        <w:overflowPunct/>
        <w:topLinePunct w:val="0"/>
        <w:autoSpaceDE/>
        <w:autoSpaceDN/>
        <w:bidi w:val="0"/>
        <w:adjustRightInd/>
        <w:snapToGrid/>
        <w:spacing w:before="240" w:line="400" w:lineRule="exact"/>
        <w:ind w:firstLine="0" w:firstLineChars="0"/>
        <w:jc w:val="left"/>
        <w:textAlignment w:val="auto"/>
        <w:rPr>
          <w:rFonts w:hint="eastAsia" w:ascii="宋体" w:hAnsi="宋体" w:cs="宋体"/>
          <w:b/>
          <w:bCs/>
          <w:kern w:val="0"/>
          <w:sz w:val="24"/>
        </w:rPr>
      </w:pPr>
      <w:r>
        <w:rPr>
          <w:rFonts w:hint="eastAsia" w:ascii="宋体" w:hAnsi="宋体" w:cs="宋体"/>
          <w:b/>
          <w:bCs/>
          <w:kern w:val="0"/>
          <w:sz w:val="24"/>
        </w:rPr>
        <w:t>（</w:t>
      </w:r>
      <w:r>
        <w:rPr>
          <w:rFonts w:hint="eastAsia" w:ascii="宋体" w:hAnsi="宋体" w:cs="宋体"/>
          <w:b/>
          <w:bCs/>
          <w:kern w:val="0"/>
          <w:sz w:val="24"/>
          <w:lang w:val="en-US" w:eastAsia="zh-CN"/>
        </w:rPr>
        <w:t>二</w:t>
      </w:r>
      <w:r>
        <w:rPr>
          <w:rFonts w:hint="eastAsia" w:ascii="宋体" w:hAnsi="宋体" w:cs="宋体"/>
          <w:b/>
          <w:bCs/>
          <w:kern w:val="0"/>
          <w:sz w:val="24"/>
        </w:rPr>
        <w:t>）</w:t>
      </w:r>
      <w:r>
        <w:rPr>
          <w:rFonts w:hint="eastAsia" w:ascii="宋体" w:hAnsi="宋体" w:cs="宋体"/>
          <w:b/>
          <w:bCs/>
          <w:kern w:val="0"/>
          <w:sz w:val="24"/>
          <w:lang w:eastAsia="zh-CN"/>
        </w:rPr>
        <w:t>责任</w:t>
      </w:r>
      <w:r>
        <w:rPr>
          <w:rFonts w:hint="eastAsia" w:ascii="宋体" w:hAnsi="宋体" w:cs="宋体"/>
          <w:b/>
          <w:bCs/>
          <w:kern w:val="0"/>
          <w:sz w:val="24"/>
        </w:rPr>
        <w:t>要求</w:t>
      </w:r>
    </w:p>
    <w:p w14:paraId="3DC59140">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kern w:val="0"/>
          <w:sz w:val="24"/>
        </w:rPr>
      </w:pPr>
      <w:r>
        <w:rPr>
          <w:rFonts w:hint="eastAsia" w:ascii="宋体" w:hAnsi="宋体" w:cs="宋体"/>
          <w:kern w:val="0"/>
          <w:sz w:val="24"/>
        </w:rPr>
        <w:t>1.若成交供应商</w:t>
      </w:r>
      <w:r>
        <w:rPr>
          <w:rFonts w:hint="eastAsia" w:ascii="宋体" w:hAnsi="宋体" w:cs="宋体"/>
          <w:kern w:val="0"/>
          <w:sz w:val="24"/>
          <w:lang w:eastAsia="zh-CN"/>
        </w:rPr>
        <w:t>按约定的时间</w:t>
      </w:r>
      <w:r>
        <w:rPr>
          <w:rFonts w:hint="eastAsia" w:ascii="宋体" w:hAnsi="宋体" w:cs="宋体"/>
          <w:kern w:val="0"/>
          <w:sz w:val="24"/>
        </w:rPr>
        <w:t>前不能配送到位的，成交供应商还应赔偿由此给采购人造成的损失。根据配送时间不准时的次数进行登记，登记次数不超过3次。</w:t>
      </w:r>
    </w:p>
    <w:p w14:paraId="4C44E075">
      <w:pPr>
        <w:widowControl/>
        <w:spacing w:line="360" w:lineRule="auto"/>
        <w:ind w:firstLine="480" w:firstLineChars="200"/>
        <w:jc w:val="left"/>
        <w:rPr>
          <w:rFonts w:hint="default" w:ascii="Times New Roman" w:hAnsi="Times New Roman" w:cs="Times New Roman"/>
          <w:bCs w:val="0"/>
          <w:kern w:val="2"/>
          <w:sz w:val="24"/>
        </w:rPr>
      </w:pPr>
      <w:r>
        <w:rPr>
          <w:rFonts w:hint="default" w:ascii="Times New Roman" w:hAnsi="Times New Roman" w:cs="Times New Roman"/>
          <w:kern w:val="2"/>
          <w:sz w:val="24"/>
          <w:lang w:val="en-US" w:eastAsia="zh-CN"/>
        </w:rPr>
        <w:t>2</w:t>
      </w:r>
      <w:r>
        <w:rPr>
          <w:rFonts w:hint="default" w:ascii="Times New Roman" w:hAnsi="Times New Roman" w:cs="Times New Roman"/>
          <w:kern w:val="2"/>
          <w:sz w:val="24"/>
        </w:rPr>
        <w:t>.对于货物质量有问题或产品过期产生质量问题的，成交供应商须在接到采购人明确指示后1小时内完成货物更换，登记次数不超过1次。</w:t>
      </w:r>
    </w:p>
    <w:p w14:paraId="0508ABEB">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bCs/>
          <w:kern w:val="0"/>
          <w:sz w:val="24"/>
        </w:rPr>
      </w:pPr>
      <w:r>
        <w:rPr>
          <w:rFonts w:hint="eastAsia" w:ascii="宋体" w:hAnsi="宋体" w:cs="宋体"/>
          <w:bCs/>
          <w:kern w:val="0"/>
          <w:sz w:val="24"/>
          <w:lang w:val="en-US" w:eastAsia="zh-CN"/>
        </w:rPr>
        <w:t>3</w:t>
      </w:r>
      <w:r>
        <w:rPr>
          <w:rFonts w:hint="eastAsia" w:ascii="宋体" w:hAnsi="宋体" w:cs="宋体"/>
          <w:bCs/>
          <w:kern w:val="0"/>
          <w:sz w:val="24"/>
        </w:rPr>
        <w:t>.若出现以上任一情况，采购人有权单方解除本合同，且不得参与下一年度的采购竞标。</w:t>
      </w:r>
    </w:p>
    <w:p w14:paraId="7D487219">
      <w:pPr>
        <w:adjustRightInd w:val="0"/>
        <w:spacing w:line="360" w:lineRule="auto"/>
        <w:ind w:firstLine="0" w:firstLineChars="0"/>
        <w:textAlignment w:val="baseline"/>
        <w:rPr>
          <w:rFonts w:hint="eastAsia" w:ascii="宋体" w:hAnsi="宋体" w:cs="宋体"/>
          <w:b/>
          <w:bCs/>
          <w:kern w:val="0"/>
          <w:sz w:val="24"/>
        </w:rPr>
      </w:pPr>
      <w:r>
        <w:rPr>
          <w:rFonts w:hint="eastAsia" w:ascii="宋体" w:hAnsi="宋体" w:cs="宋体"/>
          <w:b/>
          <w:bCs/>
          <w:kern w:val="0"/>
          <w:sz w:val="24"/>
        </w:rPr>
        <w:t>（</w:t>
      </w:r>
      <w:r>
        <w:rPr>
          <w:rFonts w:hint="eastAsia" w:ascii="宋体" w:hAnsi="宋体" w:cs="宋体"/>
          <w:b/>
          <w:bCs/>
          <w:kern w:val="0"/>
          <w:sz w:val="24"/>
          <w:lang w:val="en-US" w:eastAsia="zh-CN"/>
        </w:rPr>
        <w:t>三</w:t>
      </w:r>
      <w:r>
        <w:rPr>
          <w:rFonts w:hint="eastAsia" w:ascii="宋体" w:hAnsi="宋体" w:cs="宋体"/>
          <w:b/>
          <w:bCs/>
          <w:kern w:val="0"/>
          <w:sz w:val="24"/>
        </w:rPr>
        <w:t>）违约责任</w:t>
      </w:r>
    </w:p>
    <w:p w14:paraId="6960C0C2">
      <w:pPr>
        <w:widowControl/>
        <w:adjustRightInd w:val="0"/>
        <w:spacing w:line="360" w:lineRule="auto"/>
        <w:ind w:firstLine="240" w:firstLineChars="100"/>
        <w:jc w:val="left"/>
        <w:textAlignment w:val="baseline"/>
        <w:rPr>
          <w:rFonts w:hint="eastAsia" w:ascii="宋体" w:hAnsi="宋体" w:cs="宋体"/>
          <w:kern w:val="0"/>
          <w:sz w:val="24"/>
        </w:rPr>
      </w:pPr>
      <w:r>
        <w:rPr>
          <w:rFonts w:hint="eastAsia" w:ascii="宋体" w:hAnsi="宋体" w:cs="宋体"/>
          <w:kern w:val="0"/>
          <w:sz w:val="24"/>
        </w:rPr>
        <w:t>（1）单次配送迟到超过</w:t>
      </w:r>
      <w:r>
        <w:rPr>
          <w:rFonts w:hint="eastAsia" w:ascii="宋体" w:hAnsi="宋体" w:cs="宋体"/>
          <w:kern w:val="0"/>
          <w:sz w:val="24"/>
          <w:lang w:val="en-US" w:eastAsia="zh-CN"/>
        </w:rPr>
        <w:t>2</w:t>
      </w:r>
      <w:r>
        <w:rPr>
          <w:rFonts w:hint="eastAsia" w:ascii="宋体" w:hAnsi="宋体" w:cs="宋体"/>
          <w:kern w:val="0"/>
          <w:sz w:val="24"/>
        </w:rPr>
        <w:t>次的（不可抗力的因素除外）。</w:t>
      </w:r>
    </w:p>
    <w:p w14:paraId="0EC6071A">
      <w:pPr>
        <w:widowControl/>
        <w:spacing w:line="400" w:lineRule="exact"/>
        <w:ind w:firstLine="240" w:firstLineChars="100"/>
        <w:jc w:val="left"/>
        <w:rPr>
          <w:rFonts w:hint="eastAsia" w:ascii="宋体" w:hAnsi="宋体" w:cs="宋体"/>
          <w:kern w:val="0"/>
          <w:sz w:val="24"/>
        </w:rPr>
      </w:pPr>
      <w:r>
        <w:rPr>
          <w:rFonts w:hint="eastAsia" w:ascii="宋体" w:hAnsi="宋体" w:cs="宋体"/>
          <w:kern w:val="0"/>
          <w:sz w:val="24"/>
        </w:rPr>
        <w:t>（2）单次配送的产品出现质量问题（产品过期）1次的。</w:t>
      </w:r>
    </w:p>
    <w:p w14:paraId="23293AE3">
      <w:pPr>
        <w:widowControl/>
        <w:spacing w:line="400" w:lineRule="exact"/>
        <w:ind w:firstLine="240" w:firstLineChars="100"/>
        <w:jc w:val="left"/>
        <w:rPr>
          <w:rFonts w:hint="eastAsia" w:ascii="宋体" w:hAnsi="宋体" w:cs="宋体"/>
          <w:kern w:val="0"/>
          <w:sz w:val="24"/>
        </w:rPr>
      </w:pPr>
      <w:r>
        <w:rPr>
          <w:rFonts w:hint="eastAsia" w:ascii="宋体" w:hAnsi="宋体" w:cs="宋体"/>
          <w:kern w:val="0"/>
          <w:sz w:val="24"/>
        </w:rPr>
        <w:t>（3）单次配送的产品出现“三无”或假冒伪劣产品1次的。</w:t>
      </w:r>
    </w:p>
    <w:p w14:paraId="4E2810D9">
      <w:pPr>
        <w:widowControl/>
        <w:spacing w:line="400" w:lineRule="exact"/>
        <w:ind w:firstLine="240" w:firstLineChars="100"/>
        <w:jc w:val="left"/>
        <w:rPr>
          <w:rFonts w:hint="eastAsia" w:ascii="宋体" w:hAnsi="宋体" w:cs="宋体"/>
          <w:kern w:val="0"/>
          <w:sz w:val="24"/>
        </w:rPr>
      </w:pPr>
      <w:r>
        <w:rPr>
          <w:rFonts w:hint="eastAsia" w:ascii="宋体" w:hAnsi="宋体" w:cs="宋体"/>
          <w:kern w:val="0"/>
          <w:sz w:val="24"/>
        </w:rPr>
        <w:t>（4）成交供应商无故中断货源、停止供货，经向采购人采购部门说明理由仍不予采信的。</w:t>
      </w:r>
    </w:p>
    <w:p w14:paraId="23A854E5">
      <w:pPr>
        <w:widowControl/>
        <w:spacing w:line="400" w:lineRule="exact"/>
        <w:ind w:firstLine="240" w:firstLineChars="100"/>
        <w:jc w:val="left"/>
        <w:rPr>
          <w:rFonts w:hint="eastAsia" w:ascii="宋体" w:hAnsi="宋体" w:cs="宋体"/>
          <w:kern w:val="0"/>
          <w:sz w:val="24"/>
        </w:rPr>
      </w:pPr>
      <w:r>
        <w:rPr>
          <w:rFonts w:hint="eastAsia" w:ascii="宋体" w:hAnsi="宋体" w:cs="宋体"/>
          <w:kern w:val="0"/>
          <w:sz w:val="24"/>
        </w:rPr>
        <w:t>（5）</w:t>
      </w:r>
      <w:r>
        <w:rPr>
          <w:rFonts w:hint="eastAsia" w:ascii="宋体" w:hAnsi="宋体" w:cs="宋体"/>
          <w:b/>
          <w:kern w:val="0"/>
          <w:sz w:val="24"/>
        </w:rPr>
        <w:t>本项目不允许成交供应商以任何名义和理由在中标后将</w:t>
      </w:r>
      <w:r>
        <w:rPr>
          <w:rFonts w:hint="eastAsia" w:ascii="宋体" w:hAnsi="宋体" w:cs="宋体"/>
          <w:b/>
          <w:kern w:val="0"/>
          <w:sz w:val="24"/>
          <w:lang w:val="en-US" w:eastAsia="zh-CN"/>
        </w:rPr>
        <w:t>本项目</w:t>
      </w:r>
      <w:r>
        <w:rPr>
          <w:rFonts w:hint="eastAsia" w:ascii="宋体" w:hAnsi="宋体" w:cs="宋体"/>
          <w:b/>
          <w:kern w:val="0"/>
          <w:sz w:val="24"/>
        </w:rPr>
        <w:t>进行转包、分包。在履行合同过程中如有发现，采购人有权单方终止合同。视为成交供应商违约，因违约对采购人造成的损失的，需另行支付相应的赔偿，并追究相关法律责任。</w:t>
      </w:r>
    </w:p>
    <w:p w14:paraId="67929C84">
      <w:pPr>
        <w:widowControl/>
        <w:spacing w:before="240" w:line="400" w:lineRule="exact"/>
        <w:ind w:firstLine="0" w:firstLineChars="0"/>
        <w:jc w:val="left"/>
        <w:rPr>
          <w:rFonts w:hint="eastAsia" w:ascii="宋体" w:hAnsi="宋体" w:cs="宋体"/>
          <w:b/>
          <w:bCs/>
          <w:kern w:val="0"/>
          <w:sz w:val="24"/>
        </w:rPr>
      </w:pPr>
      <w:r>
        <w:rPr>
          <w:rFonts w:hint="eastAsia" w:ascii="宋体" w:hAnsi="宋体" w:cs="宋体"/>
          <w:b/>
          <w:bCs/>
          <w:kern w:val="0"/>
          <w:sz w:val="24"/>
        </w:rPr>
        <w:t>（</w:t>
      </w:r>
      <w:r>
        <w:rPr>
          <w:rFonts w:hint="eastAsia" w:ascii="宋体" w:hAnsi="宋体" w:cs="宋体"/>
          <w:b/>
          <w:bCs/>
          <w:kern w:val="0"/>
          <w:sz w:val="24"/>
          <w:lang w:val="en-US" w:eastAsia="zh-CN"/>
        </w:rPr>
        <w:t>四</w:t>
      </w:r>
      <w:r>
        <w:rPr>
          <w:rFonts w:hint="eastAsia" w:ascii="宋体" w:hAnsi="宋体" w:cs="宋体"/>
          <w:b/>
          <w:bCs/>
          <w:kern w:val="0"/>
          <w:sz w:val="24"/>
        </w:rPr>
        <w:t xml:space="preserve">）其他条款 </w:t>
      </w:r>
    </w:p>
    <w:p w14:paraId="7650E9C3">
      <w:pPr>
        <w:widowControl/>
        <w:numPr>
          <w:ilvl w:val="0"/>
          <w:numId w:val="0"/>
        </w:numPr>
        <w:spacing w:line="400" w:lineRule="exact"/>
        <w:ind w:left="0" w:leftChars="0" w:firstLine="480" w:firstLineChars="200"/>
        <w:jc w:val="left"/>
        <w:rPr>
          <w:rFonts w:hint="eastAsia" w:ascii="宋体" w:hAnsi="宋体" w:cs="宋体"/>
          <w:kern w:val="0"/>
          <w:sz w:val="24"/>
        </w:rPr>
      </w:pPr>
      <w:r>
        <w:rPr>
          <w:rFonts w:hint="eastAsia" w:ascii="宋体" w:hAnsi="宋体" w:cs="宋体"/>
          <w:kern w:val="0"/>
          <w:sz w:val="24"/>
          <w:szCs w:val="24"/>
          <w:lang w:val="en-US" w:eastAsia="zh-CN" w:bidi="ar-SA"/>
        </w:rPr>
        <w:t>1.</w:t>
      </w:r>
      <w:r>
        <w:rPr>
          <w:rFonts w:hint="eastAsia" w:ascii="宋体" w:hAnsi="宋体" w:cs="宋体"/>
          <w:kern w:val="0"/>
          <w:sz w:val="24"/>
        </w:rPr>
        <w:t>投标人的投标产品及服务必须符合国家对有关产品的相关标准的规定，配送单位应保证招标代理公司和采购单位不受到第三方关于侵犯专利权的指控，任何第三方如果提出指控，配送单位应与第三方交涉，承担可能发生的一切法律责任、费用及后果，并赔偿招标代理公司与采购单位的损失。</w:t>
      </w:r>
    </w:p>
    <w:p w14:paraId="1DC78286">
      <w:pPr>
        <w:widowControl/>
        <w:numPr>
          <w:ilvl w:val="0"/>
          <w:numId w:val="0"/>
        </w:numPr>
        <w:spacing w:line="400" w:lineRule="exact"/>
        <w:ind w:left="0" w:leftChars="0" w:firstLine="480" w:firstLineChars="200"/>
        <w:jc w:val="left"/>
        <w:rPr>
          <w:rFonts w:hint="eastAsia" w:ascii="宋体" w:hAnsi="宋体" w:cs="宋体"/>
          <w:kern w:val="0"/>
          <w:sz w:val="24"/>
        </w:rPr>
      </w:pPr>
      <w:r>
        <w:rPr>
          <w:rFonts w:hint="eastAsia" w:ascii="宋体" w:hAnsi="宋体" w:cs="宋体"/>
          <w:kern w:val="0"/>
          <w:sz w:val="24"/>
          <w:szCs w:val="24"/>
          <w:lang w:val="en-US" w:eastAsia="zh-CN" w:bidi="ar-SA"/>
        </w:rPr>
        <w:t>2.</w:t>
      </w:r>
      <w:r>
        <w:rPr>
          <w:rFonts w:hint="eastAsia" w:ascii="宋体" w:hAnsi="宋体" w:cs="宋体"/>
          <w:kern w:val="0"/>
          <w:sz w:val="24"/>
        </w:rPr>
        <w:t>采购人因特殊情况有权保留更改本项目的规模和金额的权利，且不对此行为承担任何责任。</w:t>
      </w:r>
    </w:p>
    <w:p w14:paraId="20F3A043">
      <w:pPr>
        <w:widowControl/>
        <w:numPr>
          <w:ilvl w:val="0"/>
          <w:numId w:val="0"/>
        </w:numPr>
        <w:spacing w:line="400" w:lineRule="exact"/>
        <w:ind w:left="0" w:leftChars="0" w:firstLine="480" w:firstLineChars="200"/>
        <w:jc w:val="left"/>
        <w:rPr>
          <w:rFonts w:hint="eastAsia" w:ascii="宋体" w:hAnsi="宋体" w:cs="宋体"/>
          <w:kern w:val="0"/>
          <w:sz w:val="24"/>
        </w:rPr>
      </w:pPr>
      <w:r>
        <w:rPr>
          <w:rFonts w:hint="eastAsia" w:ascii="宋体" w:hAnsi="宋体" w:cs="宋体"/>
          <w:kern w:val="0"/>
          <w:sz w:val="24"/>
          <w:szCs w:val="24"/>
          <w:lang w:val="en-US" w:eastAsia="zh-CN" w:bidi="ar-SA"/>
        </w:rPr>
        <w:t>3.</w:t>
      </w:r>
      <w:r>
        <w:rPr>
          <w:rFonts w:hint="eastAsia" w:ascii="宋体" w:hAnsi="宋体" w:cs="宋体"/>
          <w:kern w:val="0"/>
          <w:sz w:val="24"/>
        </w:rPr>
        <w:t>配送过程中，因不可抗力原因（包含但不限于台风天气、特殊原因等），成交供应商接到采购人通知应取消配送，已发生的配送物品由中选人自行安排解决，由此产生的费用由中选人自行承担，且不得要求采购人赔偿。</w:t>
      </w:r>
    </w:p>
    <w:p w14:paraId="7ED1CD9C">
      <w:pPr>
        <w:widowControl/>
        <w:numPr>
          <w:ilvl w:val="0"/>
          <w:numId w:val="0"/>
        </w:numPr>
        <w:spacing w:line="400" w:lineRule="exact"/>
        <w:ind w:left="0" w:leftChars="0" w:firstLine="480" w:firstLineChars="200"/>
        <w:jc w:val="left"/>
        <w:rPr>
          <w:rFonts w:hint="eastAsia" w:ascii="宋体" w:hAnsi="宋体" w:cs="宋体"/>
          <w:kern w:val="0"/>
          <w:sz w:val="24"/>
        </w:rPr>
      </w:pPr>
      <w:r>
        <w:rPr>
          <w:rFonts w:hint="eastAsia" w:ascii="宋体" w:hAnsi="宋体" w:cs="宋体"/>
          <w:kern w:val="0"/>
          <w:sz w:val="24"/>
          <w:szCs w:val="24"/>
          <w:lang w:val="en-US" w:eastAsia="zh-CN" w:bidi="ar-SA"/>
        </w:rPr>
        <w:t>4.</w:t>
      </w:r>
      <w:r>
        <w:rPr>
          <w:rFonts w:hint="eastAsia" w:ascii="宋体" w:hAnsi="宋体" w:cs="宋体"/>
          <w:kern w:val="0"/>
          <w:sz w:val="24"/>
        </w:rPr>
        <w:t>供应商投标时应充分考虑自身实力、市场风险、采购人更改本项目的规模及采购人因为政策原因或者命令解约等因素进行合理报价。报价一经确认，合同实施期间所报优惠率不做调整，按采购人确定的实际配送量进行按月结算，配送单位应自行承担由此带来的其他风险。</w:t>
      </w:r>
    </w:p>
    <w:p w14:paraId="4D49BD34">
      <w:pPr>
        <w:pStyle w:val="10"/>
        <w:numPr>
          <w:ilvl w:val="0"/>
          <w:numId w:val="0"/>
        </w:numPr>
        <w:ind w:left="0" w:leftChars="0" w:firstLine="480" w:firstLineChars="200"/>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bidi="ar-SA"/>
        </w:rPr>
        <w:t>5</w:t>
      </w:r>
      <w:r>
        <w:rPr>
          <w:rFonts w:hint="eastAsia" w:ascii="宋体" w:hAnsi="宋体" w:eastAsia="宋体" w:cs="宋体"/>
          <w:kern w:val="0"/>
          <w:sz w:val="24"/>
          <w:szCs w:val="24"/>
          <w:lang w:val="en-US" w:eastAsia="zh-CN" w:bidi="ar-SA"/>
        </w:rPr>
        <w:t>.投标文件未说明的情形、条款，则由成交供应商与采购人自行商榷并在采购合同中说明。</w:t>
      </w:r>
    </w:p>
    <w:p w14:paraId="48FCF8AA">
      <w:pPr>
        <w:pStyle w:val="26"/>
        <w:spacing w:before="75" w:after="75" w:line="240" w:lineRule="auto"/>
        <w:rPr>
          <w:rFonts w:hint="eastAsia"/>
          <w:b/>
          <w:bCs/>
          <w:lang w:val="en-US" w:eastAsia="zh-CN"/>
        </w:rPr>
      </w:pPr>
    </w:p>
    <w:p w14:paraId="6C629766">
      <w:pPr>
        <w:pStyle w:val="26"/>
        <w:spacing w:before="75" w:after="75" w:line="240" w:lineRule="auto"/>
        <w:rPr>
          <w:rFonts w:hint="eastAsia" w:ascii="宋体" w:hAnsi="宋体" w:eastAsia="宋体" w:cs="宋体"/>
          <w:b/>
          <w:bCs/>
          <w:sz w:val="24"/>
          <w:lang w:val="en-US" w:eastAsia="zh-CN"/>
        </w:rPr>
      </w:pPr>
      <w:r>
        <w:rPr>
          <w:rFonts w:hint="eastAsia"/>
          <w:b/>
          <w:bCs/>
          <w:lang w:val="en-US" w:eastAsia="zh-CN"/>
        </w:rPr>
        <w:t>四</w:t>
      </w:r>
      <w:r>
        <w:rPr>
          <w:rFonts w:hint="eastAsia"/>
          <w:b/>
          <w:bCs/>
        </w:rPr>
        <w:t>、商务条件</w:t>
      </w:r>
    </w:p>
    <w:p w14:paraId="461D0E4E">
      <w:pPr>
        <w:spacing w:line="400" w:lineRule="exact"/>
        <w:ind w:firstLine="240" w:firstLineChars="100"/>
        <w:rPr>
          <w:rFonts w:hint="eastAsia" w:ascii="宋体" w:hAnsi="宋体" w:eastAsia="宋体" w:cs="宋体"/>
          <w:sz w:val="24"/>
        </w:rPr>
      </w:pPr>
      <w:r>
        <w:rPr>
          <w:rFonts w:hint="eastAsia" w:ascii="宋体" w:hAnsi="宋体" w:eastAsia="宋体" w:cs="宋体"/>
          <w:sz w:val="24"/>
        </w:rPr>
        <w:t>1.交付地点：采购人指定地点。</w:t>
      </w:r>
    </w:p>
    <w:p w14:paraId="0ED09DAA">
      <w:pPr>
        <w:spacing w:line="400" w:lineRule="exact"/>
        <w:ind w:firstLine="240" w:firstLineChars="100"/>
        <w:rPr>
          <w:rFonts w:hint="eastAsia" w:ascii="宋体" w:hAnsi="宋体" w:eastAsia="宋体" w:cs="宋体"/>
          <w:sz w:val="24"/>
        </w:rPr>
      </w:pPr>
      <w:r>
        <w:rPr>
          <w:rFonts w:hint="eastAsia" w:ascii="宋体" w:hAnsi="宋体" w:eastAsia="宋体" w:cs="宋体"/>
          <w:sz w:val="24"/>
        </w:rPr>
        <w:t>2.交付时间：按采购人要求的时间执行。</w:t>
      </w:r>
    </w:p>
    <w:p w14:paraId="51803FA4">
      <w:pPr>
        <w:spacing w:line="400" w:lineRule="exact"/>
        <w:ind w:firstLine="240" w:firstLineChars="100"/>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3.服务时间：</w:t>
      </w:r>
      <w:r>
        <w:rPr>
          <w:rFonts w:hint="eastAsia" w:ascii="宋体" w:hAnsi="宋体" w:cs="宋体"/>
          <w:color w:val="auto"/>
          <w:sz w:val="24"/>
          <w:highlight w:val="none"/>
          <w:lang w:val="en-US" w:eastAsia="zh-CN"/>
        </w:rPr>
        <w:t>合同签订后15日内完成。</w:t>
      </w:r>
    </w:p>
    <w:p w14:paraId="1E5132E7">
      <w:pPr>
        <w:pStyle w:val="26"/>
        <w:spacing w:before="75" w:beforeAutospacing="0" w:after="75" w:afterAutospacing="0" w:line="400" w:lineRule="exact"/>
        <w:ind w:firstLine="240" w:firstLineChars="100"/>
        <w:rPr>
          <w:rStyle w:val="34"/>
          <w:rFonts w:hint="eastAsia"/>
          <w:color w:val="auto"/>
          <w:highlight w:val="none"/>
        </w:rPr>
      </w:pPr>
      <w:r>
        <w:rPr>
          <w:rStyle w:val="34"/>
          <w:rFonts w:hint="eastAsia"/>
          <w:b w:val="0"/>
          <w:bCs w:val="0"/>
          <w:color w:val="auto"/>
          <w:highlight w:val="none"/>
        </w:rPr>
        <w:t>4.是否收取履约保证金：否。</w:t>
      </w:r>
    </w:p>
    <w:p w14:paraId="0C8957A7">
      <w:pPr>
        <w:widowControl/>
        <w:spacing w:line="400" w:lineRule="exact"/>
        <w:ind w:firstLine="240" w:firstLineChars="1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5.支付方式：每月一结，成交供应商向采购人提供凭真实有效的增值税专用发票、每日验收表，在采购人接到发票、验收表并且核对无误后的15个工作日内支付一个月的货款，（发票为扣除优惠利率后的价格，同时附产品原价的价格清单）</w:t>
      </w:r>
    </w:p>
    <w:p w14:paraId="1B3D9A88">
      <w:pPr>
        <w:widowControl/>
        <w:spacing w:line="400" w:lineRule="exact"/>
        <w:ind w:firstLine="240" w:firstLineChars="1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6.供货要求：成交供应商应按采购人订单规定的品种及要求供应所需货物，货物短缺时须提前告知采购人并在采购人规定时间内调配补齐所缺品种。若要更换品种，须经采购人同意后方可更换。</w:t>
      </w:r>
    </w:p>
    <w:p w14:paraId="771BF1C7">
      <w:pPr>
        <w:widowControl/>
        <w:spacing w:line="400" w:lineRule="exact"/>
        <w:ind w:firstLine="240" w:firstLineChars="100"/>
        <w:jc w:val="left"/>
        <w:rPr>
          <w:rFonts w:hint="eastAsia" w:ascii="宋体" w:hAnsi="宋体" w:cs="宋体"/>
          <w:color w:val="auto"/>
          <w:kern w:val="0"/>
          <w:sz w:val="24"/>
          <w:highlight w:val="none"/>
        </w:rPr>
      </w:pPr>
      <w:r>
        <w:rPr>
          <w:rFonts w:hint="eastAsia" w:ascii="宋体" w:hAnsi="宋体" w:cs="宋体"/>
          <w:color w:val="auto"/>
          <w:kern w:val="0"/>
          <w:sz w:val="24"/>
          <w:highlight w:val="none"/>
          <w:lang w:val="en-US" w:eastAsia="zh-CN"/>
        </w:rPr>
        <w:t>7</w:t>
      </w:r>
      <w:r>
        <w:rPr>
          <w:rFonts w:hint="eastAsia" w:ascii="宋体" w:hAnsi="宋体" w:cs="宋体"/>
          <w:color w:val="auto"/>
          <w:kern w:val="0"/>
          <w:sz w:val="24"/>
          <w:highlight w:val="none"/>
        </w:rPr>
        <w:t>.本项目由成交供应商配送，具体配送方案在中标后由采购人指定，成交供应商须无条件服从采购人的安排。</w:t>
      </w:r>
    </w:p>
    <w:p w14:paraId="78B5C25F">
      <w:pPr>
        <w:pStyle w:val="3"/>
        <w:rPr>
          <w:rFonts w:hint="eastAsia" w:ascii="宋体" w:hAnsi="宋体" w:cs="宋体"/>
          <w:b/>
          <w:bCs/>
          <w:color w:val="auto"/>
          <w:kern w:val="0"/>
          <w:sz w:val="24"/>
          <w:highlight w:val="none"/>
          <w:lang w:eastAsia="zh-CN"/>
        </w:rPr>
      </w:pPr>
    </w:p>
    <w:p w14:paraId="237E10D3">
      <w:pPr>
        <w:tabs>
          <w:tab w:val="left" w:pos="6930"/>
        </w:tabs>
        <w:adjustRightInd w:val="0"/>
        <w:snapToGrid w:val="0"/>
        <w:spacing w:line="360" w:lineRule="auto"/>
        <w:ind w:right="62" w:firstLine="482" w:firstLineChars="200"/>
        <w:rPr>
          <w:rFonts w:hint="eastAsia" w:ascii="宋体" w:hAnsi="宋体"/>
          <w:color w:val="auto"/>
          <w:sz w:val="24"/>
          <w:highlight w:val="none"/>
        </w:rPr>
      </w:pPr>
      <w:r>
        <w:rPr>
          <w:rFonts w:hint="eastAsia" w:ascii="宋体" w:hAnsi="宋体"/>
          <w:b/>
          <w:bCs/>
          <w:color w:val="auto"/>
          <w:sz w:val="24"/>
          <w:highlight w:val="none"/>
        </w:rPr>
        <w:t>备注：1、谈判供应商须实质性满足竞争性谈判文件《第三章 采购内容及要求》</w:t>
      </w:r>
      <w:r>
        <w:rPr>
          <w:rFonts w:hint="eastAsia" w:ascii="宋体" w:hAnsi="宋体"/>
          <w:b/>
          <w:bCs/>
          <w:color w:val="auto"/>
          <w:sz w:val="24"/>
          <w:highlight w:val="none"/>
          <w:lang w:eastAsia="zh-CN"/>
        </w:rPr>
        <w:t>中</w:t>
      </w:r>
      <w:r>
        <w:rPr>
          <w:rFonts w:hint="eastAsia" w:ascii="宋体" w:hAnsi="宋体"/>
          <w:b/>
          <w:bCs/>
          <w:color w:val="auto"/>
          <w:sz w:val="24"/>
          <w:highlight w:val="none"/>
        </w:rPr>
        <w:t>的所有要求，否则视为重大偏离，投标无效。成交供应商如无法按上述要求实施的，将被取消成交资格。</w:t>
      </w:r>
    </w:p>
    <w:p w14:paraId="2A2AE68B">
      <w:pPr>
        <w:tabs>
          <w:tab w:val="left" w:pos="6930"/>
        </w:tabs>
        <w:adjustRightInd w:val="0"/>
        <w:snapToGrid w:val="0"/>
        <w:spacing w:line="360" w:lineRule="auto"/>
        <w:ind w:right="62" w:firstLine="482" w:firstLineChars="200"/>
        <w:rPr>
          <w:rFonts w:hint="eastAsia" w:ascii="宋体" w:hAnsi="宋体"/>
          <w:b/>
          <w:bCs/>
          <w:color w:val="auto"/>
          <w:sz w:val="24"/>
          <w:highlight w:val="none"/>
        </w:rPr>
      </w:pPr>
      <w:r>
        <w:rPr>
          <w:rFonts w:hint="eastAsia" w:ascii="宋体" w:hAnsi="宋体"/>
          <w:b/>
          <w:color w:val="auto"/>
          <w:sz w:val="24"/>
          <w:highlight w:val="none"/>
        </w:rPr>
        <w:t>2、供应商完全满足</w:t>
      </w:r>
      <w:r>
        <w:rPr>
          <w:rFonts w:hint="eastAsia" w:ascii="宋体" w:hAnsi="宋体"/>
          <w:b/>
          <w:bCs/>
          <w:color w:val="auto"/>
          <w:sz w:val="24"/>
          <w:highlight w:val="none"/>
        </w:rPr>
        <w:t>竞争性谈判文件《第三章 采购内容及要求》</w:t>
      </w:r>
      <w:r>
        <w:rPr>
          <w:rFonts w:hint="eastAsia" w:ascii="宋体" w:hAnsi="宋体"/>
          <w:b/>
          <w:bCs/>
          <w:color w:val="auto"/>
          <w:sz w:val="24"/>
          <w:highlight w:val="none"/>
          <w:lang w:val="en-US" w:eastAsia="zh-CN"/>
        </w:rPr>
        <w:t>所</w:t>
      </w:r>
      <w:r>
        <w:rPr>
          <w:rFonts w:hint="eastAsia" w:ascii="宋体" w:hAnsi="宋体"/>
          <w:b/>
          <w:bCs/>
          <w:color w:val="auto"/>
          <w:sz w:val="24"/>
          <w:highlight w:val="none"/>
        </w:rPr>
        <w:t>有要求的可统一提供承诺函，承诺函模板详见《第五章  竞争性谈判响应文件格式》。</w:t>
      </w:r>
    </w:p>
    <w:p w14:paraId="1ED90CDD">
      <w:pPr>
        <w:tabs>
          <w:tab w:val="left" w:pos="6930"/>
        </w:tabs>
        <w:adjustRightInd w:val="0"/>
        <w:snapToGrid w:val="0"/>
        <w:spacing w:line="360" w:lineRule="auto"/>
        <w:ind w:right="62" w:firstLine="482" w:firstLineChars="200"/>
        <w:rPr>
          <w:rFonts w:hint="eastAsia" w:ascii="宋体" w:hAnsi="宋体"/>
          <w:b/>
          <w:bCs/>
          <w:color w:val="0000FF"/>
          <w:sz w:val="24"/>
        </w:rPr>
      </w:pPr>
    </w:p>
    <w:p w14:paraId="113C9B6F">
      <w:pPr>
        <w:spacing w:line="360" w:lineRule="auto"/>
        <w:ind w:firstLine="723" w:firstLineChars="200"/>
        <w:jc w:val="center"/>
        <w:outlineLvl w:val="0"/>
        <w:rPr>
          <w:rFonts w:hint="eastAsia" w:ascii="宋体" w:hAnsi="宋体"/>
          <w:sz w:val="36"/>
          <w:szCs w:val="36"/>
        </w:rPr>
      </w:pPr>
      <w:r>
        <w:rPr>
          <w:rFonts w:ascii="宋体" w:hAnsi="宋体"/>
          <w:b/>
          <w:bCs/>
          <w:sz w:val="36"/>
        </w:rPr>
        <w:br w:type="page"/>
      </w:r>
      <w:bookmarkStart w:id="13" w:name="_Toc3543"/>
      <w:bookmarkStart w:id="14" w:name="_Toc11099"/>
      <w:bookmarkStart w:id="15" w:name="_Toc24889"/>
      <w:r>
        <w:rPr>
          <w:rFonts w:hint="eastAsia" w:ascii="宋体" w:hAnsi="宋体"/>
          <w:sz w:val="36"/>
          <w:szCs w:val="36"/>
        </w:rPr>
        <w:t>第四章  采购合同（参考文本）</w:t>
      </w:r>
      <w:bookmarkEnd w:id="13"/>
      <w:bookmarkEnd w:id="14"/>
    </w:p>
    <w:p w14:paraId="25336A70">
      <w:pPr>
        <w:pStyle w:val="26"/>
        <w:spacing w:before="75" w:beforeAutospacing="0" w:after="75" w:afterAutospacing="0"/>
        <w:jc w:val="center"/>
      </w:pPr>
      <w:r>
        <w:rPr>
          <w:rStyle w:val="34"/>
        </w:rPr>
        <w:t>编制说明</w:t>
      </w:r>
    </w:p>
    <w:p w14:paraId="6C37A751">
      <w:pPr>
        <w:spacing w:before="120" w:after="160"/>
        <w:ind w:firstLine="720"/>
        <w:jc w:val="left"/>
        <w:rPr>
          <w:rFonts w:ascii="宋体"/>
          <w:sz w:val="24"/>
        </w:rPr>
      </w:pPr>
      <w:r>
        <w:rPr>
          <w:rFonts w:ascii="宋体" w:hAnsi="宋体"/>
          <w:sz w:val="24"/>
        </w:rPr>
        <w:t>（正式签订合同同时应根据本项目的实际情况对相关内容进行修改）</w:t>
      </w:r>
    </w:p>
    <w:tbl>
      <w:tblPr>
        <w:tblStyle w:val="31"/>
        <w:tblW w:w="0" w:type="auto"/>
        <w:tblInd w:w="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6"/>
      </w:tblGrid>
      <w:tr w14:paraId="4F4FF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trPr>
        <w:tc>
          <w:tcPr>
            <w:tcW w:w="9626" w:type="dxa"/>
            <w:noWrap w:val="0"/>
            <w:vAlign w:val="top"/>
          </w:tcPr>
          <w:p w14:paraId="551FD04B">
            <w:pPr>
              <w:spacing w:before="0" w:after="160"/>
              <w:ind w:left="0" w:firstLine="720"/>
              <w:jc w:val="left"/>
              <w:rPr>
                <w:rFonts w:ascii="宋体"/>
                <w:sz w:val="24"/>
              </w:rPr>
            </w:pPr>
            <w:r>
              <w:rPr>
                <w:rFonts w:ascii="宋体" w:hAnsi="宋体"/>
                <w:sz w:val="24"/>
              </w:rPr>
              <w:t>注释：</w:t>
            </w:r>
          </w:p>
          <w:p w14:paraId="14D95971">
            <w:pPr>
              <w:spacing w:before="0" w:after="160"/>
              <w:ind w:left="0" w:firstLine="720"/>
              <w:jc w:val="left"/>
              <w:rPr>
                <w:rFonts w:ascii="宋体"/>
                <w:sz w:val="24"/>
              </w:rPr>
            </w:pPr>
            <w:r>
              <w:rPr>
                <w:rFonts w:ascii="宋体" w:hAnsi="宋体"/>
                <w:sz w:val="24"/>
              </w:rPr>
              <w:t>《采购合同格式》，本格式条款仅作为双方签订合同的参考，为阐明各方的权利和义务，经协商可增加新的条款。但不得与</w:t>
            </w:r>
            <w:r>
              <w:rPr>
                <w:rFonts w:hint="eastAsia" w:ascii="宋体" w:hAnsi="宋体"/>
                <w:sz w:val="24"/>
              </w:rPr>
              <w:t>中安标文件</w:t>
            </w:r>
            <w:r>
              <w:rPr>
                <w:rFonts w:ascii="宋体" w:hAnsi="宋体"/>
                <w:sz w:val="24"/>
              </w:rPr>
              <w:t>、</w:t>
            </w:r>
            <w:r>
              <w:rPr>
                <w:rFonts w:hint="eastAsia" w:ascii="宋体" w:hAnsi="宋体"/>
                <w:sz w:val="24"/>
              </w:rPr>
              <w:t>投标文件</w:t>
            </w:r>
            <w:r>
              <w:rPr>
                <w:rFonts w:ascii="宋体" w:hAnsi="宋体"/>
                <w:sz w:val="24"/>
              </w:rPr>
              <w:t>文件的实质性内容相背离。</w:t>
            </w:r>
          </w:p>
        </w:tc>
      </w:tr>
    </w:tbl>
    <w:p w14:paraId="7F134D87">
      <w:pPr>
        <w:spacing w:line="360" w:lineRule="auto"/>
        <w:ind w:firstLine="422" w:firstLineChars="200"/>
        <w:rPr>
          <w:sz w:val="24"/>
        </w:rPr>
      </w:pPr>
      <w:r>
        <w:rPr>
          <w:rStyle w:val="34"/>
        </w:rPr>
        <w:t>1</w:t>
      </w:r>
      <w:r>
        <w:rPr>
          <w:sz w:val="24"/>
        </w:rPr>
        <w:t>、签订合同应遵守</w:t>
      </w:r>
      <w:r>
        <w:rPr>
          <w:rFonts w:hint="default"/>
          <w:sz w:val="24"/>
        </w:rPr>
        <w:t>民法典</w:t>
      </w:r>
      <w:r>
        <w:rPr>
          <w:sz w:val="24"/>
        </w:rPr>
        <w:t>。</w:t>
      </w:r>
    </w:p>
    <w:p w14:paraId="480BB99C">
      <w:pPr>
        <w:spacing w:line="360" w:lineRule="auto"/>
        <w:ind w:firstLine="480" w:firstLineChars="200"/>
        <w:rPr>
          <w:sz w:val="24"/>
        </w:rPr>
      </w:pPr>
      <w:r>
        <w:rPr>
          <w:sz w:val="24"/>
        </w:rPr>
        <w:t>2、签订合同时，采购人与</w:t>
      </w:r>
      <w:r>
        <w:rPr>
          <w:rFonts w:hint="default"/>
          <w:sz w:val="24"/>
        </w:rPr>
        <w:t>中标人</w:t>
      </w:r>
      <w:r>
        <w:rPr>
          <w:sz w:val="24"/>
        </w:rPr>
        <w:t>应结合</w:t>
      </w:r>
      <w:r>
        <w:rPr>
          <w:rFonts w:hint="default"/>
          <w:sz w:val="24"/>
        </w:rPr>
        <w:t>招标文件</w:t>
      </w:r>
      <w:r>
        <w:rPr>
          <w:sz w:val="24"/>
        </w:rPr>
        <w:t>第三章规定填列相应内容。</w:t>
      </w:r>
      <w:r>
        <w:rPr>
          <w:rFonts w:hint="default"/>
          <w:sz w:val="24"/>
        </w:rPr>
        <w:t>招标文件</w:t>
      </w:r>
      <w:r>
        <w:rPr>
          <w:sz w:val="24"/>
        </w:rPr>
        <w:t>第三章已有规定的，双方均不得变更或调整；</w:t>
      </w:r>
      <w:r>
        <w:rPr>
          <w:rFonts w:hint="default"/>
          <w:sz w:val="24"/>
        </w:rPr>
        <w:t>招标文件</w:t>
      </w:r>
      <w:r>
        <w:rPr>
          <w:sz w:val="24"/>
        </w:rPr>
        <w:t>第三章未作规定的，双方可通过友好协商进行约定。</w:t>
      </w:r>
    </w:p>
    <w:p w14:paraId="412590EC">
      <w:pPr>
        <w:spacing w:line="360" w:lineRule="auto"/>
        <w:ind w:firstLine="480" w:firstLineChars="200"/>
        <w:rPr>
          <w:sz w:val="24"/>
        </w:rPr>
      </w:pPr>
      <w:r>
        <w:rPr>
          <w:sz w:val="24"/>
        </w:rPr>
        <w:t>3、国家有关部门对若干合同有规范文本的，可使用相应合同文本。</w:t>
      </w:r>
    </w:p>
    <w:p w14:paraId="0C7D809D">
      <w:pPr>
        <w:spacing w:line="600" w:lineRule="auto"/>
        <w:rPr>
          <w:sz w:val="24"/>
        </w:rPr>
      </w:pPr>
      <w:r>
        <w:rPr>
          <w:sz w:val="24"/>
        </w:rPr>
        <w:t>甲方：</w:t>
      </w:r>
      <w:r>
        <w:rPr>
          <w:sz w:val="24"/>
          <w:u w:val="none"/>
        </w:rPr>
        <w:t>（采购人全称）</w:t>
      </w:r>
    </w:p>
    <w:p w14:paraId="3EC9624C">
      <w:pPr>
        <w:rPr>
          <w:sz w:val="24"/>
        </w:rPr>
      </w:pPr>
      <w:r>
        <w:rPr>
          <w:sz w:val="24"/>
        </w:rPr>
        <w:t>乙方：</w:t>
      </w:r>
      <w:r>
        <w:rPr>
          <w:sz w:val="24"/>
          <w:u w:val="none"/>
        </w:rPr>
        <w:t>（</w:t>
      </w:r>
      <w:r>
        <w:rPr>
          <w:rFonts w:hint="default"/>
          <w:sz w:val="24"/>
          <w:u w:val="none"/>
        </w:rPr>
        <w:t>中标人</w:t>
      </w:r>
      <w:r>
        <w:rPr>
          <w:sz w:val="24"/>
          <w:u w:val="none"/>
        </w:rPr>
        <w:t>全称）</w:t>
      </w:r>
    </w:p>
    <w:p w14:paraId="7305FF32">
      <w:pPr>
        <w:spacing w:line="360" w:lineRule="auto"/>
        <w:ind w:firstLine="480" w:firstLineChars="200"/>
        <w:rPr>
          <w:sz w:val="24"/>
        </w:rPr>
      </w:pPr>
      <w:r>
        <w:rPr>
          <w:sz w:val="24"/>
        </w:rPr>
        <w:t>根据招标编号为</w:t>
      </w:r>
      <w:r>
        <w:rPr>
          <w:sz w:val="24"/>
          <w:u w:val="none"/>
        </w:rPr>
        <w:t>            </w:t>
      </w:r>
      <w:r>
        <w:rPr>
          <w:sz w:val="24"/>
        </w:rPr>
        <w:t>的</w:t>
      </w:r>
      <w:r>
        <w:rPr>
          <w:sz w:val="24"/>
          <w:u w:val="none"/>
        </w:rPr>
        <w:t>（填写“项目名称”）</w:t>
      </w:r>
      <w:r>
        <w:rPr>
          <w:sz w:val="24"/>
        </w:rPr>
        <w:t>项目（以下简称：“本项目”）的招标结果，乙方为成交供应商。现经甲乙双方友好协商，就以下事项达成一致并签订本合同：</w:t>
      </w:r>
    </w:p>
    <w:p w14:paraId="2505DEAD">
      <w:pPr>
        <w:spacing w:line="360" w:lineRule="auto"/>
        <w:rPr>
          <w:sz w:val="24"/>
        </w:rPr>
      </w:pPr>
      <w:r>
        <w:rPr>
          <w:sz w:val="24"/>
        </w:rPr>
        <w:t>1、下列合同文件是构成本合同不可分割的部分：</w:t>
      </w:r>
    </w:p>
    <w:p w14:paraId="6680C748">
      <w:pPr>
        <w:spacing w:line="360" w:lineRule="auto"/>
        <w:rPr>
          <w:sz w:val="24"/>
        </w:rPr>
      </w:pPr>
      <w:r>
        <w:rPr>
          <w:sz w:val="24"/>
        </w:rPr>
        <w:t>1.1合同条款；</w:t>
      </w:r>
    </w:p>
    <w:p w14:paraId="00F6478E">
      <w:pPr>
        <w:spacing w:line="360" w:lineRule="auto"/>
        <w:rPr>
          <w:sz w:val="24"/>
        </w:rPr>
      </w:pPr>
      <w:r>
        <w:rPr>
          <w:sz w:val="24"/>
        </w:rPr>
        <w:t>1.2</w:t>
      </w:r>
      <w:r>
        <w:rPr>
          <w:rFonts w:hint="eastAsia"/>
          <w:sz w:val="24"/>
        </w:rPr>
        <w:t>招标文件</w:t>
      </w:r>
      <w:r>
        <w:rPr>
          <w:sz w:val="24"/>
        </w:rPr>
        <w:t>、乙方的投标文件；</w:t>
      </w:r>
    </w:p>
    <w:p w14:paraId="20C5F0C1">
      <w:pPr>
        <w:spacing w:line="360" w:lineRule="auto"/>
        <w:rPr>
          <w:sz w:val="24"/>
        </w:rPr>
      </w:pPr>
      <w:r>
        <w:rPr>
          <w:sz w:val="24"/>
        </w:rPr>
        <w:t>1.3其他文件或材料：□无。□</w:t>
      </w:r>
      <w:r>
        <w:rPr>
          <w:sz w:val="24"/>
          <w:u w:val="none"/>
        </w:rPr>
        <w:t>（按照实际情况编制填写需要增加的内容）</w:t>
      </w:r>
      <w:r>
        <w:rPr>
          <w:sz w:val="24"/>
        </w:rPr>
        <w:t>。</w:t>
      </w:r>
    </w:p>
    <w:p w14:paraId="3EB33045">
      <w:pPr>
        <w:spacing w:line="360" w:lineRule="auto"/>
        <w:rPr>
          <w:sz w:val="24"/>
        </w:rPr>
      </w:pPr>
      <w:r>
        <w:rPr>
          <w:sz w:val="24"/>
        </w:rPr>
        <w:t>2、合同标的</w:t>
      </w:r>
    </w:p>
    <w:p w14:paraId="72F726EB">
      <w:pPr>
        <w:spacing w:line="360" w:lineRule="auto"/>
        <w:rPr>
          <w:sz w:val="24"/>
        </w:rPr>
      </w:pPr>
      <w:r>
        <w:rPr>
          <w:sz w:val="24"/>
          <w:u w:val="none"/>
        </w:rPr>
        <w:t>（按照实际情况编制填写，可以是表格或文字描述）</w:t>
      </w:r>
      <w:r>
        <w:rPr>
          <w:sz w:val="24"/>
        </w:rPr>
        <w:t>。</w:t>
      </w:r>
    </w:p>
    <w:p w14:paraId="0A870622">
      <w:pPr>
        <w:spacing w:line="360" w:lineRule="auto"/>
        <w:rPr>
          <w:sz w:val="24"/>
        </w:rPr>
      </w:pPr>
      <w:r>
        <w:rPr>
          <w:sz w:val="24"/>
        </w:rPr>
        <w:t>3、合同总金额</w:t>
      </w:r>
    </w:p>
    <w:p w14:paraId="093AEF72">
      <w:pPr>
        <w:spacing w:line="360" w:lineRule="auto"/>
        <w:rPr>
          <w:sz w:val="24"/>
        </w:rPr>
      </w:pPr>
      <w:r>
        <w:rPr>
          <w:sz w:val="24"/>
        </w:rPr>
        <w:t>3.1合同总金额为人民币大写：</w:t>
      </w:r>
      <w:r>
        <w:rPr>
          <w:sz w:val="24"/>
          <w:u w:val="none"/>
        </w:rPr>
        <w:t>              </w:t>
      </w:r>
      <w:r>
        <w:rPr>
          <w:sz w:val="24"/>
        </w:rPr>
        <w:t>元（￥</w:t>
      </w:r>
      <w:r>
        <w:rPr>
          <w:sz w:val="24"/>
          <w:u w:val="none"/>
        </w:rPr>
        <w:t>              </w:t>
      </w:r>
      <w:r>
        <w:rPr>
          <w:sz w:val="24"/>
        </w:rPr>
        <w:t>）。</w:t>
      </w:r>
    </w:p>
    <w:p w14:paraId="36FD51EC">
      <w:pPr>
        <w:spacing w:line="360" w:lineRule="auto"/>
        <w:rPr>
          <w:sz w:val="24"/>
        </w:rPr>
      </w:pPr>
      <w:r>
        <w:rPr>
          <w:sz w:val="24"/>
        </w:rPr>
        <w:t>4、合同标的交付时间、地点和条件</w:t>
      </w:r>
    </w:p>
    <w:p w14:paraId="1146FF1B">
      <w:pPr>
        <w:spacing w:line="360" w:lineRule="auto"/>
        <w:rPr>
          <w:sz w:val="24"/>
        </w:rPr>
      </w:pPr>
      <w:r>
        <w:rPr>
          <w:sz w:val="24"/>
        </w:rPr>
        <w:t>4.1交付时间：</w:t>
      </w:r>
      <w:r>
        <w:rPr>
          <w:sz w:val="24"/>
          <w:u w:val="none"/>
        </w:rPr>
        <w:t>                     </w:t>
      </w:r>
      <w:r>
        <w:rPr>
          <w:sz w:val="24"/>
        </w:rPr>
        <w:t>；</w:t>
      </w:r>
    </w:p>
    <w:p w14:paraId="440FDF75">
      <w:pPr>
        <w:spacing w:line="360" w:lineRule="auto"/>
        <w:rPr>
          <w:sz w:val="24"/>
        </w:rPr>
      </w:pPr>
      <w:r>
        <w:rPr>
          <w:sz w:val="24"/>
        </w:rPr>
        <w:t>4.2交付地点：</w:t>
      </w:r>
      <w:r>
        <w:rPr>
          <w:sz w:val="24"/>
          <w:u w:val="none"/>
        </w:rPr>
        <w:t>                     </w:t>
      </w:r>
      <w:r>
        <w:rPr>
          <w:sz w:val="24"/>
        </w:rPr>
        <w:t>；</w:t>
      </w:r>
    </w:p>
    <w:p w14:paraId="4D12759A">
      <w:pPr>
        <w:spacing w:line="360" w:lineRule="auto"/>
        <w:rPr>
          <w:sz w:val="24"/>
        </w:rPr>
      </w:pPr>
      <w:r>
        <w:rPr>
          <w:sz w:val="24"/>
        </w:rPr>
        <w:t>4.3交付条件：</w:t>
      </w:r>
      <w:r>
        <w:rPr>
          <w:sz w:val="24"/>
          <w:u w:val="none"/>
        </w:rPr>
        <w:t>                     </w:t>
      </w:r>
      <w:r>
        <w:rPr>
          <w:sz w:val="24"/>
        </w:rPr>
        <w:t>。</w:t>
      </w:r>
    </w:p>
    <w:p w14:paraId="68D92DC8">
      <w:pPr>
        <w:spacing w:line="360" w:lineRule="auto"/>
        <w:rPr>
          <w:sz w:val="24"/>
        </w:rPr>
      </w:pPr>
      <w:r>
        <w:rPr>
          <w:sz w:val="24"/>
        </w:rPr>
        <w:t>5、合同标的应符合</w:t>
      </w:r>
      <w:r>
        <w:rPr>
          <w:rFonts w:hint="eastAsia"/>
          <w:sz w:val="24"/>
        </w:rPr>
        <w:t>招标文件</w:t>
      </w:r>
      <w:r>
        <w:rPr>
          <w:sz w:val="24"/>
        </w:rPr>
        <w:t>、乙方投标文件的规定或约定，具体如下：</w:t>
      </w:r>
    </w:p>
    <w:p w14:paraId="1059F652">
      <w:pPr>
        <w:spacing w:line="360" w:lineRule="auto"/>
        <w:rPr>
          <w:sz w:val="24"/>
        </w:rPr>
      </w:pPr>
      <w:r>
        <w:rPr>
          <w:sz w:val="24"/>
          <w:u w:val="none"/>
        </w:rPr>
        <w:t>（按照实际情况编制填写，可以是表格或文字描述）</w:t>
      </w:r>
      <w:r>
        <w:rPr>
          <w:sz w:val="24"/>
        </w:rPr>
        <w:t>。</w:t>
      </w:r>
    </w:p>
    <w:p w14:paraId="4ACE2F4C">
      <w:pPr>
        <w:spacing w:line="360" w:lineRule="auto"/>
        <w:rPr>
          <w:sz w:val="24"/>
        </w:rPr>
      </w:pPr>
      <w:r>
        <w:rPr>
          <w:sz w:val="24"/>
        </w:rPr>
        <w:t>6、验收</w:t>
      </w:r>
    </w:p>
    <w:p w14:paraId="7DECB80C">
      <w:pPr>
        <w:spacing w:line="360" w:lineRule="auto"/>
        <w:rPr>
          <w:sz w:val="24"/>
        </w:rPr>
      </w:pPr>
      <w:r>
        <w:rPr>
          <w:sz w:val="24"/>
        </w:rPr>
        <w:t>6.1验收应按照</w:t>
      </w:r>
      <w:r>
        <w:rPr>
          <w:rFonts w:hint="eastAsia"/>
          <w:sz w:val="24"/>
        </w:rPr>
        <w:t>招标文件</w:t>
      </w:r>
      <w:r>
        <w:rPr>
          <w:sz w:val="24"/>
        </w:rPr>
        <w:t>、乙方投标文件的规定或约定进行，具体如下：</w:t>
      </w:r>
    </w:p>
    <w:p w14:paraId="3A8FFDD4">
      <w:pPr>
        <w:spacing w:line="360" w:lineRule="auto"/>
        <w:rPr>
          <w:sz w:val="24"/>
        </w:rPr>
      </w:pPr>
      <w:r>
        <w:rPr>
          <w:sz w:val="24"/>
          <w:u w:val="none"/>
        </w:rPr>
        <w:t>（按照实际情况编制填写，可以是表格或文字描述）</w:t>
      </w:r>
      <w:r>
        <w:rPr>
          <w:sz w:val="24"/>
        </w:rPr>
        <w:t>。</w:t>
      </w:r>
    </w:p>
    <w:p w14:paraId="66AF6FA9">
      <w:pPr>
        <w:spacing w:line="360" w:lineRule="auto"/>
        <w:rPr>
          <w:sz w:val="24"/>
        </w:rPr>
      </w:pPr>
      <w:r>
        <w:rPr>
          <w:sz w:val="24"/>
        </w:rPr>
        <w:t>6.2本项目是否邀请其他供应商参与验收：</w:t>
      </w:r>
    </w:p>
    <w:p w14:paraId="0B3F4857">
      <w:pPr>
        <w:spacing w:line="360" w:lineRule="auto"/>
        <w:rPr>
          <w:sz w:val="24"/>
        </w:rPr>
      </w:pPr>
      <w:r>
        <w:rPr>
          <w:sz w:val="24"/>
        </w:rPr>
        <w:t>□不邀请。□邀请，具体如下：</w:t>
      </w:r>
      <w:r>
        <w:rPr>
          <w:sz w:val="24"/>
          <w:u w:val="none"/>
        </w:rPr>
        <w:t>（按照</w:t>
      </w:r>
      <w:r>
        <w:rPr>
          <w:rFonts w:hint="default"/>
          <w:sz w:val="24"/>
          <w:u w:val="none"/>
        </w:rPr>
        <w:t>招标文件</w:t>
      </w:r>
      <w:r>
        <w:rPr>
          <w:sz w:val="24"/>
          <w:u w:val="none"/>
        </w:rPr>
        <w:t>规定填写）</w:t>
      </w:r>
      <w:r>
        <w:rPr>
          <w:sz w:val="24"/>
        </w:rPr>
        <w:t>。</w:t>
      </w:r>
    </w:p>
    <w:p w14:paraId="2640C06C">
      <w:pPr>
        <w:spacing w:line="360" w:lineRule="auto"/>
        <w:rPr>
          <w:sz w:val="24"/>
        </w:rPr>
      </w:pPr>
      <w:r>
        <w:rPr>
          <w:sz w:val="24"/>
        </w:rPr>
        <w:t>7、合同款项的支付应按照</w:t>
      </w:r>
      <w:r>
        <w:rPr>
          <w:rFonts w:hint="eastAsia"/>
          <w:sz w:val="24"/>
        </w:rPr>
        <w:t>招标文件</w:t>
      </w:r>
      <w:r>
        <w:rPr>
          <w:sz w:val="24"/>
        </w:rPr>
        <w:t>的规定进行，具体如下：</w:t>
      </w:r>
    </w:p>
    <w:p w14:paraId="0DCB0569">
      <w:pPr>
        <w:spacing w:line="360" w:lineRule="auto"/>
        <w:rPr>
          <w:sz w:val="24"/>
        </w:rPr>
      </w:pPr>
      <w:r>
        <w:rPr>
          <w:sz w:val="24"/>
          <w:u w:val="none"/>
        </w:rPr>
        <w:t>（按照实际情况编制填写，可以是表格或文字描述，包括一次性支付或分期支付等）</w:t>
      </w:r>
      <w:r>
        <w:rPr>
          <w:sz w:val="24"/>
        </w:rPr>
        <w:t>。</w:t>
      </w:r>
    </w:p>
    <w:p w14:paraId="7FFDB1C4">
      <w:pPr>
        <w:spacing w:line="360" w:lineRule="auto"/>
        <w:rPr>
          <w:sz w:val="24"/>
        </w:rPr>
      </w:pPr>
      <w:r>
        <w:rPr>
          <w:sz w:val="24"/>
        </w:rPr>
        <w:t>8、履约保证金</w:t>
      </w:r>
    </w:p>
    <w:p w14:paraId="11F656A4">
      <w:pPr>
        <w:spacing w:line="360" w:lineRule="auto"/>
        <w:rPr>
          <w:sz w:val="24"/>
        </w:rPr>
      </w:pPr>
      <w:r>
        <w:rPr>
          <w:sz w:val="24"/>
        </w:rPr>
        <w:t>□无。□有，具体如下：</w:t>
      </w:r>
      <w:r>
        <w:rPr>
          <w:sz w:val="24"/>
          <w:u w:val="none"/>
        </w:rPr>
        <w:t>（按照</w:t>
      </w:r>
      <w:r>
        <w:rPr>
          <w:rFonts w:hint="default"/>
          <w:sz w:val="24"/>
          <w:u w:val="none"/>
        </w:rPr>
        <w:t>招标文件</w:t>
      </w:r>
      <w:r>
        <w:rPr>
          <w:sz w:val="24"/>
          <w:u w:val="none"/>
        </w:rPr>
        <w:t>规定填写）</w:t>
      </w:r>
      <w:r>
        <w:rPr>
          <w:sz w:val="24"/>
        </w:rPr>
        <w:t>。</w:t>
      </w:r>
    </w:p>
    <w:p w14:paraId="00D064DD">
      <w:pPr>
        <w:spacing w:line="360" w:lineRule="auto"/>
        <w:rPr>
          <w:sz w:val="24"/>
        </w:rPr>
      </w:pPr>
      <w:r>
        <w:rPr>
          <w:sz w:val="24"/>
        </w:rPr>
        <w:t>9、合同有效期</w:t>
      </w:r>
    </w:p>
    <w:p w14:paraId="25DF7D2F">
      <w:pPr>
        <w:spacing w:line="360" w:lineRule="auto"/>
        <w:rPr>
          <w:sz w:val="24"/>
        </w:rPr>
      </w:pPr>
      <w:r>
        <w:rPr>
          <w:sz w:val="24"/>
          <w:u w:val="none"/>
        </w:rPr>
        <w:t>（按照实际情况编制填写，可以是表格或文字描述）</w:t>
      </w:r>
      <w:r>
        <w:rPr>
          <w:sz w:val="24"/>
        </w:rPr>
        <w:t>。</w:t>
      </w:r>
    </w:p>
    <w:p w14:paraId="136E87CB">
      <w:pPr>
        <w:spacing w:line="360" w:lineRule="auto"/>
        <w:rPr>
          <w:sz w:val="24"/>
        </w:rPr>
      </w:pPr>
      <w:r>
        <w:rPr>
          <w:sz w:val="24"/>
        </w:rPr>
        <w:t>10、违约责任</w:t>
      </w:r>
    </w:p>
    <w:p w14:paraId="717939D8">
      <w:pPr>
        <w:spacing w:line="360" w:lineRule="auto"/>
        <w:rPr>
          <w:sz w:val="24"/>
        </w:rPr>
      </w:pPr>
      <w:r>
        <w:rPr>
          <w:sz w:val="24"/>
          <w:u w:val="none"/>
        </w:rPr>
        <w:t>（按照实际情况编制填写，可以是表格或文字描述）</w:t>
      </w:r>
      <w:r>
        <w:rPr>
          <w:sz w:val="24"/>
        </w:rPr>
        <w:t>。</w:t>
      </w:r>
    </w:p>
    <w:p w14:paraId="79441507">
      <w:pPr>
        <w:spacing w:line="360" w:lineRule="auto"/>
        <w:rPr>
          <w:sz w:val="24"/>
        </w:rPr>
      </w:pPr>
      <w:r>
        <w:rPr>
          <w:sz w:val="24"/>
        </w:rPr>
        <w:t>11、知识产权</w:t>
      </w:r>
    </w:p>
    <w:p w14:paraId="72B553B6">
      <w:pPr>
        <w:spacing w:line="360" w:lineRule="auto"/>
        <w:rPr>
          <w:sz w:val="24"/>
        </w:rPr>
      </w:pPr>
      <w:r>
        <w:rPr>
          <w:sz w:val="24"/>
        </w:rPr>
        <w:t>11.1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14:paraId="03E298C5">
      <w:pPr>
        <w:spacing w:line="360" w:lineRule="auto"/>
        <w:rPr>
          <w:sz w:val="24"/>
        </w:rPr>
      </w:pPr>
      <w:r>
        <w:rPr>
          <w:sz w:val="24"/>
        </w:rPr>
        <w:t>11.2若乙方提供的采购标的不符合国家知识产权法律、法规的规定或被有关主管机关认定为假冒伪劣品，则乙方成交资格将被取消；甲方还将按照有关法律、法规和规章的规定进行处理，具体如下：</w:t>
      </w:r>
      <w:r>
        <w:rPr>
          <w:sz w:val="24"/>
          <w:u w:val="none"/>
        </w:rPr>
        <w:t>（按照实际情况编制填写）</w:t>
      </w:r>
      <w:r>
        <w:rPr>
          <w:sz w:val="24"/>
        </w:rPr>
        <w:t>。</w:t>
      </w:r>
    </w:p>
    <w:p w14:paraId="34871222">
      <w:pPr>
        <w:spacing w:line="360" w:lineRule="auto"/>
        <w:rPr>
          <w:sz w:val="24"/>
        </w:rPr>
      </w:pPr>
      <w:r>
        <w:rPr>
          <w:sz w:val="24"/>
        </w:rPr>
        <w:t>12、解决争议的方法</w:t>
      </w:r>
    </w:p>
    <w:p w14:paraId="5215344D">
      <w:pPr>
        <w:spacing w:line="360" w:lineRule="auto"/>
        <w:rPr>
          <w:sz w:val="24"/>
        </w:rPr>
      </w:pPr>
      <w:r>
        <w:rPr>
          <w:sz w:val="24"/>
        </w:rPr>
        <w:t>12.1甲、乙双方协商解决。</w:t>
      </w:r>
    </w:p>
    <w:p w14:paraId="3A478B54">
      <w:pPr>
        <w:spacing w:line="360" w:lineRule="auto"/>
        <w:rPr>
          <w:sz w:val="24"/>
        </w:rPr>
      </w:pPr>
      <w:r>
        <w:rPr>
          <w:sz w:val="24"/>
        </w:rPr>
        <w:t>12.2若协商解决不成，则通过下列途径之一解决：</w:t>
      </w:r>
    </w:p>
    <w:p w14:paraId="5E7B0B19">
      <w:pPr>
        <w:spacing w:line="360" w:lineRule="auto"/>
        <w:rPr>
          <w:sz w:val="24"/>
        </w:rPr>
      </w:pPr>
      <w:r>
        <w:rPr>
          <w:sz w:val="24"/>
        </w:rPr>
        <w:t>□提交仲裁委员会仲裁，具体如下：</w:t>
      </w:r>
      <w:r>
        <w:rPr>
          <w:sz w:val="24"/>
          <w:u w:val="none"/>
        </w:rPr>
        <w:t>（按照实际情况编制填写）</w:t>
      </w:r>
      <w:r>
        <w:rPr>
          <w:sz w:val="24"/>
        </w:rPr>
        <w:t>。</w:t>
      </w:r>
    </w:p>
    <w:p w14:paraId="720B92E6">
      <w:pPr>
        <w:spacing w:line="360" w:lineRule="auto"/>
        <w:rPr>
          <w:sz w:val="24"/>
        </w:rPr>
      </w:pPr>
      <w:r>
        <w:rPr>
          <w:sz w:val="24"/>
        </w:rPr>
        <w:t>□向人民法院提起诉讼，具体如下：</w:t>
      </w:r>
      <w:r>
        <w:rPr>
          <w:sz w:val="24"/>
          <w:u w:val="none"/>
        </w:rPr>
        <w:t>（按照实际情况编制填写）</w:t>
      </w:r>
      <w:r>
        <w:rPr>
          <w:sz w:val="24"/>
        </w:rPr>
        <w:t>。</w:t>
      </w:r>
    </w:p>
    <w:p w14:paraId="46520805">
      <w:pPr>
        <w:spacing w:line="360" w:lineRule="auto"/>
        <w:rPr>
          <w:sz w:val="24"/>
        </w:rPr>
      </w:pPr>
      <w:r>
        <w:rPr>
          <w:sz w:val="24"/>
        </w:rPr>
        <w:t>13、不可抗力</w:t>
      </w:r>
    </w:p>
    <w:p w14:paraId="23427730">
      <w:pPr>
        <w:spacing w:line="360" w:lineRule="auto"/>
        <w:rPr>
          <w:sz w:val="24"/>
        </w:rPr>
      </w:pPr>
      <w:r>
        <w:rPr>
          <w:sz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26A8FF8C">
      <w:pPr>
        <w:spacing w:line="360" w:lineRule="auto"/>
        <w:rPr>
          <w:sz w:val="24"/>
        </w:rPr>
      </w:pPr>
      <w:r>
        <w:rPr>
          <w:sz w:val="24"/>
        </w:rPr>
        <w:t>13.2本合同中的不可抗力指不能预见、不能避免、不能克服的客观情况，包括但不限于：自然灾害如地震、台风、洪水、火灾及政府行为、法律规定或其适用的变化或其他任何无法预见、避免或控制的事件。</w:t>
      </w:r>
    </w:p>
    <w:p w14:paraId="60A516FF">
      <w:pPr>
        <w:spacing w:line="360" w:lineRule="auto"/>
        <w:rPr>
          <w:sz w:val="24"/>
        </w:rPr>
      </w:pPr>
      <w:r>
        <w:rPr>
          <w:sz w:val="24"/>
        </w:rPr>
        <w:t>14、合同条款</w:t>
      </w:r>
    </w:p>
    <w:p w14:paraId="647CE691">
      <w:pPr>
        <w:spacing w:line="360" w:lineRule="auto"/>
        <w:rPr>
          <w:sz w:val="24"/>
        </w:rPr>
      </w:pPr>
      <w:r>
        <w:rPr>
          <w:sz w:val="24"/>
          <w:u w:val="none"/>
        </w:rPr>
        <w:t>（按照实际情况编制填写。</w:t>
      </w:r>
      <w:r>
        <w:rPr>
          <w:rFonts w:hint="default"/>
          <w:sz w:val="24"/>
          <w:u w:val="none"/>
        </w:rPr>
        <w:t>招标文件</w:t>
      </w:r>
      <w:r>
        <w:rPr>
          <w:sz w:val="24"/>
          <w:u w:val="none"/>
        </w:rPr>
        <w:t>第三章已有规定的，双方均不得变更或调整；</w:t>
      </w:r>
      <w:r>
        <w:rPr>
          <w:rFonts w:hint="default"/>
          <w:sz w:val="24"/>
          <w:u w:val="none"/>
        </w:rPr>
        <w:t>招标文件</w:t>
      </w:r>
      <w:r>
        <w:rPr>
          <w:sz w:val="24"/>
          <w:u w:val="none"/>
        </w:rPr>
        <w:t>第三章未作规定的，双方可通过友好协商进行约定）</w:t>
      </w:r>
      <w:r>
        <w:rPr>
          <w:sz w:val="24"/>
        </w:rPr>
        <w:t>。</w:t>
      </w:r>
    </w:p>
    <w:p w14:paraId="38B4D03A">
      <w:pPr>
        <w:spacing w:line="360" w:lineRule="auto"/>
        <w:rPr>
          <w:sz w:val="24"/>
        </w:rPr>
      </w:pPr>
      <w:r>
        <w:rPr>
          <w:sz w:val="24"/>
        </w:rPr>
        <w:t>15、其他约定</w:t>
      </w:r>
    </w:p>
    <w:p w14:paraId="3ACD1ADD">
      <w:pPr>
        <w:spacing w:line="360" w:lineRule="auto"/>
        <w:rPr>
          <w:sz w:val="24"/>
        </w:rPr>
      </w:pPr>
      <w:r>
        <w:rPr>
          <w:sz w:val="24"/>
        </w:rPr>
        <w:t>15.1合同文件与本合同具有同等法律效力。</w:t>
      </w:r>
    </w:p>
    <w:p w14:paraId="7E2ACF5E">
      <w:pPr>
        <w:spacing w:line="360" w:lineRule="auto"/>
        <w:rPr>
          <w:sz w:val="24"/>
        </w:rPr>
      </w:pPr>
      <w:r>
        <w:rPr>
          <w:sz w:val="24"/>
        </w:rPr>
        <w:t>15.2本合同未尽事宜，双方可另行补充。</w:t>
      </w:r>
    </w:p>
    <w:p w14:paraId="451EC29B">
      <w:pPr>
        <w:spacing w:line="360" w:lineRule="auto"/>
        <w:rPr>
          <w:sz w:val="24"/>
        </w:rPr>
      </w:pPr>
      <w:r>
        <w:rPr>
          <w:sz w:val="24"/>
        </w:rPr>
        <w:t>15.3合同生效：自签订之日起生效。</w:t>
      </w:r>
    </w:p>
    <w:p w14:paraId="2082DF6D">
      <w:pPr>
        <w:spacing w:line="360" w:lineRule="auto"/>
        <w:rPr>
          <w:sz w:val="24"/>
        </w:rPr>
      </w:pPr>
      <w:r>
        <w:rPr>
          <w:sz w:val="24"/>
        </w:rPr>
        <w:t>15.4本合同一式</w:t>
      </w:r>
      <w:r>
        <w:rPr>
          <w:sz w:val="24"/>
          <w:u w:val="none"/>
        </w:rPr>
        <w:t>（填写具体份数）</w:t>
      </w:r>
      <w:r>
        <w:rPr>
          <w:sz w:val="24"/>
        </w:rPr>
        <w:t>份，经双方授权代表签字并盖章后生效。甲方、乙方各执</w:t>
      </w:r>
      <w:r>
        <w:rPr>
          <w:sz w:val="24"/>
          <w:u w:val="none"/>
        </w:rPr>
        <w:t>（填写具体份数）</w:t>
      </w:r>
      <w:r>
        <w:rPr>
          <w:sz w:val="24"/>
        </w:rPr>
        <w:t>份，送</w:t>
      </w:r>
      <w:r>
        <w:rPr>
          <w:sz w:val="24"/>
          <w:u w:val="none"/>
        </w:rPr>
        <w:t>（填写需要备案的监管部门的全称）</w:t>
      </w:r>
      <w:r>
        <w:rPr>
          <w:sz w:val="24"/>
        </w:rPr>
        <w:t>备案</w:t>
      </w:r>
      <w:r>
        <w:rPr>
          <w:sz w:val="24"/>
          <w:u w:val="none"/>
        </w:rPr>
        <w:t>（填写具体份数）</w:t>
      </w:r>
      <w:r>
        <w:rPr>
          <w:sz w:val="24"/>
        </w:rPr>
        <w:t>份，具有同等效力。</w:t>
      </w:r>
    </w:p>
    <w:p w14:paraId="55333D34">
      <w:pPr>
        <w:spacing w:line="360" w:lineRule="auto"/>
        <w:rPr>
          <w:sz w:val="24"/>
        </w:rPr>
      </w:pPr>
      <w:r>
        <w:rPr>
          <w:sz w:val="24"/>
        </w:rPr>
        <w:t>15.5其他：□无。□</w:t>
      </w:r>
      <w:r>
        <w:rPr>
          <w:sz w:val="24"/>
          <w:u w:val="none"/>
        </w:rPr>
        <w:t>（按照实际情况编制填写需要增加的内容）</w:t>
      </w:r>
      <w:r>
        <w:rPr>
          <w:sz w:val="24"/>
        </w:rPr>
        <w:t>。</w:t>
      </w:r>
    </w:p>
    <w:p w14:paraId="76951D45">
      <w:pPr>
        <w:spacing w:line="360" w:lineRule="auto"/>
      </w:pPr>
      <w:r>
        <w:rPr>
          <w:sz w:val="24"/>
        </w:rPr>
        <w:t>（以下无正文）</w:t>
      </w:r>
    </w:p>
    <w:p w14:paraId="0062B721">
      <w:pPr>
        <w:pStyle w:val="26"/>
        <w:spacing w:before="75" w:after="75"/>
      </w:pPr>
      <w:r>
        <w:t>甲方：                乙方：</w:t>
      </w:r>
    </w:p>
    <w:p w14:paraId="5DA6C176">
      <w:pPr>
        <w:pStyle w:val="26"/>
        <w:spacing w:before="75" w:after="75"/>
      </w:pPr>
      <w:r>
        <w:t>住所：                住所：</w:t>
      </w:r>
    </w:p>
    <w:p w14:paraId="4777E74B">
      <w:pPr>
        <w:pStyle w:val="26"/>
        <w:spacing w:before="75" w:after="75"/>
      </w:pPr>
      <w:r>
        <w:t>单位负责人：             单位负责人： </w:t>
      </w:r>
    </w:p>
    <w:p w14:paraId="01B41443">
      <w:pPr>
        <w:pStyle w:val="26"/>
        <w:spacing w:before="75" w:after="75"/>
      </w:pPr>
      <w:r>
        <w:t>委托代理人：            委托代理人：</w:t>
      </w:r>
    </w:p>
    <w:p w14:paraId="277AEEB4">
      <w:pPr>
        <w:pStyle w:val="26"/>
        <w:spacing w:before="75" w:after="75"/>
      </w:pPr>
      <w:r>
        <w:t>联系方法：              联系方法：</w:t>
      </w:r>
    </w:p>
    <w:p w14:paraId="75BE7110">
      <w:pPr>
        <w:pStyle w:val="26"/>
        <w:spacing w:before="75" w:after="75"/>
      </w:pPr>
      <w:r>
        <w:t>开户银行：           </w:t>
      </w:r>
      <w:r>
        <w:rPr>
          <w:rFonts w:hint="eastAsia"/>
          <w:lang w:val="en-US" w:eastAsia="zh-CN"/>
        </w:rPr>
        <w:t xml:space="preserve">    </w:t>
      </w:r>
      <w:r>
        <w:t>开户银行：</w:t>
      </w:r>
    </w:p>
    <w:p w14:paraId="59F0498B">
      <w:pPr>
        <w:pStyle w:val="26"/>
        <w:spacing w:before="75" w:after="75"/>
        <w:rPr>
          <w:rFonts w:hint="eastAsia" w:ascii="宋体" w:hAnsi="宋体"/>
          <w:b/>
          <w:bCs/>
          <w:sz w:val="30"/>
          <w:szCs w:val="30"/>
        </w:rPr>
      </w:pPr>
      <w:r>
        <w:t>账号：                账号：</w:t>
      </w:r>
    </w:p>
    <w:p w14:paraId="753D2C7F">
      <w:pPr>
        <w:pStyle w:val="10"/>
        <w:snapToGrid w:val="0"/>
        <w:spacing w:line="360" w:lineRule="auto"/>
        <w:ind w:firstLine="602" w:firstLineChars="200"/>
        <w:jc w:val="center"/>
        <w:outlineLvl w:val="0"/>
        <w:rPr>
          <w:rFonts w:hint="eastAsia" w:ascii="宋体" w:hAnsi="宋体"/>
          <w:b/>
          <w:bCs/>
          <w:sz w:val="30"/>
          <w:szCs w:val="30"/>
        </w:rPr>
      </w:pPr>
    </w:p>
    <w:p w14:paraId="766AE0D4">
      <w:pPr>
        <w:pStyle w:val="10"/>
        <w:snapToGrid w:val="0"/>
        <w:spacing w:line="360" w:lineRule="auto"/>
        <w:ind w:firstLine="602" w:firstLineChars="200"/>
        <w:jc w:val="center"/>
        <w:outlineLvl w:val="0"/>
        <w:rPr>
          <w:rFonts w:hint="eastAsia" w:ascii="宋体" w:hAnsi="宋体"/>
          <w:b/>
          <w:bCs/>
          <w:sz w:val="30"/>
          <w:szCs w:val="30"/>
        </w:rPr>
      </w:pPr>
      <w:r>
        <w:rPr>
          <w:rFonts w:hint="eastAsia" w:ascii="宋体" w:hAnsi="宋体"/>
          <w:b/>
          <w:bCs/>
          <w:sz w:val="30"/>
          <w:szCs w:val="30"/>
        </w:rPr>
        <w:t>第五章  竞争性谈判响应文件格式</w:t>
      </w:r>
      <w:bookmarkEnd w:id="15"/>
    </w:p>
    <w:p w14:paraId="669C2631">
      <w:pPr>
        <w:pStyle w:val="73"/>
        <w:spacing w:line="360" w:lineRule="auto"/>
        <w:ind w:firstLine="480" w:firstLineChars="200"/>
        <w:rPr>
          <w:rFonts w:hint="eastAsia" w:hAnsi="宋体"/>
          <w:color w:val="auto"/>
        </w:rPr>
      </w:pPr>
    </w:p>
    <w:tbl>
      <w:tblPr>
        <w:tblStyle w:val="31"/>
        <w:tblW w:w="0" w:type="auto"/>
        <w:tblInd w:w="4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1"/>
      </w:tblGrid>
      <w:tr w14:paraId="736AE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7" w:hRule="atLeast"/>
        </w:trPr>
        <w:tc>
          <w:tcPr>
            <w:tcW w:w="9331" w:type="dxa"/>
            <w:noWrap w:val="0"/>
            <w:vAlign w:val="top"/>
          </w:tcPr>
          <w:p w14:paraId="38570A2E">
            <w:pPr>
              <w:spacing w:before="120" w:line="360" w:lineRule="auto"/>
              <w:ind w:right="132" w:firstLine="235" w:firstLineChars="98"/>
              <w:rPr>
                <w:rFonts w:ascii="宋体" w:hAnsi="宋体"/>
                <w:sz w:val="24"/>
              </w:rPr>
            </w:pPr>
            <w:r>
              <w:rPr>
                <w:rFonts w:hint="eastAsia" w:ascii="宋体" w:hAnsi="宋体"/>
                <w:sz w:val="24"/>
              </w:rPr>
              <w:t>注释：</w:t>
            </w:r>
            <w:r>
              <w:rPr>
                <w:rFonts w:ascii="宋体" w:hAnsi="宋体"/>
                <w:sz w:val="24"/>
              </w:rPr>
              <w:t xml:space="preserve"> </w:t>
            </w:r>
          </w:p>
          <w:p w14:paraId="12F84C8D">
            <w:pPr>
              <w:spacing w:before="120" w:line="360" w:lineRule="auto"/>
              <w:ind w:right="132" w:firstLine="236" w:firstLineChars="98"/>
              <w:rPr>
                <w:rFonts w:hint="eastAsia" w:ascii="宋体" w:hAnsi="宋体"/>
                <w:sz w:val="24"/>
              </w:rPr>
            </w:pPr>
            <w:r>
              <w:rPr>
                <w:rFonts w:hint="eastAsia" w:ascii="宋体" w:hAnsi="宋体"/>
                <w:b/>
                <w:sz w:val="24"/>
              </w:rPr>
              <w:t>《</w:t>
            </w:r>
            <w:r>
              <w:rPr>
                <w:rFonts w:hint="eastAsia" w:ascii="宋体" w:hAnsi="宋体"/>
                <w:sz w:val="24"/>
              </w:rPr>
              <w:t>竞争性谈判响应文件格式》是竞争性谈判供应商的部分竞争性谈判响应文件格式和签订合同时所需文件的格式。竞争性谈判供应商应参照这些格式文件制作竞争性谈判响应文件。</w:t>
            </w:r>
          </w:p>
        </w:tc>
      </w:tr>
    </w:tbl>
    <w:p w14:paraId="462EB367">
      <w:pPr>
        <w:tabs>
          <w:tab w:val="center" w:pos="12420"/>
        </w:tabs>
        <w:spacing w:line="360" w:lineRule="auto"/>
        <w:ind w:right="947" w:rightChars="451" w:firstLine="482" w:firstLineChars="200"/>
        <w:jc w:val="center"/>
        <w:rPr>
          <w:rFonts w:hint="eastAsia" w:ascii="宋体" w:hAnsi="宋体"/>
          <w:b/>
          <w:bCs/>
          <w:sz w:val="24"/>
        </w:rPr>
      </w:pPr>
    </w:p>
    <w:p w14:paraId="0DE1A7F0">
      <w:pPr>
        <w:tabs>
          <w:tab w:val="center" w:pos="12420"/>
        </w:tabs>
        <w:spacing w:line="360" w:lineRule="auto"/>
        <w:ind w:right="947" w:rightChars="451" w:firstLine="482" w:firstLineChars="200"/>
        <w:jc w:val="center"/>
        <w:rPr>
          <w:rFonts w:hint="eastAsia" w:ascii="宋体" w:hAnsi="宋体"/>
          <w:b/>
          <w:bCs/>
          <w:sz w:val="24"/>
        </w:rPr>
      </w:pPr>
    </w:p>
    <w:p w14:paraId="0F05D4A3">
      <w:pPr>
        <w:tabs>
          <w:tab w:val="center" w:pos="12420"/>
        </w:tabs>
        <w:spacing w:line="360" w:lineRule="auto"/>
        <w:ind w:right="947" w:rightChars="451" w:firstLine="482" w:firstLineChars="200"/>
        <w:jc w:val="center"/>
        <w:rPr>
          <w:rFonts w:hint="eastAsia" w:ascii="宋体" w:hAnsi="宋体"/>
          <w:b/>
          <w:bCs/>
          <w:sz w:val="24"/>
        </w:rPr>
      </w:pPr>
    </w:p>
    <w:p w14:paraId="06DB7892">
      <w:pPr>
        <w:tabs>
          <w:tab w:val="center" w:pos="12420"/>
        </w:tabs>
        <w:spacing w:line="360" w:lineRule="auto"/>
        <w:ind w:right="947" w:rightChars="451" w:firstLine="482" w:firstLineChars="200"/>
        <w:jc w:val="center"/>
        <w:rPr>
          <w:rFonts w:hint="eastAsia" w:ascii="宋体" w:hAnsi="宋体"/>
          <w:b/>
          <w:bCs/>
          <w:sz w:val="24"/>
        </w:rPr>
      </w:pPr>
    </w:p>
    <w:p w14:paraId="6A1C864F">
      <w:pPr>
        <w:tabs>
          <w:tab w:val="center" w:pos="12420"/>
        </w:tabs>
        <w:spacing w:line="360" w:lineRule="auto"/>
        <w:ind w:right="947" w:rightChars="451" w:firstLine="482" w:firstLineChars="200"/>
        <w:jc w:val="center"/>
        <w:rPr>
          <w:rFonts w:hint="eastAsia" w:ascii="宋体" w:hAnsi="宋体"/>
          <w:b/>
          <w:bCs/>
          <w:sz w:val="24"/>
        </w:rPr>
      </w:pPr>
    </w:p>
    <w:p w14:paraId="5D17419D">
      <w:pPr>
        <w:tabs>
          <w:tab w:val="center" w:pos="12420"/>
        </w:tabs>
        <w:spacing w:line="360" w:lineRule="auto"/>
        <w:ind w:right="947" w:rightChars="451" w:firstLine="482" w:firstLineChars="200"/>
        <w:jc w:val="center"/>
        <w:rPr>
          <w:rFonts w:hint="eastAsia" w:ascii="宋体" w:hAnsi="宋体"/>
          <w:b/>
          <w:bCs/>
          <w:sz w:val="24"/>
        </w:rPr>
      </w:pPr>
    </w:p>
    <w:p w14:paraId="32082146">
      <w:pPr>
        <w:tabs>
          <w:tab w:val="center" w:pos="12420"/>
        </w:tabs>
        <w:spacing w:line="360" w:lineRule="auto"/>
        <w:ind w:right="947" w:rightChars="451" w:firstLine="482" w:firstLineChars="200"/>
        <w:jc w:val="center"/>
        <w:rPr>
          <w:rFonts w:hint="eastAsia" w:ascii="宋体" w:hAnsi="宋体"/>
          <w:b/>
          <w:bCs/>
          <w:sz w:val="24"/>
        </w:rPr>
      </w:pPr>
    </w:p>
    <w:p w14:paraId="067F43BC">
      <w:pPr>
        <w:tabs>
          <w:tab w:val="center" w:pos="12420"/>
        </w:tabs>
        <w:spacing w:line="360" w:lineRule="auto"/>
        <w:ind w:right="947" w:rightChars="451" w:firstLine="482" w:firstLineChars="200"/>
        <w:jc w:val="center"/>
        <w:rPr>
          <w:rFonts w:hint="eastAsia" w:ascii="宋体" w:hAnsi="宋体"/>
          <w:b/>
          <w:bCs/>
          <w:sz w:val="24"/>
        </w:rPr>
      </w:pPr>
    </w:p>
    <w:p w14:paraId="3FD67FCD">
      <w:pPr>
        <w:tabs>
          <w:tab w:val="center" w:pos="12420"/>
        </w:tabs>
        <w:spacing w:line="360" w:lineRule="auto"/>
        <w:ind w:right="947" w:rightChars="451" w:firstLine="482" w:firstLineChars="200"/>
        <w:jc w:val="center"/>
        <w:rPr>
          <w:rFonts w:hint="eastAsia" w:ascii="宋体" w:hAnsi="宋体"/>
          <w:b/>
          <w:bCs/>
          <w:sz w:val="24"/>
        </w:rPr>
      </w:pPr>
    </w:p>
    <w:p w14:paraId="4E5C4628">
      <w:pPr>
        <w:tabs>
          <w:tab w:val="center" w:pos="12420"/>
        </w:tabs>
        <w:spacing w:line="360" w:lineRule="auto"/>
        <w:ind w:right="947" w:rightChars="451" w:firstLine="482" w:firstLineChars="200"/>
        <w:jc w:val="center"/>
        <w:rPr>
          <w:rFonts w:hint="eastAsia" w:ascii="宋体" w:hAnsi="宋体"/>
          <w:b/>
          <w:bCs/>
          <w:sz w:val="24"/>
        </w:rPr>
      </w:pPr>
    </w:p>
    <w:p w14:paraId="39943456">
      <w:pPr>
        <w:tabs>
          <w:tab w:val="center" w:pos="12420"/>
        </w:tabs>
        <w:spacing w:line="360" w:lineRule="auto"/>
        <w:ind w:right="947" w:rightChars="451" w:firstLine="482" w:firstLineChars="200"/>
        <w:jc w:val="center"/>
        <w:rPr>
          <w:rFonts w:hint="eastAsia" w:ascii="宋体" w:hAnsi="宋体"/>
          <w:b/>
          <w:bCs/>
          <w:sz w:val="24"/>
        </w:rPr>
      </w:pPr>
    </w:p>
    <w:p w14:paraId="797E0EA8">
      <w:pPr>
        <w:tabs>
          <w:tab w:val="center" w:pos="12420"/>
        </w:tabs>
        <w:spacing w:line="360" w:lineRule="auto"/>
        <w:ind w:right="947" w:rightChars="451" w:firstLine="482" w:firstLineChars="200"/>
        <w:jc w:val="center"/>
        <w:rPr>
          <w:rFonts w:hint="eastAsia" w:ascii="宋体" w:hAnsi="宋体"/>
          <w:b/>
          <w:bCs/>
          <w:sz w:val="24"/>
        </w:rPr>
      </w:pPr>
    </w:p>
    <w:p w14:paraId="2279ECB7">
      <w:pPr>
        <w:tabs>
          <w:tab w:val="center" w:pos="12420"/>
        </w:tabs>
        <w:spacing w:line="360" w:lineRule="auto"/>
        <w:ind w:right="947" w:rightChars="451" w:firstLine="482" w:firstLineChars="200"/>
        <w:jc w:val="center"/>
        <w:rPr>
          <w:rFonts w:hint="eastAsia" w:ascii="宋体" w:hAnsi="宋体"/>
          <w:b/>
          <w:bCs/>
          <w:sz w:val="24"/>
        </w:rPr>
      </w:pPr>
    </w:p>
    <w:p w14:paraId="7B5CB609">
      <w:pPr>
        <w:tabs>
          <w:tab w:val="center" w:pos="12420"/>
        </w:tabs>
        <w:spacing w:line="360" w:lineRule="auto"/>
        <w:ind w:right="947" w:rightChars="451" w:firstLine="482" w:firstLineChars="200"/>
        <w:jc w:val="center"/>
        <w:rPr>
          <w:rFonts w:hint="eastAsia" w:ascii="宋体" w:hAnsi="宋体"/>
          <w:b/>
          <w:bCs/>
          <w:sz w:val="24"/>
        </w:rPr>
      </w:pPr>
    </w:p>
    <w:p w14:paraId="358669D8">
      <w:pPr>
        <w:tabs>
          <w:tab w:val="center" w:pos="12420"/>
        </w:tabs>
        <w:spacing w:line="360" w:lineRule="auto"/>
        <w:ind w:right="947" w:rightChars="451" w:firstLine="482" w:firstLineChars="200"/>
        <w:jc w:val="center"/>
        <w:rPr>
          <w:rFonts w:hint="eastAsia" w:ascii="宋体" w:hAnsi="宋体"/>
          <w:b/>
          <w:bCs/>
          <w:sz w:val="24"/>
        </w:rPr>
      </w:pPr>
    </w:p>
    <w:p w14:paraId="21682652">
      <w:pPr>
        <w:tabs>
          <w:tab w:val="center" w:pos="12420"/>
        </w:tabs>
        <w:spacing w:line="360" w:lineRule="auto"/>
        <w:ind w:right="947" w:rightChars="451" w:firstLine="482" w:firstLineChars="200"/>
        <w:jc w:val="center"/>
        <w:rPr>
          <w:rFonts w:hint="eastAsia" w:ascii="宋体" w:hAnsi="宋体"/>
          <w:b/>
          <w:bCs/>
          <w:sz w:val="24"/>
        </w:rPr>
      </w:pPr>
    </w:p>
    <w:p w14:paraId="67F3DA6E">
      <w:pPr>
        <w:jc w:val="center"/>
        <w:rPr>
          <w:rFonts w:hint="eastAsia"/>
          <w:b/>
          <w:bCs/>
          <w:sz w:val="72"/>
          <w:szCs w:val="72"/>
        </w:rPr>
      </w:pPr>
    </w:p>
    <w:p w14:paraId="7A19E98B">
      <w:pPr>
        <w:jc w:val="center"/>
        <w:rPr>
          <w:rFonts w:hint="eastAsia"/>
          <w:b/>
          <w:bCs/>
          <w:sz w:val="72"/>
          <w:szCs w:val="72"/>
        </w:rPr>
      </w:pPr>
    </w:p>
    <w:p w14:paraId="46246596">
      <w:pPr>
        <w:jc w:val="center"/>
        <w:rPr>
          <w:rFonts w:hint="eastAsia"/>
          <w:b/>
          <w:bCs/>
          <w:sz w:val="72"/>
          <w:szCs w:val="72"/>
        </w:rPr>
      </w:pPr>
      <w:r>
        <w:rPr>
          <w:rFonts w:hint="eastAsia"/>
          <w:b/>
          <w:bCs/>
          <w:sz w:val="72"/>
          <w:szCs w:val="72"/>
        </w:rPr>
        <w:t>竞争性谈判响应文件</w:t>
      </w:r>
    </w:p>
    <w:p w14:paraId="45543E04">
      <w:pPr>
        <w:jc w:val="center"/>
        <w:rPr>
          <w:rFonts w:hint="eastAsia" w:ascii="宋体" w:hAnsi="宋体"/>
          <w:sz w:val="44"/>
          <w:szCs w:val="44"/>
        </w:rPr>
      </w:pPr>
    </w:p>
    <w:p w14:paraId="41B69F37">
      <w:pPr>
        <w:spacing w:line="360" w:lineRule="auto"/>
        <w:ind w:firstLine="2182" w:firstLineChars="494"/>
        <w:rPr>
          <w:rFonts w:hint="eastAsia" w:ascii="宋体" w:hAnsi="宋体"/>
          <w:b/>
          <w:sz w:val="44"/>
          <w:szCs w:val="44"/>
        </w:rPr>
      </w:pPr>
    </w:p>
    <w:p w14:paraId="3A9E379A">
      <w:pPr>
        <w:jc w:val="center"/>
        <w:rPr>
          <w:rFonts w:hint="eastAsia"/>
          <w:b/>
          <w:bCs/>
          <w:sz w:val="44"/>
          <w:szCs w:val="44"/>
        </w:rPr>
      </w:pPr>
      <w:r>
        <w:rPr>
          <w:rFonts w:hint="eastAsia"/>
          <w:b/>
          <w:bCs/>
          <w:sz w:val="44"/>
          <w:szCs w:val="44"/>
        </w:rPr>
        <w:t>响应书</w:t>
      </w:r>
    </w:p>
    <w:p w14:paraId="4B695288">
      <w:pPr>
        <w:jc w:val="center"/>
        <w:rPr>
          <w:rFonts w:hint="eastAsia"/>
          <w:sz w:val="44"/>
          <w:szCs w:val="44"/>
        </w:rPr>
      </w:pPr>
      <w:r>
        <w:rPr>
          <w:rFonts w:hint="eastAsia"/>
          <w:sz w:val="44"/>
          <w:szCs w:val="44"/>
        </w:rPr>
        <w:t>（请在此注明正本或副本）</w:t>
      </w:r>
    </w:p>
    <w:p w14:paraId="40E82F04">
      <w:pPr>
        <w:spacing w:line="360" w:lineRule="auto"/>
        <w:ind w:firstLine="3048" w:firstLineChars="690"/>
        <w:rPr>
          <w:rFonts w:hint="eastAsia" w:ascii="宋体" w:hAnsi="宋体"/>
          <w:b/>
          <w:sz w:val="44"/>
          <w:szCs w:val="44"/>
        </w:rPr>
      </w:pPr>
    </w:p>
    <w:p w14:paraId="07EC819E">
      <w:pPr>
        <w:spacing w:line="360" w:lineRule="auto"/>
        <w:ind w:firstLine="723" w:firstLineChars="200"/>
        <w:jc w:val="center"/>
        <w:rPr>
          <w:rFonts w:hint="eastAsia" w:ascii="宋体" w:hAnsi="宋体"/>
          <w:b/>
          <w:sz w:val="36"/>
        </w:rPr>
      </w:pPr>
    </w:p>
    <w:p w14:paraId="7F683034">
      <w:pPr>
        <w:spacing w:line="360" w:lineRule="auto"/>
        <w:ind w:firstLine="723" w:firstLineChars="200"/>
        <w:jc w:val="center"/>
        <w:rPr>
          <w:rFonts w:hint="eastAsia" w:ascii="宋体" w:hAnsi="宋体"/>
          <w:b/>
          <w:sz w:val="36"/>
        </w:rPr>
      </w:pPr>
    </w:p>
    <w:p w14:paraId="504E8EBE">
      <w:pPr>
        <w:ind w:firstLine="720" w:firstLineChars="200"/>
        <w:rPr>
          <w:rFonts w:hint="eastAsia"/>
          <w:sz w:val="36"/>
          <w:szCs w:val="36"/>
          <w:u w:val="single"/>
        </w:rPr>
      </w:pPr>
      <w:r>
        <w:rPr>
          <w:rFonts w:hint="eastAsia"/>
          <w:sz w:val="36"/>
          <w:szCs w:val="36"/>
        </w:rPr>
        <w:t>项 目 名 称：</w:t>
      </w:r>
      <w:r>
        <w:rPr>
          <w:rFonts w:hint="eastAsia"/>
          <w:sz w:val="36"/>
          <w:szCs w:val="36"/>
          <w:u w:val="single"/>
        </w:rPr>
        <w:t xml:space="preserve">               </w:t>
      </w:r>
    </w:p>
    <w:p w14:paraId="775BCFAC">
      <w:pPr>
        <w:ind w:firstLine="720" w:firstLineChars="200"/>
        <w:rPr>
          <w:rFonts w:hint="eastAsia"/>
          <w:sz w:val="36"/>
          <w:szCs w:val="36"/>
          <w:u w:val="single"/>
        </w:rPr>
      </w:pPr>
      <w:r>
        <w:rPr>
          <w:rFonts w:hint="eastAsia"/>
          <w:sz w:val="36"/>
          <w:szCs w:val="36"/>
        </w:rPr>
        <w:t>项 目 编 号：</w:t>
      </w:r>
      <w:r>
        <w:rPr>
          <w:rFonts w:hint="eastAsia"/>
          <w:sz w:val="36"/>
          <w:szCs w:val="36"/>
          <w:u w:val="single"/>
        </w:rPr>
        <w:t xml:space="preserve">               </w:t>
      </w:r>
    </w:p>
    <w:p w14:paraId="12BF16FC">
      <w:pPr>
        <w:spacing w:line="360" w:lineRule="auto"/>
        <w:ind w:firstLine="723" w:firstLineChars="200"/>
        <w:rPr>
          <w:rFonts w:hint="eastAsia" w:ascii="宋体" w:hAnsi="宋体"/>
          <w:b/>
          <w:sz w:val="36"/>
          <w:szCs w:val="36"/>
        </w:rPr>
      </w:pPr>
    </w:p>
    <w:p w14:paraId="3B1DE7D5">
      <w:pPr>
        <w:spacing w:line="360" w:lineRule="auto"/>
        <w:ind w:firstLine="723" w:firstLineChars="200"/>
        <w:rPr>
          <w:rFonts w:hint="eastAsia" w:ascii="宋体" w:hAnsi="宋体"/>
          <w:b/>
          <w:sz w:val="36"/>
          <w:szCs w:val="36"/>
        </w:rPr>
      </w:pPr>
    </w:p>
    <w:p w14:paraId="3447435E">
      <w:pPr>
        <w:spacing w:line="360" w:lineRule="auto"/>
        <w:ind w:firstLine="723" w:firstLineChars="200"/>
        <w:rPr>
          <w:rFonts w:hint="eastAsia" w:ascii="宋体" w:hAnsi="宋体"/>
          <w:b/>
          <w:sz w:val="36"/>
          <w:szCs w:val="36"/>
        </w:rPr>
      </w:pPr>
    </w:p>
    <w:p w14:paraId="3103ECD8">
      <w:pPr>
        <w:spacing w:line="360" w:lineRule="auto"/>
        <w:ind w:firstLine="723" w:firstLineChars="200"/>
        <w:rPr>
          <w:rFonts w:hint="eastAsia" w:ascii="宋体" w:hAnsi="宋体"/>
          <w:b/>
          <w:sz w:val="36"/>
          <w:szCs w:val="36"/>
        </w:rPr>
      </w:pPr>
    </w:p>
    <w:p w14:paraId="4A04AEF0">
      <w:pPr>
        <w:ind w:firstLine="720" w:firstLineChars="200"/>
        <w:rPr>
          <w:rFonts w:hint="eastAsia"/>
          <w:sz w:val="36"/>
          <w:szCs w:val="36"/>
          <w:u w:val="single"/>
        </w:rPr>
      </w:pPr>
      <w:r>
        <w:rPr>
          <w:rFonts w:hint="eastAsia"/>
          <w:sz w:val="36"/>
          <w:szCs w:val="36"/>
        </w:rPr>
        <w:t xml:space="preserve">      供应商名称 ：</w:t>
      </w:r>
      <w:r>
        <w:rPr>
          <w:rFonts w:hint="eastAsia"/>
          <w:sz w:val="36"/>
          <w:szCs w:val="36"/>
          <w:u w:val="single"/>
        </w:rPr>
        <w:t xml:space="preserve">               </w:t>
      </w:r>
    </w:p>
    <w:p w14:paraId="7AC7C433">
      <w:pPr>
        <w:ind w:firstLine="720" w:firstLineChars="200"/>
        <w:rPr>
          <w:rFonts w:hint="eastAsia"/>
          <w:sz w:val="36"/>
          <w:szCs w:val="36"/>
          <w:u w:val="single"/>
        </w:rPr>
      </w:pPr>
      <w:r>
        <w:rPr>
          <w:rFonts w:hint="eastAsia"/>
          <w:sz w:val="36"/>
          <w:szCs w:val="36"/>
        </w:rPr>
        <w:t xml:space="preserve">      日      期 ：</w:t>
      </w:r>
      <w:r>
        <w:rPr>
          <w:rFonts w:hint="eastAsia"/>
          <w:sz w:val="36"/>
          <w:szCs w:val="36"/>
          <w:u w:val="single"/>
        </w:rPr>
        <w:t xml:space="preserve">               </w:t>
      </w:r>
    </w:p>
    <w:p w14:paraId="25A55E88">
      <w:pPr>
        <w:ind w:firstLine="720" w:firstLineChars="200"/>
        <w:rPr>
          <w:rFonts w:hint="eastAsia"/>
          <w:sz w:val="36"/>
          <w:szCs w:val="36"/>
        </w:rPr>
      </w:pPr>
    </w:p>
    <w:p w14:paraId="492F2DE8">
      <w:pPr>
        <w:spacing w:line="360" w:lineRule="auto"/>
        <w:ind w:firstLine="1554" w:firstLineChars="740"/>
        <w:rPr>
          <w:rFonts w:hint="eastAsia" w:ascii="宋体" w:hAnsi="宋体"/>
        </w:rPr>
      </w:pPr>
    </w:p>
    <w:p w14:paraId="0F6FF35C">
      <w:pPr>
        <w:spacing w:line="360" w:lineRule="auto"/>
        <w:ind w:left="239" w:leftChars="114" w:firstLine="1680" w:firstLineChars="800"/>
        <w:jc w:val="left"/>
        <w:rPr>
          <w:rFonts w:hint="eastAsia" w:ascii="宋体" w:hAnsi="宋体"/>
        </w:rPr>
      </w:pPr>
      <w:r>
        <w:rPr>
          <w:rFonts w:hint="eastAsia" w:ascii="宋体" w:hAnsi="宋体"/>
        </w:rPr>
        <w:t xml:space="preserve"> </w:t>
      </w:r>
    </w:p>
    <w:p w14:paraId="533C25B6">
      <w:pPr>
        <w:spacing w:line="360" w:lineRule="auto"/>
        <w:jc w:val="center"/>
        <w:rPr>
          <w:rFonts w:hint="eastAsia"/>
          <w:b/>
          <w:bCs/>
          <w:sz w:val="32"/>
          <w:szCs w:val="32"/>
        </w:rPr>
      </w:pPr>
    </w:p>
    <w:p w14:paraId="2741965E">
      <w:pPr>
        <w:spacing w:line="360" w:lineRule="auto"/>
        <w:jc w:val="center"/>
        <w:rPr>
          <w:rFonts w:hint="eastAsia"/>
          <w:b/>
          <w:bCs/>
          <w:sz w:val="32"/>
          <w:szCs w:val="32"/>
        </w:rPr>
      </w:pPr>
    </w:p>
    <w:p w14:paraId="4080D2D0">
      <w:pPr>
        <w:spacing w:line="360" w:lineRule="auto"/>
        <w:jc w:val="center"/>
        <w:rPr>
          <w:rFonts w:hint="eastAsia"/>
          <w:b/>
          <w:bCs/>
          <w:sz w:val="32"/>
          <w:szCs w:val="32"/>
        </w:rPr>
      </w:pPr>
      <w:r>
        <w:rPr>
          <w:rFonts w:hint="eastAsia"/>
          <w:b/>
          <w:bCs/>
          <w:sz w:val="32"/>
          <w:szCs w:val="32"/>
        </w:rPr>
        <w:t>响应书目录</w:t>
      </w:r>
    </w:p>
    <w:p w14:paraId="642EF2C6">
      <w:pPr>
        <w:spacing w:line="360" w:lineRule="auto"/>
        <w:rPr>
          <w:rFonts w:hint="eastAsia" w:ascii="宋体" w:hAnsi="宋体" w:cs="宋体"/>
          <w:sz w:val="24"/>
        </w:rPr>
      </w:pPr>
      <w:r>
        <w:rPr>
          <w:rFonts w:hint="eastAsia" w:ascii="宋体" w:hAnsi="宋体" w:cs="宋体"/>
          <w:sz w:val="24"/>
        </w:rPr>
        <w:t>1.响应函；</w:t>
      </w:r>
    </w:p>
    <w:p w14:paraId="0EF2241D">
      <w:pPr>
        <w:spacing w:line="360" w:lineRule="auto"/>
        <w:rPr>
          <w:rFonts w:hint="eastAsia" w:ascii="宋体" w:hAnsi="宋体" w:cs="宋体"/>
          <w:sz w:val="24"/>
        </w:rPr>
      </w:pPr>
      <w:r>
        <w:rPr>
          <w:rFonts w:hint="eastAsia" w:ascii="宋体" w:hAnsi="宋体" w:cs="宋体"/>
          <w:sz w:val="24"/>
        </w:rPr>
        <w:t>2.报价一览表；</w:t>
      </w:r>
    </w:p>
    <w:p w14:paraId="2CE44A79">
      <w:pPr>
        <w:spacing w:line="360" w:lineRule="auto"/>
        <w:rPr>
          <w:rFonts w:hint="eastAsia" w:ascii="宋体" w:hAnsi="宋体" w:cs="宋体"/>
          <w:sz w:val="24"/>
        </w:rPr>
      </w:pPr>
      <w:r>
        <w:rPr>
          <w:rFonts w:hint="eastAsia" w:ascii="宋体" w:hAnsi="宋体" w:cs="宋体"/>
          <w:sz w:val="24"/>
        </w:rPr>
        <w:t>3.谈判供应商资格证明文件</w:t>
      </w:r>
    </w:p>
    <w:p w14:paraId="4E0EFC93">
      <w:pPr>
        <w:spacing w:line="360" w:lineRule="auto"/>
        <w:rPr>
          <w:rFonts w:hint="eastAsia" w:ascii="宋体" w:hAnsi="宋体" w:cs="宋体"/>
          <w:sz w:val="24"/>
        </w:rPr>
      </w:pPr>
      <w:r>
        <w:rPr>
          <w:rFonts w:hint="eastAsia" w:ascii="宋体" w:hAnsi="宋体" w:cs="宋体"/>
          <w:sz w:val="24"/>
        </w:rPr>
        <w:t>4.采购内容及要求承诺书；</w:t>
      </w:r>
    </w:p>
    <w:p w14:paraId="7F091C08">
      <w:pPr>
        <w:spacing w:line="360" w:lineRule="auto"/>
        <w:rPr>
          <w:rFonts w:hint="eastAsia" w:ascii="宋体" w:hAnsi="宋体" w:cs="宋体"/>
          <w:sz w:val="24"/>
        </w:rPr>
      </w:pPr>
      <w:r>
        <w:rPr>
          <w:rFonts w:hint="eastAsia" w:ascii="宋体" w:hAnsi="宋体" w:cs="宋体"/>
          <w:sz w:val="24"/>
        </w:rPr>
        <w:t>5.提交的其他资料。</w:t>
      </w:r>
    </w:p>
    <w:p w14:paraId="0B1A25C4">
      <w:pPr>
        <w:tabs>
          <w:tab w:val="center" w:pos="12420"/>
        </w:tabs>
        <w:spacing w:line="360" w:lineRule="auto"/>
        <w:ind w:right="947" w:rightChars="451" w:firstLine="643" w:firstLineChars="200"/>
        <w:jc w:val="center"/>
        <w:rPr>
          <w:rFonts w:hint="eastAsia" w:ascii="宋体" w:hAnsi="宋体"/>
          <w:b/>
          <w:bCs/>
          <w:sz w:val="32"/>
          <w:szCs w:val="32"/>
        </w:rPr>
      </w:pPr>
    </w:p>
    <w:p w14:paraId="129DA5CA">
      <w:pPr>
        <w:tabs>
          <w:tab w:val="center" w:pos="12420"/>
        </w:tabs>
        <w:spacing w:line="360" w:lineRule="auto"/>
        <w:ind w:right="947" w:rightChars="451" w:firstLine="643" w:firstLineChars="200"/>
        <w:jc w:val="center"/>
        <w:rPr>
          <w:rFonts w:hint="eastAsia" w:ascii="宋体" w:hAnsi="宋体"/>
          <w:b/>
          <w:bCs/>
          <w:sz w:val="32"/>
          <w:szCs w:val="32"/>
        </w:rPr>
      </w:pPr>
    </w:p>
    <w:p w14:paraId="70D5B9C7">
      <w:pPr>
        <w:tabs>
          <w:tab w:val="center" w:pos="12420"/>
        </w:tabs>
        <w:spacing w:line="360" w:lineRule="auto"/>
        <w:ind w:right="947" w:rightChars="451" w:firstLine="643" w:firstLineChars="200"/>
        <w:jc w:val="center"/>
        <w:rPr>
          <w:rFonts w:hint="eastAsia" w:ascii="宋体" w:hAnsi="宋体"/>
          <w:b/>
          <w:bCs/>
          <w:sz w:val="32"/>
          <w:szCs w:val="32"/>
        </w:rPr>
      </w:pPr>
    </w:p>
    <w:p w14:paraId="4074CA35">
      <w:pPr>
        <w:tabs>
          <w:tab w:val="center" w:pos="12420"/>
        </w:tabs>
        <w:spacing w:line="360" w:lineRule="auto"/>
        <w:ind w:right="947" w:rightChars="451" w:firstLine="643" w:firstLineChars="200"/>
        <w:jc w:val="center"/>
        <w:rPr>
          <w:rFonts w:hint="eastAsia" w:ascii="宋体" w:hAnsi="宋体"/>
          <w:b/>
          <w:bCs/>
          <w:sz w:val="32"/>
          <w:szCs w:val="32"/>
        </w:rPr>
      </w:pPr>
    </w:p>
    <w:p w14:paraId="0E09A276">
      <w:pPr>
        <w:tabs>
          <w:tab w:val="center" w:pos="12420"/>
        </w:tabs>
        <w:spacing w:line="360" w:lineRule="auto"/>
        <w:ind w:right="947" w:rightChars="451" w:firstLine="643" w:firstLineChars="200"/>
        <w:jc w:val="center"/>
        <w:rPr>
          <w:rFonts w:hint="eastAsia" w:ascii="宋体" w:hAnsi="宋体"/>
          <w:b/>
          <w:bCs/>
          <w:sz w:val="32"/>
          <w:szCs w:val="32"/>
        </w:rPr>
      </w:pPr>
    </w:p>
    <w:p w14:paraId="2C420B91">
      <w:pPr>
        <w:tabs>
          <w:tab w:val="center" w:pos="12420"/>
        </w:tabs>
        <w:spacing w:line="360" w:lineRule="auto"/>
        <w:ind w:right="947" w:rightChars="451" w:firstLine="643" w:firstLineChars="200"/>
        <w:jc w:val="center"/>
        <w:rPr>
          <w:rFonts w:hint="eastAsia" w:ascii="宋体" w:hAnsi="宋体"/>
          <w:b/>
          <w:bCs/>
          <w:sz w:val="32"/>
          <w:szCs w:val="32"/>
        </w:rPr>
      </w:pPr>
    </w:p>
    <w:p w14:paraId="55145646">
      <w:pPr>
        <w:tabs>
          <w:tab w:val="center" w:pos="12420"/>
        </w:tabs>
        <w:spacing w:line="360" w:lineRule="auto"/>
        <w:ind w:right="947" w:rightChars="451" w:firstLine="643" w:firstLineChars="200"/>
        <w:jc w:val="center"/>
        <w:rPr>
          <w:rFonts w:hint="eastAsia" w:ascii="宋体" w:hAnsi="宋体"/>
          <w:b/>
          <w:bCs/>
          <w:sz w:val="32"/>
          <w:szCs w:val="32"/>
        </w:rPr>
      </w:pPr>
    </w:p>
    <w:p w14:paraId="5E4B778F">
      <w:pPr>
        <w:tabs>
          <w:tab w:val="center" w:pos="12420"/>
        </w:tabs>
        <w:spacing w:line="360" w:lineRule="auto"/>
        <w:ind w:right="947" w:rightChars="451" w:firstLine="643" w:firstLineChars="200"/>
        <w:jc w:val="center"/>
        <w:rPr>
          <w:rFonts w:hint="eastAsia" w:ascii="宋体" w:hAnsi="宋体"/>
          <w:b/>
          <w:bCs/>
          <w:sz w:val="32"/>
          <w:szCs w:val="32"/>
        </w:rPr>
      </w:pPr>
    </w:p>
    <w:p w14:paraId="520E9B05">
      <w:pPr>
        <w:tabs>
          <w:tab w:val="center" w:pos="12420"/>
        </w:tabs>
        <w:spacing w:line="360" w:lineRule="auto"/>
        <w:ind w:right="947" w:rightChars="451" w:firstLine="643" w:firstLineChars="200"/>
        <w:jc w:val="center"/>
        <w:rPr>
          <w:rFonts w:hint="eastAsia" w:ascii="宋体" w:hAnsi="宋体"/>
          <w:b/>
          <w:bCs/>
          <w:sz w:val="32"/>
          <w:szCs w:val="32"/>
        </w:rPr>
      </w:pPr>
    </w:p>
    <w:p w14:paraId="098BA45A">
      <w:pPr>
        <w:tabs>
          <w:tab w:val="center" w:pos="12420"/>
        </w:tabs>
        <w:spacing w:line="360" w:lineRule="auto"/>
        <w:ind w:right="947" w:rightChars="451" w:firstLine="643" w:firstLineChars="200"/>
        <w:jc w:val="center"/>
        <w:rPr>
          <w:rFonts w:hint="eastAsia" w:ascii="宋体" w:hAnsi="宋体"/>
          <w:b/>
          <w:bCs/>
          <w:sz w:val="32"/>
          <w:szCs w:val="32"/>
        </w:rPr>
      </w:pPr>
    </w:p>
    <w:p w14:paraId="13C6CF1E">
      <w:pPr>
        <w:tabs>
          <w:tab w:val="center" w:pos="12420"/>
        </w:tabs>
        <w:spacing w:line="360" w:lineRule="auto"/>
        <w:ind w:right="947" w:rightChars="451" w:firstLine="643" w:firstLineChars="200"/>
        <w:jc w:val="center"/>
        <w:rPr>
          <w:rFonts w:hint="eastAsia" w:ascii="宋体" w:hAnsi="宋体"/>
          <w:b/>
          <w:bCs/>
          <w:sz w:val="32"/>
          <w:szCs w:val="32"/>
        </w:rPr>
      </w:pPr>
    </w:p>
    <w:p w14:paraId="3CF60459">
      <w:pPr>
        <w:tabs>
          <w:tab w:val="center" w:pos="12420"/>
        </w:tabs>
        <w:spacing w:line="360" w:lineRule="auto"/>
        <w:ind w:right="947" w:rightChars="451" w:firstLine="643" w:firstLineChars="200"/>
        <w:jc w:val="center"/>
        <w:rPr>
          <w:rFonts w:hint="eastAsia" w:ascii="宋体" w:hAnsi="宋体"/>
          <w:b/>
          <w:bCs/>
          <w:sz w:val="32"/>
          <w:szCs w:val="32"/>
        </w:rPr>
      </w:pPr>
    </w:p>
    <w:p w14:paraId="1D8945B9">
      <w:pPr>
        <w:tabs>
          <w:tab w:val="center" w:pos="12420"/>
        </w:tabs>
        <w:spacing w:line="360" w:lineRule="auto"/>
        <w:ind w:right="947" w:rightChars="451" w:firstLine="643" w:firstLineChars="200"/>
        <w:jc w:val="center"/>
        <w:rPr>
          <w:rFonts w:hint="eastAsia" w:ascii="宋体" w:hAnsi="宋体"/>
          <w:b/>
          <w:bCs/>
          <w:sz w:val="32"/>
          <w:szCs w:val="32"/>
        </w:rPr>
      </w:pPr>
    </w:p>
    <w:p w14:paraId="22F68BF1">
      <w:pPr>
        <w:tabs>
          <w:tab w:val="center" w:pos="12420"/>
        </w:tabs>
        <w:spacing w:line="360" w:lineRule="auto"/>
        <w:ind w:right="947" w:rightChars="451" w:firstLine="643" w:firstLineChars="200"/>
        <w:jc w:val="center"/>
        <w:rPr>
          <w:rFonts w:hint="eastAsia" w:ascii="宋体" w:hAnsi="宋体"/>
          <w:b/>
          <w:bCs/>
          <w:sz w:val="32"/>
          <w:szCs w:val="32"/>
        </w:rPr>
      </w:pPr>
    </w:p>
    <w:p w14:paraId="1D0FF79D">
      <w:pPr>
        <w:tabs>
          <w:tab w:val="center" w:pos="12420"/>
        </w:tabs>
        <w:spacing w:line="360" w:lineRule="auto"/>
        <w:ind w:right="947" w:rightChars="451" w:firstLine="643" w:firstLineChars="200"/>
        <w:jc w:val="center"/>
        <w:rPr>
          <w:rFonts w:hint="eastAsia" w:ascii="宋体" w:hAnsi="宋体"/>
          <w:b/>
          <w:bCs/>
          <w:sz w:val="32"/>
          <w:szCs w:val="32"/>
        </w:rPr>
      </w:pPr>
    </w:p>
    <w:p w14:paraId="1F2B01D7">
      <w:pPr>
        <w:tabs>
          <w:tab w:val="center" w:pos="12420"/>
        </w:tabs>
        <w:spacing w:line="360" w:lineRule="auto"/>
        <w:ind w:right="947" w:rightChars="451" w:firstLine="643" w:firstLineChars="200"/>
        <w:jc w:val="center"/>
        <w:rPr>
          <w:rFonts w:hint="eastAsia" w:ascii="宋体" w:hAnsi="宋体"/>
          <w:b/>
          <w:bCs/>
          <w:sz w:val="32"/>
          <w:szCs w:val="32"/>
        </w:rPr>
      </w:pPr>
    </w:p>
    <w:p w14:paraId="41555808">
      <w:pPr>
        <w:tabs>
          <w:tab w:val="center" w:pos="12420"/>
        </w:tabs>
        <w:spacing w:line="360" w:lineRule="auto"/>
        <w:ind w:right="947" w:rightChars="451" w:firstLine="643" w:firstLineChars="200"/>
        <w:jc w:val="center"/>
        <w:rPr>
          <w:rFonts w:hint="eastAsia" w:ascii="宋体" w:hAnsi="宋体"/>
          <w:b/>
          <w:bCs/>
          <w:sz w:val="32"/>
          <w:szCs w:val="32"/>
        </w:rPr>
      </w:pPr>
    </w:p>
    <w:p w14:paraId="47120767">
      <w:pPr>
        <w:spacing w:line="360" w:lineRule="auto"/>
        <w:jc w:val="center"/>
        <w:rPr>
          <w:rFonts w:hint="eastAsia"/>
          <w:b/>
          <w:bCs/>
          <w:sz w:val="32"/>
          <w:szCs w:val="32"/>
        </w:rPr>
      </w:pPr>
      <w:r>
        <w:rPr>
          <w:rFonts w:hint="eastAsia" w:ascii="宋体" w:hAnsi="宋体" w:cs="宋体"/>
          <w:b/>
          <w:bCs/>
          <w:sz w:val="32"/>
          <w:szCs w:val="32"/>
        </w:rPr>
        <w:t>1.响应函</w:t>
      </w:r>
    </w:p>
    <w:p w14:paraId="201B8062">
      <w:pPr>
        <w:tabs>
          <w:tab w:val="center" w:pos="12420"/>
        </w:tabs>
        <w:spacing w:line="336" w:lineRule="auto"/>
        <w:ind w:firstLine="480" w:firstLineChars="200"/>
        <w:rPr>
          <w:rFonts w:ascii="宋体" w:hAnsi="宋体"/>
          <w:bCs/>
          <w:sz w:val="24"/>
          <w:szCs w:val="28"/>
        </w:rPr>
      </w:pPr>
      <w:r>
        <w:rPr>
          <w:rFonts w:hint="eastAsia" w:ascii="宋体" w:hAnsi="宋体"/>
          <w:bCs/>
          <w:sz w:val="24"/>
          <w:szCs w:val="28"/>
        </w:rPr>
        <w:t>致：</w:t>
      </w:r>
      <w:r>
        <w:rPr>
          <w:rFonts w:hint="eastAsia" w:ascii="宋体" w:hAnsi="宋体"/>
          <w:bCs/>
          <w:sz w:val="24"/>
          <w:szCs w:val="28"/>
          <w:lang w:eastAsia="zh-CN"/>
        </w:rPr>
        <w:t>福建优胜招标项目管理集团有限公司</w:t>
      </w:r>
      <w:r>
        <w:rPr>
          <w:rFonts w:hint="eastAsia" w:ascii="宋体" w:hAnsi="宋体"/>
          <w:bCs/>
          <w:sz w:val="24"/>
          <w:szCs w:val="28"/>
        </w:rPr>
        <w:t>：</w:t>
      </w:r>
    </w:p>
    <w:p w14:paraId="29A1A709">
      <w:pPr>
        <w:tabs>
          <w:tab w:val="center" w:pos="12420"/>
        </w:tabs>
        <w:spacing w:line="336" w:lineRule="auto"/>
        <w:ind w:firstLine="480" w:firstLineChars="200"/>
        <w:rPr>
          <w:rFonts w:hint="eastAsia" w:ascii="宋体" w:hAnsi="宋体"/>
          <w:bCs/>
          <w:sz w:val="24"/>
          <w:szCs w:val="28"/>
        </w:rPr>
      </w:pPr>
      <w:r>
        <w:rPr>
          <w:rFonts w:hint="eastAsia" w:ascii="宋体" w:hAnsi="宋体"/>
          <w:bCs/>
          <w:sz w:val="24"/>
          <w:szCs w:val="28"/>
        </w:rPr>
        <w:t>一、根据贵方项目编号为</w:t>
      </w:r>
      <w:r>
        <w:rPr>
          <w:rFonts w:hint="eastAsia" w:ascii="宋体" w:hAnsi="宋体"/>
          <w:bCs/>
          <w:sz w:val="24"/>
          <w:szCs w:val="28"/>
          <w:u w:val="single"/>
        </w:rPr>
        <w:t xml:space="preserve">       </w:t>
      </w:r>
      <w:r>
        <w:rPr>
          <w:rFonts w:hint="eastAsia" w:ascii="宋体" w:hAnsi="宋体"/>
          <w:bCs/>
          <w:sz w:val="24"/>
          <w:szCs w:val="28"/>
        </w:rPr>
        <w:t>的竞争性谈判采购文件，现提交下列响应书正本一份、副本</w:t>
      </w:r>
      <w:r>
        <w:rPr>
          <w:rFonts w:hint="eastAsia" w:ascii="宋体" w:hAnsi="宋体"/>
          <w:bCs/>
          <w:sz w:val="24"/>
          <w:szCs w:val="28"/>
          <w:lang w:val="en-US" w:eastAsia="zh-CN"/>
        </w:rPr>
        <w:t>四</w:t>
      </w:r>
      <w:r>
        <w:rPr>
          <w:rFonts w:hint="eastAsia" w:ascii="宋体" w:hAnsi="宋体"/>
          <w:bCs/>
          <w:sz w:val="24"/>
          <w:szCs w:val="28"/>
        </w:rPr>
        <w:t>份。</w:t>
      </w:r>
    </w:p>
    <w:p w14:paraId="71581A29">
      <w:pPr>
        <w:tabs>
          <w:tab w:val="center" w:pos="12420"/>
        </w:tabs>
        <w:spacing w:line="336" w:lineRule="auto"/>
        <w:ind w:firstLine="480" w:firstLineChars="200"/>
        <w:rPr>
          <w:rFonts w:hint="eastAsia" w:ascii="宋体" w:hAnsi="宋体"/>
          <w:bCs/>
          <w:sz w:val="24"/>
          <w:szCs w:val="28"/>
        </w:rPr>
      </w:pPr>
      <w:r>
        <w:rPr>
          <w:rFonts w:hint="eastAsia" w:ascii="宋体" w:hAnsi="宋体"/>
          <w:bCs/>
          <w:sz w:val="24"/>
          <w:szCs w:val="28"/>
        </w:rPr>
        <w:t>（1）响应函；</w:t>
      </w:r>
    </w:p>
    <w:p w14:paraId="5AD2B062">
      <w:pPr>
        <w:tabs>
          <w:tab w:val="center" w:pos="12420"/>
        </w:tabs>
        <w:spacing w:line="336" w:lineRule="auto"/>
        <w:ind w:firstLine="480" w:firstLineChars="200"/>
        <w:rPr>
          <w:rFonts w:hint="eastAsia" w:ascii="宋体" w:hAnsi="宋体"/>
          <w:bCs/>
          <w:sz w:val="24"/>
          <w:szCs w:val="28"/>
        </w:rPr>
      </w:pPr>
      <w:r>
        <w:rPr>
          <w:rFonts w:hint="eastAsia" w:ascii="宋体" w:hAnsi="宋体"/>
          <w:bCs/>
          <w:sz w:val="24"/>
          <w:szCs w:val="28"/>
        </w:rPr>
        <w:t>（2）报价一览表；</w:t>
      </w:r>
    </w:p>
    <w:p w14:paraId="7ECA2220">
      <w:pPr>
        <w:tabs>
          <w:tab w:val="center" w:pos="12420"/>
        </w:tabs>
        <w:spacing w:line="336" w:lineRule="auto"/>
        <w:ind w:firstLine="480" w:firstLineChars="200"/>
        <w:rPr>
          <w:rFonts w:hint="eastAsia" w:ascii="宋体" w:hAnsi="宋体"/>
          <w:bCs/>
          <w:sz w:val="24"/>
          <w:szCs w:val="28"/>
        </w:rPr>
      </w:pPr>
      <w:r>
        <w:rPr>
          <w:rFonts w:hint="eastAsia" w:ascii="宋体" w:hAnsi="宋体"/>
          <w:bCs/>
          <w:sz w:val="24"/>
          <w:szCs w:val="28"/>
        </w:rPr>
        <w:t>（3）谈判供应商资格证明文件（详3.8）</w:t>
      </w:r>
    </w:p>
    <w:p w14:paraId="5A6F9097">
      <w:pPr>
        <w:tabs>
          <w:tab w:val="center" w:pos="12420"/>
        </w:tabs>
        <w:spacing w:line="336" w:lineRule="auto"/>
        <w:ind w:firstLine="480" w:firstLineChars="200"/>
        <w:rPr>
          <w:rFonts w:hint="eastAsia" w:ascii="宋体" w:hAnsi="宋体"/>
          <w:bCs/>
          <w:sz w:val="24"/>
          <w:szCs w:val="28"/>
        </w:rPr>
      </w:pPr>
      <w:r>
        <w:rPr>
          <w:rFonts w:hint="eastAsia" w:ascii="宋体" w:hAnsi="宋体"/>
          <w:bCs/>
          <w:sz w:val="24"/>
          <w:szCs w:val="28"/>
        </w:rPr>
        <w:t>（4）采购内容及要求承诺书；</w:t>
      </w:r>
    </w:p>
    <w:p w14:paraId="3C117052">
      <w:pPr>
        <w:tabs>
          <w:tab w:val="center" w:pos="12420"/>
        </w:tabs>
        <w:spacing w:line="336" w:lineRule="auto"/>
        <w:ind w:firstLine="480" w:firstLineChars="200"/>
        <w:rPr>
          <w:rFonts w:hint="eastAsia" w:ascii="宋体" w:hAnsi="宋体"/>
          <w:bCs/>
          <w:sz w:val="24"/>
          <w:szCs w:val="28"/>
        </w:rPr>
      </w:pPr>
      <w:r>
        <w:rPr>
          <w:rFonts w:hint="eastAsia" w:ascii="宋体" w:hAnsi="宋体"/>
          <w:bCs/>
          <w:sz w:val="24"/>
          <w:szCs w:val="28"/>
        </w:rPr>
        <w:t>（5）提交的其他资料。</w:t>
      </w:r>
    </w:p>
    <w:p w14:paraId="54774603">
      <w:pPr>
        <w:tabs>
          <w:tab w:val="center" w:pos="12420"/>
        </w:tabs>
        <w:spacing w:line="336" w:lineRule="auto"/>
        <w:ind w:firstLine="480" w:firstLineChars="200"/>
        <w:rPr>
          <w:rFonts w:ascii="宋体" w:hAnsi="宋体"/>
          <w:bCs/>
          <w:sz w:val="24"/>
          <w:szCs w:val="28"/>
          <w:u w:val="single"/>
        </w:rPr>
      </w:pPr>
      <w:r>
        <w:rPr>
          <w:rFonts w:hint="eastAsia" w:ascii="宋体" w:hAnsi="宋体"/>
          <w:bCs/>
          <w:sz w:val="24"/>
          <w:szCs w:val="28"/>
        </w:rPr>
        <w:t>二、经研究上述合同条款、技术规范后，我方将接受并遵守竞争性谈判采购文件所规定的各项条款和采购文件规定的交货期限、付款方式等。</w:t>
      </w:r>
    </w:p>
    <w:p w14:paraId="491E5695">
      <w:pPr>
        <w:tabs>
          <w:tab w:val="center" w:pos="12420"/>
        </w:tabs>
        <w:spacing w:line="336" w:lineRule="auto"/>
        <w:ind w:firstLine="480" w:firstLineChars="200"/>
        <w:rPr>
          <w:rFonts w:ascii="宋体" w:hAnsi="宋体"/>
          <w:bCs/>
          <w:sz w:val="24"/>
          <w:szCs w:val="28"/>
        </w:rPr>
      </w:pPr>
      <w:r>
        <w:rPr>
          <w:rFonts w:hint="eastAsia" w:ascii="宋体" w:hAnsi="宋体"/>
          <w:bCs/>
          <w:sz w:val="24"/>
          <w:szCs w:val="28"/>
        </w:rPr>
        <w:t>三、我方将按竞争性谈判采购文件的规定履行合同责任和义务。一旦我方成交，我方保证按谈判采购文件和合同条款规定的日期做好设备采购工作并按合同的规定完成设备安装调试；</w:t>
      </w:r>
    </w:p>
    <w:p w14:paraId="697B0D87">
      <w:pPr>
        <w:tabs>
          <w:tab w:val="center" w:pos="12420"/>
        </w:tabs>
        <w:spacing w:line="336" w:lineRule="auto"/>
        <w:ind w:firstLine="480" w:firstLineChars="200"/>
        <w:rPr>
          <w:rFonts w:ascii="宋体" w:hAnsi="宋体"/>
          <w:bCs/>
          <w:sz w:val="24"/>
          <w:szCs w:val="28"/>
        </w:rPr>
      </w:pPr>
      <w:r>
        <w:rPr>
          <w:rFonts w:hint="eastAsia" w:ascii="宋体" w:hAnsi="宋体"/>
          <w:bCs/>
          <w:sz w:val="24"/>
          <w:szCs w:val="28"/>
        </w:rPr>
        <w:t>四、竞争性谈判开始后我方保证不撤回谈判响应；</w:t>
      </w:r>
    </w:p>
    <w:p w14:paraId="24396323">
      <w:pPr>
        <w:tabs>
          <w:tab w:val="center" w:pos="12420"/>
        </w:tabs>
        <w:spacing w:line="336" w:lineRule="auto"/>
        <w:ind w:firstLine="480" w:firstLineChars="200"/>
        <w:rPr>
          <w:rFonts w:ascii="宋体" w:hAnsi="宋体"/>
          <w:bCs/>
          <w:sz w:val="24"/>
          <w:szCs w:val="28"/>
        </w:rPr>
      </w:pPr>
      <w:r>
        <w:rPr>
          <w:rFonts w:hint="eastAsia" w:ascii="宋体" w:hAnsi="宋体"/>
          <w:bCs/>
          <w:sz w:val="24"/>
          <w:szCs w:val="28"/>
        </w:rPr>
        <w:t>五、我方已详细审查全部采购文件，包括修改文件（如有的话）以及全部参考资料和有关附件。我方完全理解接受并同意放弃对这方面有不明及误解的权利；</w:t>
      </w:r>
    </w:p>
    <w:p w14:paraId="5D6BA3A8">
      <w:pPr>
        <w:tabs>
          <w:tab w:val="center" w:pos="12420"/>
        </w:tabs>
        <w:spacing w:line="336" w:lineRule="auto"/>
        <w:ind w:firstLine="480" w:firstLineChars="200"/>
        <w:rPr>
          <w:rFonts w:ascii="宋体" w:hAnsi="宋体"/>
          <w:bCs/>
          <w:sz w:val="24"/>
          <w:szCs w:val="28"/>
        </w:rPr>
      </w:pPr>
      <w:r>
        <w:rPr>
          <w:rFonts w:hint="eastAsia" w:ascii="宋体" w:hAnsi="宋体"/>
          <w:bCs/>
          <w:sz w:val="24"/>
          <w:szCs w:val="28"/>
        </w:rPr>
        <w:t>六、我方完全理解贵方不一定接受最低价的谈判响应或收到的任何谈判响应；</w:t>
      </w:r>
    </w:p>
    <w:p w14:paraId="50B70D3E">
      <w:pPr>
        <w:tabs>
          <w:tab w:val="center" w:pos="12420"/>
        </w:tabs>
        <w:spacing w:line="336" w:lineRule="auto"/>
        <w:ind w:firstLine="480" w:firstLineChars="200"/>
        <w:rPr>
          <w:rFonts w:hint="eastAsia" w:ascii="宋体" w:hAnsi="宋体"/>
          <w:bCs/>
          <w:sz w:val="24"/>
          <w:szCs w:val="28"/>
        </w:rPr>
      </w:pPr>
      <w:r>
        <w:rPr>
          <w:rFonts w:hint="eastAsia" w:ascii="宋体" w:hAnsi="宋体"/>
          <w:bCs/>
          <w:sz w:val="24"/>
          <w:szCs w:val="28"/>
        </w:rPr>
        <w:t>七、谈判有效期为90天；</w:t>
      </w:r>
    </w:p>
    <w:p w14:paraId="4612D3C5">
      <w:pPr>
        <w:tabs>
          <w:tab w:val="center" w:pos="12420"/>
        </w:tabs>
        <w:spacing w:line="336" w:lineRule="auto"/>
        <w:ind w:firstLine="480" w:firstLineChars="200"/>
        <w:rPr>
          <w:rFonts w:ascii="宋体" w:hAnsi="宋体"/>
          <w:bCs/>
          <w:sz w:val="24"/>
          <w:szCs w:val="28"/>
        </w:rPr>
      </w:pPr>
      <w:r>
        <w:rPr>
          <w:rFonts w:hint="eastAsia" w:ascii="宋体" w:hAnsi="宋体"/>
          <w:bCs/>
          <w:sz w:val="24"/>
          <w:szCs w:val="28"/>
        </w:rPr>
        <w:t>八、我方遵照谈判须知及有关法令规定，绝无作弊垄断或借用证照、提供虚假资料、串通哄抬报价等不法情事，倘有违反规定被取消资格时，愿放弃所有与项目有关的权利，绝无异议；</w:t>
      </w:r>
    </w:p>
    <w:p w14:paraId="15143C81">
      <w:pPr>
        <w:tabs>
          <w:tab w:val="center" w:pos="12420"/>
        </w:tabs>
        <w:spacing w:line="336" w:lineRule="auto"/>
        <w:ind w:firstLine="480" w:firstLineChars="200"/>
        <w:rPr>
          <w:rFonts w:ascii="宋体" w:hAnsi="宋体"/>
          <w:bCs/>
          <w:sz w:val="24"/>
          <w:szCs w:val="28"/>
        </w:rPr>
      </w:pPr>
      <w:r>
        <w:rPr>
          <w:rFonts w:hint="eastAsia" w:ascii="宋体" w:hAnsi="宋体"/>
          <w:bCs/>
          <w:sz w:val="24"/>
          <w:szCs w:val="28"/>
        </w:rPr>
        <w:t>九、若我方为成交供应商，我方愿意按本采购文件第二章“须知前附表”规定的收费标准缴纳</w:t>
      </w:r>
      <w:r>
        <w:rPr>
          <w:rFonts w:ascii="宋体" w:hAnsi="宋体"/>
          <w:bCs/>
          <w:sz w:val="24"/>
          <w:szCs w:val="28"/>
        </w:rPr>
        <w:t>成交服务费，并在领取《成交通知书》前缴至</w:t>
      </w:r>
      <w:r>
        <w:rPr>
          <w:rFonts w:hint="eastAsia" w:ascii="宋体" w:hAnsi="宋体"/>
          <w:bCs/>
          <w:sz w:val="24"/>
          <w:szCs w:val="28"/>
          <w:lang w:eastAsia="zh-CN"/>
        </w:rPr>
        <w:t>福建优胜招标项目管理集团有限公司</w:t>
      </w:r>
      <w:r>
        <w:rPr>
          <w:rFonts w:hint="eastAsia" w:ascii="宋体" w:hAnsi="宋体"/>
          <w:bCs/>
          <w:sz w:val="24"/>
          <w:szCs w:val="28"/>
          <w:lang w:val="en-US" w:eastAsia="zh-CN"/>
        </w:rPr>
        <w:t>龙岩分公司</w:t>
      </w:r>
      <w:r>
        <w:rPr>
          <w:rFonts w:ascii="宋体" w:hAnsi="宋体"/>
          <w:bCs/>
          <w:sz w:val="24"/>
          <w:szCs w:val="28"/>
        </w:rPr>
        <w:t>帐户。</w:t>
      </w:r>
    </w:p>
    <w:p w14:paraId="3C12960A">
      <w:pPr>
        <w:tabs>
          <w:tab w:val="center" w:pos="12420"/>
        </w:tabs>
        <w:spacing w:line="336" w:lineRule="auto"/>
        <w:ind w:firstLine="480" w:firstLineChars="200"/>
        <w:rPr>
          <w:rFonts w:ascii="宋体" w:hAnsi="宋体"/>
          <w:bCs/>
          <w:sz w:val="24"/>
          <w:szCs w:val="28"/>
        </w:rPr>
      </w:pPr>
      <w:r>
        <w:rPr>
          <w:rFonts w:hint="eastAsia" w:ascii="宋体" w:hAnsi="宋体"/>
          <w:bCs/>
          <w:sz w:val="24"/>
          <w:szCs w:val="28"/>
        </w:rPr>
        <w:t>十、本次采购有关的一切正式往来通讯请寄：</w:t>
      </w:r>
    </w:p>
    <w:p w14:paraId="398B7550">
      <w:pPr>
        <w:spacing w:line="336" w:lineRule="auto"/>
        <w:ind w:firstLine="480" w:firstLineChars="200"/>
        <w:rPr>
          <w:rFonts w:hint="eastAsia" w:ascii="宋体" w:hAnsi="宋体"/>
          <w:sz w:val="24"/>
          <w:u w:val="single"/>
        </w:rPr>
      </w:pPr>
      <w:r>
        <w:rPr>
          <w:rFonts w:hint="eastAsia" w:ascii="宋体" w:hAnsi="宋体"/>
          <w:sz w:val="24"/>
        </w:rPr>
        <w:t xml:space="preserve">地址： </w:t>
      </w:r>
      <w:r>
        <w:rPr>
          <w:rFonts w:hint="eastAsia" w:ascii="宋体" w:hAnsi="宋体"/>
          <w:sz w:val="24"/>
          <w:u w:val="single"/>
        </w:rPr>
        <w:t xml:space="preserve">                </w:t>
      </w:r>
      <w:r>
        <w:rPr>
          <w:rFonts w:hint="eastAsia" w:ascii="宋体" w:hAnsi="宋体"/>
          <w:sz w:val="24"/>
        </w:rPr>
        <w:t xml:space="preserve"> 邮编： </w:t>
      </w:r>
      <w:r>
        <w:rPr>
          <w:rFonts w:hint="eastAsia" w:ascii="宋体" w:hAnsi="宋体"/>
          <w:sz w:val="24"/>
          <w:u w:val="single"/>
        </w:rPr>
        <w:t xml:space="preserve">                 </w:t>
      </w:r>
    </w:p>
    <w:p w14:paraId="159CC21F">
      <w:pPr>
        <w:spacing w:line="336" w:lineRule="auto"/>
        <w:ind w:firstLine="480" w:firstLineChars="200"/>
        <w:rPr>
          <w:rFonts w:hint="eastAsia" w:ascii="宋体" w:hAnsi="宋体"/>
          <w:sz w:val="24"/>
          <w:u w:val="single"/>
        </w:rPr>
      </w:pPr>
      <w:r>
        <w:rPr>
          <w:rFonts w:hint="eastAsia" w:ascii="宋体" w:hAnsi="宋体"/>
          <w:sz w:val="24"/>
        </w:rPr>
        <w:t xml:space="preserve">电话： </w:t>
      </w:r>
      <w:r>
        <w:rPr>
          <w:rFonts w:hint="eastAsia" w:ascii="宋体" w:hAnsi="宋体"/>
          <w:sz w:val="24"/>
          <w:u w:val="single"/>
        </w:rPr>
        <w:t xml:space="preserve">                </w:t>
      </w:r>
      <w:r>
        <w:rPr>
          <w:rFonts w:hint="eastAsia" w:ascii="宋体" w:hAnsi="宋体"/>
          <w:sz w:val="24"/>
        </w:rPr>
        <w:t xml:space="preserve"> 传真： </w:t>
      </w:r>
      <w:r>
        <w:rPr>
          <w:rFonts w:hint="eastAsia" w:ascii="宋体" w:hAnsi="宋体"/>
          <w:sz w:val="24"/>
          <w:u w:val="single"/>
        </w:rPr>
        <w:t xml:space="preserve">                 </w:t>
      </w:r>
    </w:p>
    <w:p w14:paraId="650E0019">
      <w:pPr>
        <w:spacing w:line="336" w:lineRule="auto"/>
        <w:ind w:firstLine="120" w:firstLineChars="50"/>
        <w:rPr>
          <w:rFonts w:hint="eastAsia" w:ascii="宋体" w:hAnsi="宋体"/>
          <w:sz w:val="24"/>
          <w:u w:val="single"/>
        </w:rPr>
      </w:pPr>
      <w:r>
        <w:rPr>
          <w:rFonts w:hint="eastAsia" w:ascii="宋体" w:hAnsi="宋体"/>
          <w:sz w:val="24"/>
        </w:rPr>
        <w:t>法定代表人或授权代表签字或盖章</w:t>
      </w:r>
      <w:r>
        <w:rPr>
          <w:rFonts w:hint="eastAsia" w:ascii="宋体" w:hAnsi="宋体"/>
          <w:sz w:val="24"/>
          <w:szCs w:val="20"/>
        </w:rPr>
        <w:t>：</w:t>
      </w:r>
      <w:r>
        <w:rPr>
          <w:rFonts w:hint="eastAsia" w:ascii="宋体" w:hAnsi="宋体"/>
          <w:sz w:val="24"/>
        </w:rPr>
        <w:t xml:space="preserve"> </w:t>
      </w:r>
      <w:r>
        <w:rPr>
          <w:rFonts w:hint="eastAsia" w:ascii="宋体" w:hAnsi="宋体"/>
          <w:sz w:val="24"/>
          <w:u w:val="single"/>
        </w:rPr>
        <w:t xml:space="preserve">           </w:t>
      </w:r>
    </w:p>
    <w:p w14:paraId="6684872D">
      <w:pPr>
        <w:spacing w:line="336" w:lineRule="auto"/>
        <w:rPr>
          <w:rFonts w:hint="eastAsia" w:ascii="宋体" w:hAnsi="宋体"/>
          <w:b w:val="0"/>
          <w:bCs/>
          <w:sz w:val="24"/>
          <w:u w:val="single"/>
        </w:rPr>
      </w:pPr>
      <w:r>
        <w:rPr>
          <w:rFonts w:hint="eastAsia" w:ascii="宋体" w:hAnsi="宋体"/>
          <w:sz w:val="24"/>
        </w:rPr>
        <w:t xml:space="preserve"> 谈判供应商</w:t>
      </w:r>
      <w:r>
        <w:rPr>
          <w:rFonts w:hint="eastAsia" w:ascii="宋体" w:hAnsi="宋体"/>
          <w:b w:val="0"/>
          <w:bCs/>
          <w:sz w:val="24"/>
        </w:rPr>
        <w:t>（全称并加盖公章）：</w:t>
      </w:r>
      <w:r>
        <w:rPr>
          <w:rFonts w:hint="eastAsia" w:ascii="宋体" w:hAnsi="宋体"/>
          <w:b w:val="0"/>
          <w:bCs/>
          <w:sz w:val="24"/>
          <w:u w:val="single"/>
        </w:rPr>
        <w:t xml:space="preserve">                       </w:t>
      </w:r>
    </w:p>
    <w:p w14:paraId="20BEB3B9">
      <w:pPr>
        <w:spacing w:line="336" w:lineRule="auto"/>
        <w:rPr>
          <w:rFonts w:hint="eastAsia" w:ascii="宋体" w:hAnsi="宋体"/>
          <w:b w:val="0"/>
          <w:bCs/>
          <w:sz w:val="24"/>
          <w:u w:val="single"/>
        </w:rPr>
      </w:pPr>
    </w:p>
    <w:p w14:paraId="57DF9123">
      <w:pPr>
        <w:spacing w:line="336" w:lineRule="auto"/>
        <w:rPr>
          <w:rFonts w:hint="eastAsia" w:ascii="宋体" w:hAnsi="宋体"/>
          <w:b/>
          <w:sz w:val="24"/>
          <w:u w:val="single"/>
        </w:rPr>
      </w:pPr>
    </w:p>
    <w:p w14:paraId="74BF1572">
      <w:pPr>
        <w:pStyle w:val="86"/>
        <w:jc w:val="center"/>
        <w:rPr>
          <w:rFonts w:hint="default" w:hAnsi="宋体" w:eastAsia="宋体"/>
          <w:b/>
          <w:sz w:val="36"/>
          <w:lang w:val="en-US" w:eastAsia="zh-CN"/>
        </w:rPr>
      </w:pPr>
      <w:r>
        <w:rPr>
          <w:rFonts w:hint="eastAsia" w:hAnsi="宋体"/>
          <w:b/>
          <w:sz w:val="32"/>
          <w:szCs w:val="32"/>
        </w:rPr>
        <w:t>2.报价一览表</w:t>
      </w:r>
      <w:r>
        <w:rPr>
          <w:rFonts w:hint="eastAsia" w:hAnsi="宋体"/>
          <w:b/>
          <w:sz w:val="32"/>
          <w:szCs w:val="32"/>
          <w:lang w:eastAsia="zh-CN"/>
        </w:rPr>
        <w:t>（</w:t>
      </w:r>
      <w:r>
        <w:rPr>
          <w:rFonts w:hint="eastAsia" w:hAnsi="宋体"/>
          <w:b/>
          <w:sz w:val="32"/>
          <w:szCs w:val="32"/>
          <w:lang w:val="en-US" w:eastAsia="zh-CN"/>
        </w:rPr>
        <w:t>首次报价）</w:t>
      </w:r>
    </w:p>
    <w:p w14:paraId="4BD64D54">
      <w:pPr>
        <w:spacing w:line="380" w:lineRule="exact"/>
        <w:ind w:left="-424" w:leftChars="-202" w:firstLine="424" w:firstLineChars="177"/>
        <w:rPr>
          <w:rFonts w:ascii="宋体" w:hAnsi="宋体"/>
          <w:sz w:val="24"/>
        </w:rPr>
      </w:pPr>
    </w:p>
    <w:p w14:paraId="143ECD9C">
      <w:pPr>
        <w:tabs>
          <w:tab w:val="left" w:pos="851"/>
        </w:tabs>
        <w:spacing w:line="380" w:lineRule="exact"/>
        <w:ind w:firstLine="240" w:firstLineChars="100"/>
        <w:rPr>
          <w:rFonts w:ascii="宋体" w:hAnsi="宋体"/>
          <w:sz w:val="24"/>
        </w:rPr>
      </w:pPr>
      <w:r>
        <w:rPr>
          <w:rFonts w:hint="eastAsia" w:ascii="宋体" w:hAnsi="宋体"/>
          <w:sz w:val="24"/>
        </w:rPr>
        <w:t xml:space="preserve">                                  </w:t>
      </w:r>
    </w:p>
    <w:p w14:paraId="68FFAC57">
      <w:pPr>
        <w:tabs>
          <w:tab w:val="left" w:pos="851"/>
        </w:tabs>
        <w:spacing w:line="380" w:lineRule="exact"/>
        <w:ind w:firstLine="480" w:firstLineChars="200"/>
        <w:rPr>
          <w:rFonts w:ascii="宋体" w:hAnsi="宋体"/>
          <w:sz w:val="24"/>
        </w:rPr>
      </w:pPr>
      <w:r>
        <w:rPr>
          <w:rFonts w:hint="eastAsia" w:ascii="宋体" w:hAnsi="宋体"/>
          <w:sz w:val="24"/>
        </w:rPr>
        <w:t>项目编号∶                                          货币单位：元</w:t>
      </w:r>
    </w:p>
    <w:tbl>
      <w:tblPr>
        <w:tblStyle w:val="31"/>
        <w:tblW w:w="89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4"/>
        <w:gridCol w:w="3161"/>
        <w:gridCol w:w="4577"/>
      </w:tblGrid>
      <w:tr w14:paraId="07749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34" w:type="dxa"/>
            <w:tcBorders>
              <w:top w:val="single" w:color="auto" w:sz="4" w:space="0"/>
              <w:left w:val="single" w:color="auto" w:sz="4" w:space="0"/>
              <w:bottom w:val="single" w:color="auto" w:sz="4" w:space="0"/>
              <w:right w:val="single" w:color="auto" w:sz="4" w:space="0"/>
            </w:tcBorders>
            <w:noWrap w:val="0"/>
            <w:vAlign w:val="center"/>
          </w:tcPr>
          <w:p w14:paraId="6DD507CF">
            <w:pPr>
              <w:spacing w:line="360" w:lineRule="auto"/>
              <w:jc w:val="center"/>
              <w:rPr>
                <w:rFonts w:ascii="宋体" w:hAnsi="宋体"/>
                <w:b w:val="0"/>
                <w:bCs/>
                <w:color w:val="auto"/>
                <w:sz w:val="24"/>
              </w:rPr>
            </w:pPr>
            <w:r>
              <w:rPr>
                <w:rFonts w:hint="eastAsia" w:ascii="宋体" w:hAnsi="宋体"/>
                <w:b w:val="0"/>
                <w:bCs/>
                <w:color w:val="auto"/>
                <w:sz w:val="24"/>
              </w:rPr>
              <w:t>合同包</w:t>
            </w:r>
          </w:p>
        </w:tc>
        <w:tc>
          <w:tcPr>
            <w:tcW w:w="3161" w:type="dxa"/>
            <w:tcBorders>
              <w:top w:val="single" w:color="auto" w:sz="4" w:space="0"/>
              <w:left w:val="single" w:color="auto" w:sz="4" w:space="0"/>
              <w:bottom w:val="single" w:color="auto" w:sz="4" w:space="0"/>
              <w:right w:val="single" w:color="auto" w:sz="4" w:space="0"/>
            </w:tcBorders>
            <w:noWrap w:val="0"/>
            <w:vAlign w:val="center"/>
          </w:tcPr>
          <w:p w14:paraId="26BEF6B1">
            <w:pPr>
              <w:spacing w:line="360" w:lineRule="auto"/>
              <w:jc w:val="center"/>
              <w:rPr>
                <w:rFonts w:ascii="宋体" w:hAnsi="宋体"/>
                <w:b w:val="0"/>
                <w:bCs/>
                <w:color w:val="auto"/>
                <w:sz w:val="24"/>
              </w:rPr>
            </w:pPr>
            <w:r>
              <w:rPr>
                <w:rFonts w:hint="eastAsia" w:ascii="宋体" w:hAnsi="宋体"/>
                <w:b w:val="0"/>
                <w:bCs/>
                <w:color w:val="auto"/>
                <w:sz w:val="24"/>
              </w:rPr>
              <w:t>项目名称</w:t>
            </w:r>
          </w:p>
        </w:tc>
        <w:tc>
          <w:tcPr>
            <w:tcW w:w="4577" w:type="dxa"/>
            <w:tcBorders>
              <w:top w:val="single" w:color="auto" w:sz="4" w:space="0"/>
              <w:left w:val="single" w:color="auto" w:sz="4" w:space="0"/>
              <w:bottom w:val="single" w:color="auto" w:sz="4" w:space="0"/>
              <w:right w:val="single" w:color="auto" w:sz="4" w:space="0"/>
            </w:tcBorders>
            <w:noWrap w:val="0"/>
            <w:vAlign w:val="center"/>
          </w:tcPr>
          <w:p w14:paraId="505D2FCB">
            <w:pPr>
              <w:spacing w:line="360" w:lineRule="auto"/>
              <w:jc w:val="center"/>
              <w:rPr>
                <w:rFonts w:ascii="宋体" w:hAnsi="宋体"/>
                <w:color w:val="auto"/>
                <w:sz w:val="24"/>
              </w:rPr>
            </w:pPr>
            <w:r>
              <w:rPr>
                <w:rFonts w:hint="eastAsia" w:ascii="宋体" w:hAnsi="宋体"/>
                <w:color w:val="auto"/>
                <w:sz w:val="24"/>
              </w:rPr>
              <w:t>投报</w:t>
            </w:r>
            <w:r>
              <w:rPr>
                <w:rFonts w:hint="eastAsia" w:ascii="宋体" w:hAnsi="宋体"/>
                <w:color w:val="auto"/>
                <w:sz w:val="24"/>
                <w:lang w:eastAsia="zh-CN"/>
              </w:rPr>
              <w:t>下浮率</w:t>
            </w:r>
          </w:p>
        </w:tc>
      </w:tr>
      <w:tr w14:paraId="3C945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 w:hRule="atLeast"/>
          <w:jc w:val="center"/>
        </w:trPr>
        <w:tc>
          <w:tcPr>
            <w:tcW w:w="1234" w:type="dxa"/>
            <w:tcBorders>
              <w:top w:val="single" w:color="auto" w:sz="4" w:space="0"/>
              <w:left w:val="single" w:color="auto" w:sz="4" w:space="0"/>
              <w:bottom w:val="single" w:color="auto" w:sz="4" w:space="0"/>
              <w:right w:val="single" w:color="auto" w:sz="4" w:space="0"/>
            </w:tcBorders>
            <w:noWrap w:val="0"/>
            <w:vAlign w:val="center"/>
          </w:tcPr>
          <w:p w14:paraId="1C487A1A">
            <w:pPr>
              <w:spacing w:line="360" w:lineRule="auto"/>
              <w:jc w:val="center"/>
              <w:rPr>
                <w:rFonts w:hint="eastAsia" w:ascii="宋体" w:hAnsi="宋体" w:eastAsia="宋体"/>
                <w:color w:val="auto"/>
                <w:sz w:val="24"/>
                <w:lang w:val="en-US" w:eastAsia="zh-CN"/>
              </w:rPr>
            </w:pPr>
            <w:r>
              <w:rPr>
                <w:rFonts w:hint="eastAsia" w:ascii="宋体" w:hAnsi="宋体"/>
                <w:color w:val="auto"/>
                <w:sz w:val="24"/>
                <w:lang w:val="en-US" w:eastAsia="zh-CN"/>
              </w:rPr>
              <w:t>1</w:t>
            </w:r>
          </w:p>
        </w:tc>
        <w:tc>
          <w:tcPr>
            <w:tcW w:w="3161" w:type="dxa"/>
            <w:tcBorders>
              <w:top w:val="single" w:color="auto" w:sz="4" w:space="0"/>
              <w:left w:val="single" w:color="auto" w:sz="4" w:space="0"/>
              <w:right w:val="single" w:color="auto" w:sz="4" w:space="0"/>
            </w:tcBorders>
            <w:noWrap w:val="0"/>
            <w:vAlign w:val="center"/>
          </w:tcPr>
          <w:p w14:paraId="3C41FC30">
            <w:pPr>
              <w:pStyle w:val="18"/>
              <w:spacing w:line="360" w:lineRule="auto"/>
              <w:ind w:firstLine="0" w:firstLineChars="0"/>
              <w:rPr>
                <w:rFonts w:hint="eastAsia" w:ascii="宋体" w:hAnsi="宋体" w:eastAsia="宋体" w:cs="Times New Roman"/>
                <w:color w:val="auto"/>
                <w:kern w:val="2"/>
                <w:sz w:val="24"/>
                <w:szCs w:val="24"/>
                <w:lang w:val="en-US" w:eastAsia="zh-CN" w:bidi="ar-SA"/>
              </w:rPr>
            </w:pPr>
            <w:r>
              <w:rPr>
                <w:rFonts w:hint="eastAsia" w:hAnsi="宋体" w:cs="Times New Roman"/>
                <w:color w:val="auto"/>
                <w:kern w:val="2"/>
                <w:sz w:val="24"/>
                <w:szCs w:val="24"/>
                <w:lang w:val="en-US" w:eastAsia="zh-CN" w:bidi="ar-SA"/>
              </w:rPr>
              <w:t>福建省龙岩华侨职业中专学校“龙飞凤舞”非遗嘉年华排练点心配送服务采购</w:t>
            </w:r>
          </w:p>
        </w:tc>
        <w:tc>
          <w:tcPr>
            <w:tcW w:w="4577" w:type="dxa"/>
            <w:tcBorders>
              <w:top w:val="single" w:color="auto" w:sz="4" w:space="0"/>
              <w:left w:val="single" w:color="auto" w:sz="4" w:space="0"/>
              <w:right w:val="single" w:color="auto" w:sz="4" w:space="0"/>
            </w:tcBorders>
            <w:noWrap w:val="0"/>
            <w:vAlign w:val="center"/>
          </w:tcPr>
          <w:p w14:paraId="47B094C5">
            <w:pPr>
              <w:pStyle w:val="18"/>
              <w:spacing w:line="360" w:lineRule="auto"/>
              <w:ind w:firstLine="480" w:firstLineChars="200"/>
              <w:rPr>
                <w:rFonts w:hint="default" w:ascii="宋体" w:hAnsi="宋体" w:eastAsia="宋体" w:cs="Times New Roman"/>
                <w:color w:val="auto"/>
                <w:kern w:val="2"/>
                <w:sz w:val="24"/>
                <w:szCs w:val="24"/>
                <w:u w:val="single"/>
                <w:lang w:val="en-US" w:eastAsia="zh-CN" w:bidi="ar-SA"/>
              </w:rPr>
            </w:pPr>
            <w:r>
              <w:rPr>
                <w:rFonts w:hint="eastAsia" w:ascii="宋体" w:hAnsi="宋体" w:eastAsia="宋体" w:cs="Times New Roman"/>
                <w:color w:val="auto"/>
                <w:kern w:val="2"/>
                <w:sz w:val="24"/>
                <w:szCs w:val="24"/>
                <w:lang w:val="en-US" w:eastAsia="zh-CN" w:bidi="ar-SA"/>
              </w:rPr>
              <w:t>小写：</w:t>
            </w:r>
            <w:r>
              <w:rPr>
                <w:rFonts w:hint="eastAsia" w:ascii="宋体" w:hAnsi="宋体" w:eastAsia="宋体" w:cs="Times New Roman"/>
                <w:color w:val="auto"/>
                <w:kern w:val="2"/>
                <w:sz w:val="24"/>
                <w:szCs w:val="24"/>
                <w:u w:val="single"/>
                <w:lang w:val="en-US" w:eastAsia="zh-CN" w:bidi="ar-SA"/>
              </w:rPr>
              <w:t xml:space="preserve">     </w:t>
            </w:r>
            <w:r>
              <w:rPr>
                <w:rFonts w:hint="eastAsia" w:ascii="宋体" w:hAnsi="宋体" w:eastAsia="宋体" w:cs="Times New Roman"/>
                <w:color w:val="auto"/>
                <w:kern w:val="2"/>
                <w:sz w:val="24"/>
                <w:szCs w:val="24"/>
                <w:u w:val="none"/>
                <w:lang w:val="en-US" w:eastAsia="zh-CN" w:bidi="ar-SA"/>
              </w:rPr>
              <w:t>%</w:t>
            </w:r>
          </w:p>
          <w:p w14:paraId="4C0209DD">
            <w:pPr>
              <w:pStyle w:val="18"/>
              <w:spacing w:line="360" w:lineRule="auto"/>
              <w:ind w:firstLine="480" w:firstLineChars="200"/>
              <w:rPr>
                <w:rFonts w:hint="eastAsia" w:ascii="宋体" w:hAnsi="宋体" w:eastAsia="宋体" w:cs="Times New Roman"/>
                <w:color w:val="auto"/>
                <w:kern w:val="2"/>
                <w:sz w:val="24"/>
                <w:szCs w:val="24"/>
                <w:lang w:val="en-US" w:eastAsia="zh-CN" w:bidi="ar-SA"/>
              </w:rPr>
            </w:pPr>
          </w:p>
          <w:p w14:paraId="24491350">
            <w:pPr>
              <w:pStyle w:val="18"/>
              <w:spacing w:line="360" w:lineRule="auto"/>
              <w:ind w:firstLine="480" w:firstLineChars="200"/>
              <w:rPr>
                <w:rFonts w:hint="default" w:ascii="宋体" w:hAnsi="宋体" w:eastAsia="宋体" w:cs="Times New Roman"/>
                <w:color w:val="auto"/>
                <w:kern w:val="2"/>
                <w:sz w:val="24"/>
                <w:szCs w:val="24"/>
                <w:u w:val="single"/>
                <w:lang w:val="en-US" w:eastAsia="zh-CN" w:bidi="ar-SA"/>
              </w:rPr>
            </w:pPr>
            <w:r>
              <w:rPr>
                <w:rFonts w:hint="eastAsia" w:ascii="宋体" w:hAnsi="宋体" w:eastAsia="宋体" w:cs="Times New Roman"/>
                <w:color w:val="auto"/>
                <w:kern w:val="2"/>
                <w:sz w:val="24"/>
                <w:szCs w:val="24"/>
                <w:lang w:val="en-US" w:eastAsia="zh-CN" w:bidi="ar-SA"/>
              </w:rPr>
              <w:t>大写：百分之</w:t>
            </w:r>
            <w:r>
              <w:rPr>
                <w:rFonts w:hint="eastAsia" w:ascii="宋体" w:hAnsi="宋体" w:eastAsia="宋体" w:cs="Times New Roman"/>
                <w:color w:val="auto"/>
                <w:kern w:val="2"/>
                <w:sz w:val="24"/>
                <w:szCs w:val="24"/>
                <w:u w:val="single"/>
                <w:lang w:val="en-US" w:eastAsia="zh-CN" w:bidi="ar-SA"/>
              </w:rPr>
              <w:t xml:space="preserve">    </w:t>
            </w:r>
          </w:p>
        </w:tc>
      </w:tr>
    </w:tbl>
    <w:p w14:paraId="1F805015">
      <w:pPr>
        <w:spacing w:line="360" w:lineRule="auto"/>
        <w:ind w:firstLine="480" w:firstLineChars="200"/>
        <w:rPr>
          <w:rFonts w:hint="eastAsia" w:ascii="宋体" w:hAnsi="宋体"/>
          <w:color w:val="auto"/>
          <w:sz w:val="24"/>
        </w:rPr>
      </w:pPr>
    </w:p>
    <w:p w14:paraId="410DD8FC">
      <w:pPr>
        <w:spacing w:line="360" w:lineRule="auto"/>
        <w:ind w:firstLine="480" w:firstLineChars="200"/>
        <w:rPr>
          <w:rFonts w:ascii="宋体" w:hAnsi="宋体"/>
          <w:color w:val="auto"/>
          <w:sz w:val="24"/>
        </w:rPr>
      </w:pPr>
      <w:r>
        <w:rPr>
          <w:rFonts w:hint="eastAsia" w:ascii="宋体" w:hAnsi="宋体"/>
          <w:color w:val="auto"/>
          <w:sz w:val="24"/>
        </w:rPr>
        <w:t>供应商（全称并加盖公章）：</w:t>
      </w:r>
    </w:p>
    <w:p w14:paraId="37EBB6C5">
      <w:pPr>
        <w:spacing w:line="360" w:lineRule="auto"/>
        <w:ind w:firstLine="480" w:firstLineChars="200"/>
        <w:rPr>
          <w:rFonts w:ascii="宋体" w:hAnsi="宋体"/>
          <w:color w:val="auto"/>
          <w:sz w:val="24"/>
        </w:rPr>
      </w:pPr>
      <w:r>
        <w:rPr>
          <w:rFonts w:hint="eastAsia" w:ascii="宋体" w:hAnsi="宋体"/>
          <w:color w:val="auto"/>
          <w:sz w:val="24"/>
        </w:rPr>
        <w:t>供应商代表签字或盖章：</w:t>
      </w:r>
    </w:p>
    <w:p w14:paraId="4D430D55">
      <w:pPr>
        <w:spacing w:line="360" w:lineRule="auto"/>
        <w:ind w:firstLine="480" w:firstLineChars="200"/>
        <w:rPr>
          <w:rFonts w:ascii="宋体" w:hAnsi="宋体"/>
          <w:color w:val="auto"/>
          <w:sz w:val="24"/>
        </w:rPr>
      </w:pPr>
      <w:r>
        <w:rPr>
          <w:rFonts w:hint="eastAsia" w:ascii="宋体" w:hAnsi="宋体"/>
          <w:color w:val="auto"/>
          <w:sz w:val="24"/>
        </w:rPr>
        <w:t>日      期：</w:t>
      </w:r>
    </w:p>
    <w:p w14:paraId="3D151B70">
      <w:pPr>
        <w:tabs>
          <w:tab w:val="left" w:pos="13000"/>
        </w:tabs>
        <w:spacing w:line="400" w:lineRule="exact"/>
        <w:rPr>
          <w:rFonts w:hint="eastAsia" w:ascii="宋体" w:hAnsi="宋体"/>
          <w:sz w:val="24"/>
        </w:rPr>
      </w:pPr>
    </w:p>
    <w:p w14:paraId="5352BCCD">
      <w:pPr>
        <w:tabs>
          <w:tab w:val="left" w:pos="13000"/>
        </w:tabs>
        <w:spacing w:line="400" w:lineRule="exact"/>
        <w:rPr>
          <w:rFonts w:hint="eastAsia" w:ascii="宋体" w:hAnsi="宋体"/>
          <w:sz w:val="24"/>
        </w:rPr>
      </w:pPr>
    </w:p>
    <w:p w14:paraId="44E3F457">
      <w:pPr>
        <w:tabs>
          <w:tab w:val="left" w:pos="13000"/>
        </w:tabs>
        <w:spacing w:line="400" w:lineRule="exact"/>
        <w:rPr>
          <w:rFonts w:hint="eastAsia" w:ascii="宋体" w:hAnsi="宋体"/>
          <w:sz w:val="24"/>
        </w:rPr>
      </w:pPr>
    </w:p>
    <w:p w14:paraId="1932AEFD">
      <w:pPr>
        <w:spacing w:line="360" w:lineRule="auto"/>
        <w:rPr>
          <w:rFonts w:hint="eastAsia" w:ascii="宋体" w:hAnsi="宋体" w:cs="宋体"/>
          <w:b/>
          <w:bCs/>
          <w:sz w:val="32"/>
          <w:szCs w:val="32"/>
        </w:rPr>
      </w:pPr>
    </w:p>
    <w:p w14:paraId="1A37969E">
      <w:pPr>
        <w:spacing w:line="360" w:lineRule="auto"/>
        <w:jc w:val="center"/>
        <w:rPr>
          <w:rFonts w:hint="eastAsia" w:ascii="宋体" w:hAnsi="宋体" w:cs="宋体"/>
          <w:b/>
          <w:bCs/>
          <w:sz w:val="32"/>
          <w:szCs w:val="32"/>
        </w:rPr>
      </w:pPr>
    </w:p>
    <w:p w14:paraId="46F1C244">
      <w:pPr>
        <w:spacing w:line="360" w:lineRule="auto"/>
        <w:jc w:val="center"/>
        <w:rPr>
          <w:rFonts w:hint="eastAsia" w:ascii="宋体" w:hAnsi="宋体" w:cs="宋体"/>
          <w:b/>
          <w:bCs/>
          <w:sz w:val="32"/>
          <w:szCs w:val="32"/>
        </w:rPr>
      </w:pPr>
    </w:p>
    <w:p w14:paraId="4A01E967">
      <w:pPr>
        <w:spacing w:line="360" w:lineRule="auto"/>
        <w:jc w:val="center"/>
        <w:rPr>
          <w:rFonts w:hint="eastAsia" w:ascii="宋体" w:hAnsi="宋体" w:cs="宋体"/>
          <w:b/>
          <w:bCs/>
          <w:sz w:val="32"/>
          <w:szCs w:val="32"/>
        </w:rPr>
      </w:pPr>
    </w:p>
    <w:p w14:paraId="55BB5323">
      <w:pPr>
        <w:spacing w:line="360" w:lineRule="auto"/>
        <w:jc w:val="center"/>
        <w:rPr>
          <w:rFonts w:hint="eastAsia" w:ascii="宋体" w:hAnsi="宋体" w:cs="宋体"/>
          <w:b/>
          <w:bCs/>
          <w:sz w:val="32"/>
          <w:szCs w:val="32"/>
        </w:rPr>
      </w:pPr>
    </w:p>
    <w:p w14:paraId="3655404C">
      <w:pPr>
        <w:spacing w:line="360" w:lineRule="auto"/>
        <w:jc w:val="center"/>
        <w:rPr>
          <w:rFonts w:hint="eastAsia" w:ascii="宋体" w:hAnsi="宋体" w:cs="宋体"/>
          <w:b/>
          <w:bCs/>
          <w:sz w:val="32"/>
          <w:szCs w:val="32"/>
        </w:rPr>
      </w:pPr>
    </w:p>
    <w:p w14:paraId="1A3BC694">
      <w:pPr>
        <w:spacing w:line="360" w:lineRule="auto"/>
        <w:jc w:val="center"/>
        <w:rPr>
          <w:rFonts w:hint="eastAsia" w:ascii="宋体" w:hAnsi="宋体" w:cs="宋体"/>
          <w:b/>
          <w:bCs/>
          <w:sz w:val="32"/>
          <w:szCs w:val="32"/>
        </w:rPr>
      </w:pPr>
    </w:p>
    <w:p w14:paraId="0AE8A6C5">
      <w:pPr>
        <w:spacing w:line="360" w:lineRule="auto"/>
        <w:jc w:val="center"/>
        <w:rPr>
          <w:rFonts w:hint="eastAsia" w:ascii="宋体" w:hAnsi="宋体" w:cs="宋体"/>
          <w:b/>
          <w:bCs/>
          <w:sz w:val="32"/>
          <w:szCs w:val="32"/>
        </w:rPr>
      </w:pPr>
    </w:p>
    <w:p w14:paraId="5E3E0EB7">
      <w:pPr>
        <w:spacing w:line="360" w:lineRule="auto"/>
        <w:jc w:val="center"/>
        <w:rPr>
          <w:rFonts w:hint="eastAsia" w:ascii="宋体" w:hAnsi="宋体" w:cs="宋体"/>
          <w:b/>
          <w:bCs/>
          <w:sz w:val="32"/>
          <w:szCs w:val="32"/>
        </w:rPr>
      </w:pPr>
    </w:p>
    <w:p w14:paraId="4CC55D28">
      <w:pPr>
        <w:spacing w:line="360" w:lineRule="auto"/>
        <w:jc w:val="center"/>
        <w:rPr>
          <w:rFonts w:hint="eastAsia" w:ascii="宋体" w:hAnsi="宋体" w:cs="宋体"/>
          <w:b/>
          <w:bCs/>
          <w:sz w:val="32"/>
          <w:szCs w:val="32"/>
        </w:rPr>
      </w:pPr>
    </w:p>
    <w:p w14:paraId="674AD5D5">
      <w:pPr>
        <w:spacing w:line="360" w:lineRule="auto"/>
        <w:jc w:val="center"/>
        <w:rPr>
          <w:rFonts w:hint="eastAsia" w:ascii="宋体" w:hAnsi="宋体" w:cs="宋体"/>
          <w:b/>
          <w:bCs/>
          <w:sz w:val="32"/>
          <w:szCs w:val="32"/>
        </w:rPr>
      </w:pPr>
    </w:p>
    <w:p w14:paraId="5BAE7B71">
      <w:pPr>
        <w:spacing w:line="360" w:lineRule="auto"/>
        <w:jc w:val="center"/>
        <w:rPr>
          <w:rFonts w:hint="eastAsia" w:ascii="宋体" w:hAnsi="宋体"/>
          <w:sz w:val="24"/>
        </w:rPr>
      </w:pPr>
      <w:r>
        <w:rPr>
          <w:rFonts w:hint="eastAsia" w:ascii="宋体" w:hAnsi="宋体" w:cs="宋体"/>
          <w:b/>
          <w:bCs/>
          <w:sz w:val="32"/>
          <w:szCs w:val="32"/>
        </w:rPr>
        <w:t>3.资格证明文件目录</w:t>
      </w:r>
    </w:p>
    <w:p w14:paraId="62BB0EAF">
      <w:pPr>
        <w:pStyle w:val="17"/>
        <w:spacing w:before="50" w:line="360" w:lineRule="auto"/>
        <w:rPr>
          <w:rFonts w:hint="eastAsia" w:ascii="宋体" w:hAnsi="宋体" w:eastAsia="宋体"/>
          <w:sz w:val="24"/>
          <w:szCs w:val="22"/>
        </w:rPr>
      </w:pPr>
      <w:r>
        <w:rPr>
          <w:rFonts w:hint="eastAsia" w:ascii="宋体" w:hAnsi="宋体" w:eastAsia="宋体"/>
          <w:sz w:val="24"/>
          <w:szCs w:val="22"/>
        </w:rPr>
        <w:t>（1）有效的法人营业执照或分支机构或其他法人登记证书复印件</w:t>
      </w:r>
      <w:r>
        <w:rPr>
          <w:rFonts w:hint="eastAsia" w:ascii="宋体" w:hAnsi="宋体" w:eastAsia="宋体"/>
          <w:sz w:val="24"/>
          <w:szCs w:val="22"/>
          <w:lang w:val="en-US" w:eastAsia="zh-CN"/>
        </w:rPr>
        <w:t>或个体营业执照</w:t>
      </w:r>
      <w:r>
        <w:rPr>
          <w:rFonts w:hint="eastAsia" w:ascii="宋体" w:hAnsi="宋体" w:eastAsia="宋体"/>
          <w:sz w:val="24"/>
          <w:szCs w:val="22"/>
        </w:rPr>
        <w:t>；</w:t>
      </w:r>
    </w:p>
    <w:p w14:paraId="55B296E9">
      <w:pPr>
        <w:pStyle w:val="17"/>
        <w:spacing w:before="50" w:line="360" w:lineRule="auto"/>
        <w:rPr>
          <w:rFonts w:hint="eastAsia" w:ascii="宋体" w:hAnsi="宋体" w:eastAsia="宋体"/>
          <w:sz w:val="24"/>
          <w:szCs w:val="22"/>
        </w:rPr>
      </w:pPr>
      <w:r>
        <w:rPr>
          <w:rFonts w:hint="eastAsia" w:ascii="宋体" w:hAnsi="宋体" w:eastAsia="宋体"/>
          <w:sz w:val="24"/>
          <w:szCs w:val="22"/>
        </w:rPr>
        <w:t>（2）法定代表人（负责人</w:t>
      </w:r>
      <w:r>
        <w:rPr>
          <w:rFonts w:hint="eastAsia" w:ascii="宋体" w:hAnsi="宋体" w:eastAsia="宋体"/>
          <w:sz w:val="24"/>
          <w:szCs w:val="22"/>
          <w:lang w:eastAsia="zh-CN"/>
        </w:rPr>
        <w:t>、</w:t>
      </w:r>
      <w:r>
        <w:rPr>
          <w:rFonts w:hint="eastAsia" w:ascii="宋体" w:hAnsi="宋体" w:eastAsia="宋体"/>
          <w:sz w:val="24"/>
          <w:szCs w:val="22"/>
          <w:lang w:val="en-US" w:eastAsia="zh-CN"/>
        </w:rPr>
        <w:t>经营者</w:t>
      </w:r>
      <w:r>
        <w:rPr>
          <w:rFonts w:hint="eastAsia" w:ascii="宋体" w:hAnsi="宋体" w:eastAsia="宋体"/>
          <w:sz w:val="24"/>
          <w:szCs w:val="22"/>
        </w:rPr>
        <w:t>）授权书原件（非法定代表人（负责人</w:t>
      </w:r>
      <w:r>
        <w:rPr>
          <w:rFonts w:hint="eastAsia" w:ascii="宋体" w:hAnsi="宋体" w:eastAsia="宋体"/>
          <w:sz w:val="24"/>
          <w:szCs w:val="22"/>
          <w:lang w:eastAsia="zh-CN"/>
        </w:rPr>
        <w:t>、</w:t>
      </w:r>
      <w:r>
        <w:rPr>
          <w:rFonts w:hint="eastAsia" w:ascii="宋体" w:hAnsi="宋体" w:eastAsia="宋体"/>
          <w:sz w:val="24"/>
          <w:szCs w:val="22"/>
          <w:lang w:val="en-US" w:eastAsia="zh-CN"/>
        </w:rPr>
        <w:t>经营者</w:t>
      </w:r>
      <w:r>
        <w:rPr>
          <w:rFonts w:hint="eastAsia" w:ascii="宋体" w:hAnsi="宋体" w:eastAsia="宋体"/>
          <w:sz w:val="24"/>
          <w:szCs w:val="22"/>
        </w:rPr>
        <w:t>）参加时提供）；</w:t>
      </w:r>
    </w:p>
    <w:p w14:paraId="478C7197">
      <w:pPr>
        <w:pStyle w:val="17"/>
        <w:spacing w:before="50" w:line="360" w:lineRule="auto"/>
        <w:rPr>
          <w:rFonts w:hint="eastAsia" w:ascii="宋体" w:hAnsi="宋体"/>
          <w:sz w:val="24"/>
        </w:rPr>
      </w:pPr>
      <w:r>
        <w:rPr>
          <w:rFonts w:hint="eastAsia" w:ascii="宋体" w:hAnsi="宋体" w:eastAsia="宋体"/>
          <w:sz w:val="24"/>
          <w:szCs w:val="22"/>
        </w:rPr>
        <w:t>（3）</w:t>
      </w:r>
      <w:r>
        <w:rPr>
          <w:rFonts w:hint="eastAsia" w:ascii="宋体" w:hAnsi="宋体" w:eastAsia="宋体"/>
          <w:sz w:val="24"/>
          <w:szCs w:val="22"/>
          <w:lang w:val="en-US" w:eastAsia="zh-CN"/>
        </w:rPr>
        <w:t>供应商具备有效的《食品生产许可证》或《食品经营许可证》或食品经营者备案信息采集表。</w:t>
      </w:r>
    </w:p>
    <w:p w14:paraId="461F4766">
      <w:pPr>
        <w:spacing w:line="360" w:lineRule="auto"/>
        <w:ind w:firstLine="480" w:firstLineChars="200"/>
        <w:rPr>
          <w:rFonts w:hint="eastAsia" w:ascii="宋体" w:hAnsi="宋体"/>
          <w:sz w:val="24"/>
        </w:rPr>
      </w:pPr>
    </w:p>
    <w:p w14:paraId="500B0B57">
      <w:pPr>
        <w:spacing w:line="360" w:lineRule="auto"/>
        <w:ind w:firstLine="480" w:firstLineChars="200"/>
        <w:rPr>
          <w:rFonts w:ascii="宋体" w:hAnsi="宋体"/>
          <w:sz w:val="24"/>
        </w:rPr>
      </w:pPr>
      <w:r>
        <w:rPr>
          <w:rFonts w:hint="eastAsia" w:ascii="宋体" w:hAnsi="宋体"/>
          <w:sz w:val="24"/>
        </w:rPr>
        <w:t>谈判供应商全称（公章）：</w:t>
      </w:r>
      <w:r>
        <w:rPr>
          <w:rFonts w:ascii="宋体" w:hAnsi="宋体"/>
          <w:sz w:val="24"/>
        </w:rPr>
        <w:t xml:space="preserve">       </w:t>
      </w:r>
    </w:p>
    <w:p w14:paraId="5684D3D4">
      <w:pPr>
        <w:spacing w:line="360" w:lineRule="auto"/>
        <w:ind w:firstLine="360" w:firstLineChars="150"/>
        <w:rPr>
          <w:rFonts w:hint="eastAsia" w:ascii="宋体" w:hAnsi="宋体"/>
          <w:sz w:val="24"/>
        </w:rPr>
      </w:pPr>
    </w:p>
    <w:p w14:paraId="7C89164E">
      <w:pPr>
        <w:spacing w:line="360" w:lineRule="auto"/>
        <w:ind w:firstLine="480" w:firstLineChars="200"/>
        <w:rPr>
          <w:rFonts w:hint="eastAsia" w:ascii="宋体" w:hAnsi="宋体"/>
          <w:sz w:val="24"/>
        </w:rPr>
      </w:pPr>
      <w:r>
        <w:rPr>
          <w:rFonts w:hint="eastAsia" w:ascii="宋体" w:hAnsi="宋体"/>
          <w:sz w:val="24"/>
        </w:rPr>
        <w:t>法定代表人或授权代表（签字或盖章）：</w:t>
      </w:r>
    </w:p>
    <w:p w14:paraId="520D5ABC">
      <w:pPr>
        <w:spacing w:line="360" w:lineRule="auto"/>
        <w:ind w:firstLine="480" w:firstLineChars="200"/>
        <w:jc w:val="center"/>
        <w:rPr>
          <w:rFonts w:hint="eastAsia" w:ascii="宋体" w:hAnsi="宋体"/>
          <w:sz w:val="24"/>
        </w:rPr>
      </w:pPr>
      <w:r>
        <w:rPr>
          <w:rFonts w:ascii="宋体" w:hAnsi="宋体"/>
          <w:sz w:val="24"/>
        </w:rPr>
        <w:t xml:space="preserve">                               </w:t>
      </w:r>
    </w:p>
    <w:p w14:paraId="4B31E41E">
      <w:pPr>
        <w:jc w:val="right"/>
        <w:rPr>
          <w:rFonts w:hint="eastAsia"/>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p w14:paraId="2FCC1C84">
      <w:pPr>
        <w:spacing w:line="360" w:lineRule="auto"/>
        <w:ind w:firstLine="480" w:firstLineChars="200"/>
        <w:rPr>
          <w:rFonts w:hint="eastAsia" w:ascii="宋体" w:hAnsi="宋体"/>
          <w:sz w:val="24"/>
        </w:rPr>
      </w:pPr>
    </w:p>
    <w:p w14:paraId="6BFBBD15">
      <w:pPr>
        <w:spacing w:line="360" w:lineRule="auto"/>
        <w:ind w:firstLine="480" w:firstLineChars="200"/>
        <w:rPr>
          <w:rFonts w:hint="eastAsia" w:ascii="宋体" w:hAnsi="宋体"/>
          <w:sz w:val="24"/>
        </w:rPr>
      </w:pPr>
    </w:p>
    <w:p w14:paraId="12E093E6">
      <w:pPr>
        <w:spacing w:line="360" w:lineRule="auto"/>
        <w:ind w:firstLine="480" w:firstLineChars="200"/>
        <w:rPr>
          <w:rFonts w:hint="eastAsia" w:ascii="宋体" w:hAnsi="宋体"/>
          <w:sz w:val="24"/>
        </w:rPr>
      </w:pPr>
    </w:p>
    <w:p w14:paraId="428DD698">
      <w:pPr>
        <w:spacing w:line="360" w:lineRule="auto"/>
        <w:ind w:firstLine="480" w:firstLineChars="200"/>
        <w:rPr>
          <w:rFonts w:hint="eastAsia" w:ascii="宋体" w:hAnsi="宋体"/>
          <w:sz w:val="24"/>
        </w:rPr>
      </w:pPr>
    </w:p>
    <w:p w14:paraId="0CD0F58C">
      <w:pPr>
        <w:spacing w:line="360" w:lineRule="auto"/>
        <w:ind w:firstLine="480" w:firstLineChars="200"/>
        <w:rPr>
          <w:rFonts w:hint="eastAsia" w:ascii="宋体" w:hAnsi="宋体"/>
          <w:sz w:val="24"/>
        </w:rPr>
      </w:pPr>
    </w:p>
    <w:p w14:paraId="45F27B6D">
      <w:pPr>
        <w:spacing w:line="360" w:lineRule="auto"/>
        <w:ind w:firstLine="480" w:firstLineChars="200"/>
        <w:rPr>
          <w:rFonts w:hint="eastAsia" w:ascii="宋体" w:hAnsi="宋体"/>
          <w:sz w:val="24"/>
        </w:rPr>
      </w:pPr>
    </w:p>
    <w:p w14:paraId="4D215917">
      <w:pPr>
        <w:spacing w:line="360" w:lineRule="auto"/>
        <w:ind w:firstLine="480" w:firstLineChars="200"/>
        <w:rPr>
          <w:rFonts w:hint="eastAsia" w:ascii="宋体" w:hAnsi="宋体"/>
          <w:sz w:val="24"/>
        </w:rPr>
      </w:pPr>
    </w:p>
    <w:p w14:paraId="56EF48A7">
      <w:pPr>
        <w:spacing w:line="360" w:lineRule="auto"/>
        <w:ind w:firstLine="480" w:firstLineChars="200"/>
        <w:rPr>
          <w:rFonts w:hint="eastAsia" w:ascii="宋体" w:hAnsi="宋体"/>
          <w:sz w:val="24"/>
        </w:rPr>
      </w:pPr>
    </w:p>
    <w:p w14:paraId="7A5558C9">
      <w:pPr>
        <w:spacing w:line="360" w:lineRule="auto"/>
        <w:ind w:firstLine="480" w:firstLineChars="200"/>
        <w:rPr>
          <w:rFonts w:hint="eastAsia" w:ascii="宋体" w:hAnsi="宋体"/>
          <w:sz w:val="24"/>
        </w:rPr>
      </w:pPr>
    </w:p>
    <w:p w14:paraId="045CB74D">
      <w:pPr>
        <w:spacing w:line="360" w:lineRule="auto"/>
        <w:ind w:firstLine="480" w:firstLineChars="200"/>
        <w:rPr>
          <w:rFonts w:hint="eastAsia" w:ascii="宋体" w:hAnsi="宋体"/>
          <w:sz w:val="24"/>
        </w:rPr>
      </w:pPr>
    </w:p>
    <w:p w14:paraId="2EC88ACE">
      <w:pPr>
        <w:spacing w:line="360" w:lineRule="auto"/>
        <w:ind w:firstLine="480" w:firstLineChars="200"/>
        <w:rPr>
          <w:rFonts w:hint="eastAsia" w:ascii="宋体" w:hAnsi="宋体"/>
          <w:sz w:val="24"/>
        </w:rPr>
      </w:pPr>
    </w:p>
    <w:p w14:paraId="2458DD82">
      <w:pPr>
        <w:spacing w:line="360" w:lineRule="auto"/>
        <w:ind w:firstLine="480" w:firstLineChars="200"/>
        <w:rPr>
          <w:rFonts w:hint="eastAsia" w:ascii="宋体" w:hAnsi="宋体"/>
          <w:sz w:val="24"/>
        </w:rPr>
      </w:pPr>
    </w:p>
    <w:p w14:paraId="5D185471">
      <w:pPr>
        <w:spacing w:line="360" w:lineRule="auto"/>
        <w:jc w:val="both"/>
        <w:rPr>
          <w:rFonts w:hint="eastAsia" w:ascii="宋体" w:hAnsi="宋体" w:cs="宋体"/>
          <w:b/>
          <w:bCs/>
          <w:sz w:val="32"/>
          <w:szCs w:val="32"/>
        </w:rPr>
      </w:pPr>
    </w:p>
    <w:p w14:paraId="4FFAF04E">
      <w:pPr>
        <w:spacing w:line="360" w:lineRule="auto"/>
        <w:jc w:val="center"/>
        <w:rPr>
          <w:rFonts w:hint="eastAsia" w:ascii="宋体" w:hAnsi="宋体" w:cs="宋体"/>
          <w:b/>
          <w:bCs/>
          <w:sz w:val="32"/>
          <w:szCs w:val="32"/>
        </w:rPr>
      </w:pPr>
    </w:p>
    <w:p w14:paraId="565A3FA4">
      <w:pPr>
        <w:pStyle w:val="2"/>
        <w:rPr>
          <w:rFonts w:hint="eastAsia" w:ascii="宋体" w:hAnsi="宋体" w:cs="宋体"/>
          <w:b/>
          <w:bCs/>
          <w:sz w:val="32"/>
          <w:szCs w:val="32"/>
        </w:rPr>
      </w:pPr>
    </w:p>
    <w:p w14:paraId="08A1FC8E">
      <w:pPr>
        <w:pStyle w:val="3"/>
        <w:rPr>
          <w:rFonts w:hint="eastAsia"/>
        </w:rPr>
      </w:pPr>
    </w:p>
    <w:p w14:paraId="1EFADBC0">
      <w:pPr>
        <w:spacing w:line="360" w:lineRule="auto"/>
        <w:jc w:val="center"/>
        <w:rPr>
          <w:rFonts w:hint="eastAsia" w:ascii="宋体" w:hAnsi="宋体" w:cs="宋体"/>
          <w:b/>
          <w:bCs/>
          <w:sz w:val="32"/>
          <w:szCs w:val="32"/>
        </w:rPr>
      </w:pPr>
      <w:r>
        <w:rPr>
          <w:rFonts w:hint="eastAsia" w:ascii="宋体" w:hAnsi="宋体" w:cs="宋体"/>
          <w:b/>
          <w:bCs/>
          <w:sz w:val="32"/>
          <w:szCs w:val="32"/>
        </w:rPr>
        <w:t>（</w:t>
      </w:r>
      <w:r>
        <w:rPr>
          <w:rFonts w:hint="eastAsia" w:ascii="宋体" w:hAnsi="宋体" w:cs="宋体"/>
          <w:b/>
          <w:bCs/>
          <w:sz w:val="32"/>
          <w:szCs w:val="32"/>
          <w:lang w:val="en-US" w:eastAsia="zh-CN"/>
        </w:rPr>
        <w:t>1</w:t>
      </w:r>
      <w:r>
        <w:rPr>
          <w:rFonts w:hint="eastAsia" w:ascii="宋体" w:hAnsi="宋体" w:cs="宋体"/>
          <w:b/>
          <w:bCs/>
          <w:sz w:val="32"/>
          <w:szCs w:val="32"/>
        </w:rPr>
        <w:t>）有效的营业执照复印件或其他</w:t>
      </w:r>
      <w:r>
        <w:rPr>
          <w:rFonts w:hint="eastAsia" w:ascii="宋体" w:hAnsi="宋体" w:cs="宋体"/>
          <w:b/>
          <w:bCs/>
          <w:sz w:val="32"/>
          <w:szCs w:val="32"/>
          <w:lang w:val="en-US" w:eastAsia="zh-CN"/>
        </w:rPr>
        <w:t>法人</w:t>
      </w:r>
      <w:r>
        <w:rPr>
          <w:rFonts w:hint="eastAsia" w:ascii="宋体" w:hAnsi="宋体" w:cs="宋体"/>
          <w:b/>
          <w:bCs/>
          <w:sz w:val="32"/>
          <w:szCs w:val="32"/>
        </w:rPr>
        <w:t>登记证书</w:t>
      </w:r>
      <w:r>
        <w:rPr>
          <w:rFonts w:hint="eastAsia" w:ascii="宋体" w:hAnsi="宋体" w:cs="宋体"/>
          <w:b/>
          <w:bCs/>
          <w:sz w:val="32"/>
          <w:szCs w:val="32"/>
          <w:lang w:val="en-US" w:eastAsia="zh-CN"/>
        </w:rPr>
        <w:t>或个体营业执照</w:t>
      </w:r>
      <w:r>
        <w:rPr>
          <w:rFonts w:hint="eastAsia" w:ascii="宋体" w:hAnsi="宋体" w:cs="宋体"/>
          <w:b/>
          <w:bCs/>
          <w:sz w:val="32"/>
          <w:szCs w:val="32"/>
        </w:rPr>
        <w:t>复印件；</w:t>
      </w:r>
    </w:p>
    <w:p w14:paraId="23E19F06">
      <w:pPr>
        <w:spacing w:line="360" w:lineRule="auto"/>
        <w:ind w:firstLine="480" w:firstLineChars="200"/>
        <w:rPr>
          <w:rFonts w:ascii="宋体"/>
          <w:sz w:val="24"/>
        </w:rPr>
      </w:pPr>
      <w:r>
        <w:rPr>
          <w:rFonts w:hint="eastAsia" w:ascii="宋体" w:hAnsi="宋体"/>
          <w:sz w:val="24"/>
          <w:lang w:eastAsia="zh-CN"/>
        </w:rPr>
        <w:t>福建优胜招标项目管理集团有限公司</w:t>
      </w:r>
      <w:r>
        <w:rPr>
          <w:rFonts w:hint="eastAsia" w:ascii="宋体" w:hAnsi="宋体"/>
          <w:sz w:val="24"/>
        </w:rPr>
        <w:t>：</w:t>
      </w:r>
    </w:p>
    <w:p w14:paraId="1E8DCAE6">
      <w:pPr>
        <w:spacing w:line="360" w:lineRule="auto"/>
        <w:ind w:firstLine="480" w:firstLineChars="200"/>
        <w:rPr>
          <w:rFonts w:ascii="宋体"/>
          <w:sz w:val="24"/>
          <w:szCs w:val="20"/>
        </w:rPr>
      </w:pPr>
    </w:p>
    <w:p w14:paraId="04891340">
      <w:pPr>
        <w:spacing w:line="360" w:lineRule="auto"/>
        <w:ind w:firstLine="480" w:firstLineChars="200"/>
        <w:rPr>
          <w:rFonts w:ascii="宋体"/>
          <w:sz w:val="24"/>
        </w:rPr>
      </w:pPr>
      <w:r>
        <w:rPr>
          <w:rFonts w:hint="eastAsia" w:ascii="宋体" w:hAnsi="宋体"/>
          <w:sz w:val="24"/>
        </w:rPr>
        <w:t>现附上由</w:t>
      </w:r>
      <w:r>
        <w:rPr>
          <w:rFonts w:ascii="宋体" w:hAnsi="宋体"/>
          <w:sz w:val="24"/>
          <w:u w:val="single"/>
        </w:rPr>
        <w:t xml:space="preserve">                         </w:t>
      </w:r>
      <w:r>
        <w:rPr>
          <w:rFonts w:hint="eastAsia" w:ascii="宋体" w:hAnsi="宋体"/>
          <w:sz w:val="24"/>
        </w:rPr>
        <w:t>（签发机关名称）签发的我方营业执照副本复印件，该执照已经年检，真实有效。</w:t>
      </w:r>
    </w:p>
    <w:p w14:paraId="106F04DD">
      <w:pPr>
        <w:spacing w:line="360" w:lineRule="auto"/>
        <w:ind w:firstLine="480" w:firstLineChars="200"/>
        <w:rPr>
          <w:rFonts w:ascii="宋体"/>
          <w:sz w:val="24"/>
          <w:szCs w:val="20"/>
        </w:rPr>
      </w:pPr>
    </w:p>
    <w:p w14:paraId="61ECE85C">
      <w:pPr>
        <w:spacing w:line="360" w:lineRule="auto"/>
        <w:ind w:firstLine="480" w:firstLineChars="200"/>
        <w:rPr>
          <w:rFonts w:ascii="宋体"/>
          <w:sz w:val="24"/>
          <w:szCs w:val="20"/>
        </w:rPr>
      </w:pPr>
    </w:p>
    <w:p w14:paraId="2E58E196">
      <w:pPr>
        <w:spacing w:line="360" w:lineRule="auto"/>
        <w:ind w:firstLine="480" w:firstLineChars="200"/>
        <w:rPr>
          <w:rFonts w:ascii="宋体"/>
          <w:sz w:val="24"/>
          <w:szCs w:val="20"/>
        </w:rPr>
      </w:pPr>
    </w:p>
    <w:p w14:paraId="5CFC4AC4">
      <w:pPr>
        <w:spacing w:line="360" w:lineRule="auto"/>
        <w:ind w:firstLine="480" w:firstLineChars="200"/>
        <w:rPr>
          <w:rFonts w:ascii="宋体"/>
          <w:sz w:val="24"/>
          <w:szCs w:val="20"/>
        </w:rPr>
      </w:pPr>
    </w:p>
    <w:p w14:paraId="32755822">
      <w:pPr>
        <w:spacing w:line="360" w:lineRule="auto"/>
        <w:ind w:firstLine="480" w:firstLineChars="200"/>
        <w:rPr>
          <w:rFonts w:ascii="宋体"/>
          <w:sz w:val="24"/>
          <w:szCs w:val="20"/>
        </w:rPr>
      </w:pPr>
    </w:p>
    <w:p w14:paraId="087CF866">
      <w:pPr>
        <w:spacing w:line="360" w:lineRule="auto"/>
        <w:ind w:firstLine="480" w:firstLineChars="200"/>
        <w:rPr>
          <w:rFonts w:ascii="宋体"/>
          <w:sz w:val="24"/>
          <w:szCs w:val="20"/>
        </w:rPr>
      </w:pPr>
    </w:p>
    <w:p w14:paraId="4E4B1801">
      <w:pPr>
        <w:spacing w:line="360" w:lineRule="auto"/>
        <w:ind w:firstLine="480" w:firstLineChars="200"/>
        <w:rPr>
          <w:rFonts w:ascii="宋体"/>
          <w:sz w:val="24"/>
          <w:szCs w:val="20"/>
        </w:rPr>
      </w:pPr>
    </w:p>
    <w:p w14:paraId="35AD6827">
      <w:pPr>
        <w:spacing w:line="360" w:lineRule="auto"/>
        <w:ind w:firstLine="480" w:firstLineChars="200"/>
        <w:rPr>
          <w:rFonts w:ascii="宋体"/>
          <w:sz w:val="24"/>
        </w:rPr>
      </w:pPr>
      <w:r>
        <w:rPr>
          <w:rFonts w:ascii="宋体" w:hAnsi="宋体"/>
          <w:sz w:val="24"/>
        </w:rPr>
        <w:t xml:space="preserve">                         </w:t>
      </w:r>
      <w:r>
        <w:rPr>
          <w:rFonts w:hint="eastAsia" w:ascii="宋体" w:hAnsi="宋体"/>
          <w:sz w:val="24"/>
        </w:rPr>
        <w:t>谈判供应商（全称并加盖公章）：</w:t>
      </w:r>
      <w:r>
        <w:rPr>
          <w:rFonts w:ascii="宋体" w:hAnsi="宋体"/>
          <w:sz w:val="24"/>
          <w:u w:val="single"/>
        </w:rPr>
        <w:t xml:space="preserve">                 </w:t>
      </w:r>
      <w:r>
        <w:rPr>
          <w:rFonts w:ascii="宋体" w:hAnsi="宋体"/>
          <w:sz w:val="24"/>
        </w:rPr>
        <w:t xml:space="preserve">     </w:t>
      </w:r>
    </w:p>
    <w:p w14:paraId="673A3F0A">
      <w:pPr>
        <w:spacing w:line="360" w:lineRule="auto"/>
        <w:ind w:firstLine="480" w:firstLineChars="200"/>
        <w:rPr>
          <w:rFonts w:ascii="宋体"/>
          <w:sz w:val="24"/>
        </w:rPr>
      </w:pPr>
      <w:r>
        <w:rPr>
          <w:rFonts w:ascii="宋体" w:hAnsi="宋体"/>
          <w:sz w:val="24"/>
        </w:rPr>
        <w:t xml:space="preserve">                         </w:t>
      </w:r>
      <w:r>
        <w:rPr>
          <w:rFonts w:hint="eastAsia" w:ascii="宋体" w:hAnsi="宋体"/>
          <w:sz w:val="24"/>
        </w:rPr>
        <w:t>谈判供应商代表签字或盖章：</w:t>
      </w:r>
      <w:r>
        <w:rPr>
          <w:rFonts w:ascii="宋体" w:hAnsi="宋体"/>
          <w:sz w:val="24"/>
          <w:u w:val="single"/>
        </w:rPr>
        <w:t xml:space="preserve">                         </w:t>
      </w:r>
    </w:p>
    <w:p w14:paraId="72D17B7E">
      <w:pPr>
        <w:spacing w:line="360" w:lineRule="auto"/>
        <w:ind w:firstLine="480" w:firstLineChars="200"/>
        <w:rPr>
          <w:rFonts w:ascii="宋体"/>
          <w:sz w:val="24"/>
        </w:rPr>
      </w:pPr>
      <w:r>
        <w:rPr>
          <w:rFonts w:ascii="宋体" w:hAnsi="宋体"/>
          <w:sz w:val="24"/>
        </w:rPr>
        <w:t xml:space="preserve">                         </w:t>
      </w:r>
      <w:r>
        <w:rPr>
          <w:rFonts w:hint="eastAsia" w:ascii="宋体" w:hAnsi="宋体"/>
          <w:sz w:val="24"/>
        </w:rPr>
        <w:t>日</w:t>
      </w:r>
      <w:r>
        <w:rPr>
          <w:rFonts w:ascii="宋体" w:hAnsi="宋体"/>
          <w:sz w:val="24"/>
        </w:rPr>
        <w:t xml:space="preserve">      </w:t>
      </w:r>
      <w:r>
        <w:rPr>
          <w:rFonts w:hint="eastAsia" w:ascii="宋体" w:hAnsi="宋体"/>
          <w:sz w:val="24"/>
        </w:rPr>
        <w:t>期：</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3DC4DC38">
      <w:pPr>
        <w:spacing w:line="360" w:lineRule="auto"/>
        <w:ind w:firstLine="482" w:firstLineChars="200"/>
        <w:jc w:val="center"/>
        <w:rPr>
          <w:rFonts w:ascii="宋体"/>
          <w:b/>
          <w:sz w:val="24"/>
        </w:rPr>
      </w:pPr>
    </w:p>
    <w:p w14:paraId="20E02C04">
      <w:pPr>
        <w:spacing w:line="360" w:lineRule="auto"/>
        <w:ind w:firstLine="482" w:firstLineChars="200"/>
        <w:jc w:val="center"/>
        <w:rPr>
          <w:rFonts w:ascii="宋体"/>
          <w:b/>
          <w:sz w:val="24"/>
        </w:rPr>
      </w:pPr>
    </w:p>
    <w:p w14:paraId="1B2D7EC1">
      <w:pPr>
        <w:spacing w:line="360" w:lineRule="auto"/>
        <w:ind w:firstLine="482" w:firstLineChars="200"/>
        <w:jc w:val="center"/>
        <w:rPr>
          <w:rFonts w:ascii="宋体"/>
          <w:b/>
          <w:sz w:val="24"/>
        </w:rPr>
      </w:pPr>
    </w:p>
    <w:p w14:paraId="55471B76">
      <w:pPr>
        <w:spacing w:line="360" w:lineRule="auto"/>
        <w:ind w:firstLine="482" w:firstLineChars="200"/>
        <w:jc w:val="center"/>
        <w:rPr>
          <w:rFonts w:ascii="宋体"/>
          <w:b/>
          <w:sz w:val="24"/>
        </w:rPr>
      </w:pPr>
    </w:p>
    <w:p w14:paraId="40448D40">
      <w:pPr>
        <w:spacing w:line="360" w:lineRule="auto"/>
        <w:ind w:firstLine="482" w:firstLineChars="200"/>
        <w:jc w:val="center"/>
        <w:rPr>
          <w:rFonts w:ascii="宋体"/>
          <w:b/>
          <w:sz w:val="24"/>
        </w:rPr>
      </w:pPr>
    </w:p>
    <w:p w14:paraId="4A24B4CB">
      <w:pPr>
        <w:spacing w:line="360" w:lineRule="auto"/>
        <w:ind w:firstLine="482" w:firstLineChars="200"/>
        <w:jc w:val="center"/>
        <w:rPr>
          <w:rFonts w:ascii="宋体"/>
          <w:b/>
          <w:sz w:val="24"/>
        </w:rPr>
      </w:pPr>
    </w:p>
    <w:p w14:paraId="32BFEFE8">
      <w:pPr>
        <w:spacing w:line="360" w:lineRule="auto"/>
        <w:ind w:firstLine="482" w:firstLineChars="200"/>
        <w:jc w:val="center"/>
        <w:rPr>
          <w:rFonts w:ascii="宋体"/>
          <w:b/>
          <w:sz w:val="24"/>
        </w:rPr>
      </w:pPr>
    </w:p>
    <w:p w14:paraId="5F258A9E">
      <w:pPr>
        <w:spacing w:line="360" w:lineRule="auto"/>
        <w:ind w:firstLine="482" w:firstLineChars="200"/>
        <w:jc w:val="center"/>
        <w:rPr>
          <w:rFonts w:ascii="宋体"/>
          <w:b/>
          <w:sz w:val="24"/>
        </w:rPr>
      </w:pPr>
    </w:p>
    <w:p w14:paraId="7A32E9E5">
      <w:pPr>
        <w:spacing w:line="360" w:lineRule="auto"/>
        <w:ind w:firstLine="482" w:firstLineChars="200"/>
        <w:jc w:val="center"/>
        <w:rPr>
          <w:rFonts w:ascii="宋体"/>
          <w:b/>
          <w:sz w:val="24"/>
        </w:rPr>
      </w:pPr>
    </w:p>
    <w:p w14:paraId="78D8CB38">
      <w:pPr>
        <w:spacing w:line="360" w:lineRule="auto"/>
        <w:ind w:firstLine="482" w:firstLineChars="200"/>
        <w:jc w:val="center"/>
        <w:rPr>
          <w:rFonts w:ascii="宋体"/>
          <w:b/>
          <w:sz w:val="24"/>
        </w:rPr>
      </w:pPr>
    </w:p>
    <w:p w14:paraId="53AACC3D">
      <w:pPr>
        <w:spacing w:line="360" w:lineRule="auto"/>
        <w:ind w:firstLine="482" w:firstLineChars="200"/>
        <w:jc w:val="center"/>
        <w:rPr>
          <w:rFonts w:ascii="宋体"/>
          <w:b/>
          <w:sz w:val="24"/>
        </w:rPr>
      </w:pPr>
    </w:p>
    <w:p w14:paraId="721611CB">
      <w:pPr>
        <w:spacing w:line="360" w:lineRule="auto"/>
        <w:jc w:val="both"/>
        <w:rPr>
          <w:rFonts w:hint="eastAsia"/>
          <w:b/>
          <w:bCs/>
          <w:sz w:val="32"/>
          <w:szCs w:val="32"/>
        </w:rPr>
      </w:pPr>
      <w:r>
        <w:rPr>
          <w:rFonts w:hint="eastAsia" w:ascii="宋体" w:hAnsi="宋体" w:cs="宋体"/>
          <w:b/>
          <w:bCs/>
          <w:sz w:val="32"/>
          <w:szCs w:val="32"/>
        </w:rPr>
        <w:t>（</w:t>
      </w:r>
      <w:r>
        <w:rPr>
          <w:rFonts w:hint="eastAsia" w:ascii="宋体" w:hAnsi="宋体" w:cs="宋体"/>
          <w:b/>
          <w:bCs/>
          <w:sz w:val="32"/>
          <w:szCs w:val="32"/>
          <w:lang w:val="en-US" w:eastAsia="zh-CN"/>
        </w:rPr>
        <w:t>2</w:t>
      </w:r>
      <w:r>
        <w:rPr>
          <w:rFonts w:hint="eastAsia" w:ascii="宋体" w:hAnsi="宋体" w:cs="宋体"/>
          <w:b/>
          <w:bCs/>
          <w:sz w:val="32"/>
          <w:szCs w:val="32"/>
        </w:rPr>
        <w:t>）法定代表人（负责人</w:t>
      </w:r>
      <w:r>
        <w:rPr>
          <w:rFonts w:hint="eastAsia" w:ascii="宋体" w:hAnsi="宋体" w:cs="宋体"/>
          <w:b/>
          <w:bCs/>
          <w:sz w:val="32"/>
          <w:szCs w:val="32"/>
          <w:lang w:eastAsia="zh-CN"/>
        </w:rPr>
        <w:t>、</w:t>
      </w:r>
      <w:r>
        <w:rPr>
          <w:rFonts w:hint="eastAsia" w:ascii="宋体" w:hAnsi="宋体" w:cs="宋体"/>
          <w:b/>
          <w:bCs/>
          <w:sz w:val="32"/>
          <w:szCs w:val="32"/>
          <w:lang w:val="en-US" w:eastAsia="zh-CN"/>
        </w:rPr>
        <w:t>经营者</w:t>
      </w:r>
      <w:r>
        <w:rPr>
          <w:rFonts w:hint="eastAsia" w:ascii="宋体" w:hAnsi="宋体" w:cs="宋体"/>
          <w:b/>
          <w:bCs/>
          <w:sz w:val="32"/>
          <w:szCs w:val="32"/>
        </w:rPr>
        <w:t>）授权书原件（非法定代表人或负责人</w:t>
      </w:r>
      <w:r>
        <w:rPr>
          <w:rFonts w:hint="eastAsia" w:ascii="宋体" w:hAnsi="宋体" w:cs="宋体"/>
          <w:b/>
          <w:bCs/>
          <w:sz w:val="32"/>
          <w:szCs w:val="32"/>
          <w:lang w:eastAsia="zh-CN"/>
        </w:rPr>
        <w:t>、</w:t>
      </w:r>
      <w:r>
        <w:rPr>
          <w:rFonts w:hint="eastAsia" w:ascii="宋体" w:hAnsi="宋体" w:cs="宋体"/>
          <w:b/>
          <w:bCs/>
          <w:sz w:val="32"/>
          <w:szCs w:val="32"/>
          <w:lang w:val="en-US" w:eastAsia="zh-CN"/>
        </w:rPr>
        <w:t>经营者</w:t>
      </w:r>
      <w:r>
        <w:rPr>
          <w:rFonts w:hint="eastAsia" w:ascii="宋体" w:hAnsi="宋体" w:cs="宋体"/>
          <w:b/>
          <w:bCs/>
          <w:sz w:val="32"/>
          <w:szCs w:val="32"/>
        </w:rPr>
        <w:t>参加时提供）</w:t>
      </w:r>
      <w:r>
        <w:rPr>
          <w:rFonts w:hint="eastAsia"/>
          <w:b/>
          <w:bCs/>
          <w:sz w:val="32"/>
          <w:szCs w:val="32"/>
        </w:rPr>
        <w:t>；</w:t>
      </w:r>
    </w:p>
    <w:p w14:paraId="2C159A1A">
      <w:pPr>
        <w:spacing w:line="360" w:lineRule="auto"/>
        <w:rPr>
          <w:rFonts w:ascii="宋体"/>
          <w:sz w:val="24"/>
        </w:rPr>
      </w:pPr>
      <w:r>
        <w:rPr>
          <w:rFonts w:hint="eastAsia" w:ascii="宋体" w:hAnsi="宋体"/>
          <w:sz w:val="24"/>
          <w:lang w:eastAsia="zh-CN"/>
        </w:rPr>
        <w:t>福建优胜招标项目管理集团有限公司</w:t>
      </w:r>
      <w:r>
        <w:rPr>
          <w:rFonts w:hint="eastAsia" w:ascii="宋体" w:hAnsi="宋体"/>
          <w:sz w:val="24"/>
        </w:rPr>
        <w:t>：</w:t>
      </w:r>
    </w:p>
    <w:p w14:paraId="24C63024">
      <w:pPr>
        <w:pStyle w:val="18"/>
        <w:snapToGrid w:val="0"/>
        <w:spacing w:line="360" w:lineRule="auto"/>
        <w:ind w:firstLine="480" w:firstLineChars="200"/>
        <w:jc w:val="left"/>
        <w:rPr>
          <w:rFonts w:hAnsi="宋体"/>
          <w:sz w:val="24"/>
        </w:rPr>
      </w:pPr>
      <w:r>
        <w:rPr>
          <w:rFonts w:hint="eastAsia" w:hAnsi="宋体"/>
          <w:sz w:val="24"/>
          <w:u w:val="single"/>
        </w:rPr>
        <w:t>（谈判供应商全称）</w:t>
      </w:r>
      <w:r>
        <w:rPr>
          <w:rFonts w:hint="eastAsia" w:hAnsi="宋体"/>
          <w:sz w:val="24"/>
        </w:rPr>
        <w:t>法定代表人（负责人</w:t>
      </w:r>
      <w:r>
        <w:rPr>
          <w:rFonts w:hint="eastAsia" w:hAnsi="宋体"/>
          <w:sz w:val="24"/>
          <w:lang w:eastAsia="zh-CN"/>
        </w:rPr>
        <w:t>、</w:t>
      </w:r>
      <w:r>
        <w:rPr>
          <w:rFonts w:hint="eastAsia" w:hAnsi="宋体"/>
          <w:sz w:val="24"/>
          <w:lang w:val="en-US" w:eastAsia="zh-CN"/>
        </w:rPr>
        <w:t>经营者</w:t>
      </w:r>
      <w:r>
        <w:rPr>
          <w:rFonts w:hint="eastAsia" w:hAnsi="宋体"/>
          <w:sz w:val="24"/>
        </w:rPr>
        <w:t>）</w:t>
      </w:r>
      <w:r>
        <w:rPr>
          <w:rFonts w:hAnsi="宋体"/>
          <w:sz w:val="24"/>
          <w:u w:val="single"/>
        </w:rPr>
        <w:t xml:space="preserve">        </w:t>
      </w:r>
      <w:r>
        <w:rPr>
          <w:rFonts w:hAnsi="宋体"/>
          <w:sz w:val="24"/>
        </w:rPr>
        <w:t xml:space="preserve"> </w:t>
      </w:r>
      <w:r>
        <w:rPr>
          <w:rFonts w:hint="eastAsia" w:hAnsi="宋体"/>
          <w:sz w:val="24"/>
        </w:rPr>
        <w:t>授权</w:t>
      </w:r>
      <w:r>
        <w:rPr>
          <w:rFonts w:hAnsi="宋体"/>
          <w:sz w:val="24"/>
          <w:u w:val="single"/>
        </w:rPr>
        <w:t xml:space="preserve">  </w:t>
      </w:r>
      <w:r>
        <w:rPr>
          <w:rFonts w:hint="eastAsia" w:hAnsi="宋体"/>
          <w:sz w:val="24"/>
          <w:u w:val="single"/>
        </w:rPr>
        <w:t>（谈判供应商代表姓名）</w:t>
      </w:r>
      <w:r>
        <w:rPr>
          <w:rFonts w:hint="eastAsia" w:hAnsi="宋体"/>
          <w:sz w:val="24"/>
        </w:rPr>
        <w:t>为谈判供应商代表，代表本单位参加贵司组织的</w:t>
      </w:r>
      <w:r>
        <w:rPr>
          <w:rFonts w:hAnsi="宋体"/>
          <w:sz w:val="24"/>
          <w:u w:val="single"/>
        </w:rPr>
        <w:t xml:space="preserve">            </w:t>
      </w:r>
      <w:r>
        <w:rPr>
          <w:rFonts w:hint="eastAsia" w:hAnsi="宋体"/>
          <w:sz w:val="24"/>
        </w:rPr>
        <w:t>项目（采购编号</w:t>
      </w:r>
      <w:r>
        <w:rPr>
          <w:rFonts w:hAnsi="宋体"/>
          <w:sz w:val="24"/>
          <w:u w:val="single"/>
        </w:rPr>
        <w:t xml:space="preserve">       </w:t>
      </w:r>
      <w:r>
        <w:rPr>
          <w:rFonts w:hint="eastAsia" w:hAnsi="宋体"/>
          <w:sz w:val="24"/>
        </w:rPr>
        <w:t>）谈判活动，全权代表本单位处理谈判过程的一切事宜，包括但不限于：递交谈判响应文件、参与谈判、签约等。谈判供应商代表在谈判过程中所签署的一切文件和处理与之有关的一切事务，本单位均予以认可并对此承担责任。谈判供应商代表无转委权。特此授权。</w:t>
      </w:r>
    </w:p>
    <w:p w14:paraId="1D02B63F">
      <w:pPr>
        <w:pStyle w:val="18"/>
        <w:snapToGrid w:val="0"/>
        <w:spacing w:line="360" w:lineRule="auto"/>
        <w:ind w:firstLine="480" w:firstLineChars="200"/>
        <w:jc w:val="left"/>
        <w:rPr>
          <w:rFonts w:hAnsi="宋体"/>
          <w:sz w:val="24"/>
        </w:rPr>
      </w:pPr>
      <w:r>
        <w:rPr>
          <w:rFonts w:hint="eastAsia" w:hAnsi="宋体"/>
          <w:sz w:val="24"/>
        </w:rPr>
        <w:t>本授权书自出具之日起生效。</w:t>
      </w:r>
    </w:p>
    <w:p w14:paraId="37C9EF10">
      <w:pPr>
        <w:spacing w:line="360" w:lineRule="auto"/>
        <w:ind w:firstLine="480" w:firstLineChars="200"/>
        <w:rPr>
          <w:rFonts w:ascii="宋体"/>
          <w:sz w:val="24"/>
        </w:rPr>
      </w:pPr>
    </w:p>
    <w:p w14:paraId="0FF11DD5">
      <w:pPr>
        <w:spacing w:line="360" w:lineRule="auto"/>
        <w:ind w:firstLine="480" w:firstLineChars="200"/>
        <w:rPr>
          <w:rFonts w:ascii="宋体"/>
          <w:sz w:val="24"/>
        </w:rPr>
      </w:pPr>
      <w:r>
        <w:rPr>
          <w:rFonts w:hint="eastAsia" w:ascii="宋体" w:hAnsi="宋体"/>
          <w:sz w:val="24"/>
        </w:rPr>
        <w:t>谈判供应商代表：</w:t>
      </w:r>
      <w:r>
        <w:rPr>
          <w:rFonts w:ascii="宋体" w:hAnsi="宋体"/>
          <w:sz w:val="24"/>
          <w:u w:val="single"/>
        </w:rPr>
        <w:t xml:space="preserve">            </w:t>
      </w:r>
      <w:r>
        <w:rPr>
          <w:rFonts w:ascii="宋体" w:hAnsi="宋体"/>
          <w:sz w:val="24"/>
        </w:rPr>
        <w:t xml:space="preserve">  </w:t>
      </w:r>
      <w:r>
        <w:rPr>
          <w:rFonts w:hint="eastAsia" w:ascii="宋体" w:hAnsi="宋体"/>
          <w:sz w:val="24"/>
        </w:rPr>
        <w:t>性别：</w:t>
      </w:r>
      <w:r>
        <w:rPr>
          <w:rFonts w:ascii="宋体" w:hAnsi="宋体"/>
          <w:sz w:val="24"/>
          <w:u w:val="single"/>
        </w:rPr>
        <w:t xml:space="preserve">       </w:t>
      </w:r>
      <w:r>
        <w:rPr>
          <w:rFonts w:hint="eastAsia" w:ascii="宋体" w:hAnsi="宋体"/>
          <w:sz w:val="24"/>
        </w:rPr>
        <w:t>身份证号：</w:t>
      </w:r>
      <w:r>
        <w:rPr>
          <w:rFonts w:ascii="宋体" w:hAnsi="宋体"/>
          <w:sz w:val="24"/>
          <w:u w:val="single"/>
        </w:rPr>
        <w:t xml:space="preserve">                  </w:t>
      </w:r>
    </w:p>
    <w:p w14:paraId="5E460D60">
      <w:pPr>
        <w:spacing w:line="360" w:lineRule="auto"/>
        <w:ind w:firstLine="480" w:firstLineChars="200"/>
        <w:rPr>
          <w:rFonts w:ascii="宋体"/>
          <w:sz w:val="24"/>
        </w:rPr>
      </w:pPr>
      <w:r>
        <w:rPr>
          <w:rFonts w:hint="eastAsia" w:ascii="宋体" w:hAnsi="宋体"/>
          <w:sz w:val="24"/>
        </w:rPr>
        <w:t>单位：</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部门：</w:t>
      </w:r>
      <w:r>
        <w:rPr>
          <w:rFonts w:ascii="宋体" w:hAnsi="宋体"/>
          <w:sz w:val="24"/>
          <w:u w:val="single"/>
        </w:rPr>
        <w:t xml:space="preserve">          </w:t>
      </w:r>
      <w:r>
        <w:rPr>
          <w:rFonts w:ascii="宋体" w:hAnsi="宋体"/>
          <w:sz w:val="24"/>
        </w:rPr>
        <w:t xml:space="preserve"> </w:t>
      </w:r>
      <w:r>
        <w:rPr>
          <w:rFonts w:hint="eastAsia" w:ascii="宋体" w:hAnsi="宋体"/>
          <w:sz w:val="24"/>
        </w:rPr>
        <w:t>职务：</w:t>
      </w:r>
      <w:r>
        <w:rPr>
          <w:rFonts w:ascii="宋体" w:hAnsi="宋体"/>
          <w:sz w:val="24"/>
          <w:u w:val="single"/>
        </w:rPr>
        <w:t xml:space="preserve">                  </w:t>
      </w:r>
    </w:p>
    <w:p w14:paraId="2339124D">
      <w:pPr>
        <w:spacing w:line="360" w:lineRule="auto"/>
        <w:ind w:firstLine="480" w:firstLineChars="200"/>
        <w:rPr>
          <w:rFonts w:ascii="宋体"/>
          <w:sz w:val="24"/>
        </w:rPr>
      </w:pPr>
      <w:r>
        <w:rPr>
          <w:rFonts w:hint="eastAsia" w:ascii="宋体" w:hAnsi="宋体"/>
          <w:sz w:val="24"/>
        </w:rPr>
        <w:t>详细通讯地址：</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ascii="宋体" w:hAnsi="宋体"/>
          <w:b/>
          <w:bCs/>
          <w:sz w:val="24"/>
        </w:rPr>
        <w:t xml:space="preserve"> </w:t>
      </w:r>
      <w:r>
        <w:rPr>
          <w:rFonts w:hint="eastAsia" w:ascii="宋体" w:hAnsi="宋体"/>
          <w:sz w:val="24"/>
        </w:rPr>
        <w:t>邮政编码</w:t>
      </w:r>
      <w:r>
        <w:rPr>
          <w:rFonts w:ascii="宋体" w:hAnsi="宋体"/>
          <w:sz w:val="24"/>
        </w:rPr>
        <w:t>:</w:t>
      </w:r>
      <w:r>
        <w:rPr>
          <w:rFonts w:ascii="宋体" w:hAnsi="宋体"/>
          <w:sz w:val="24"/>
          <w:u w:val="single"/>
        </w:rPr>
        <w:t xml:space="preserve">           </w:t>
      </w:r>
      <w:r>
        <w:rPr>
          <w:rFonts w:ascii="宋体" w:hAnsi="宋体"/>
          <w:sz w:val="24"/>
        </w:rPr>
        <w:t xml:space="preserve"> </w:t>
      </w:r>
      <w:r>
        <w:rPr>
          <w:rFonts w:hint="eastAsia" w:ascii="宋体" w:hAnsi="宋体"/>
          <w:sz w:val="24"/>
        </w:rPr>
        <w:t>电话：</w:t>
      </w:r>
      <w:r>
        <w:rPr>
          <w:rFonts w:ascii="宋体" w:hAnsi="宋体"/>
          <w:sz w:val="24"/>
          <w:u w:val="single"/>
        </w:rPr>
        <w:t xml:space="preserve">              </w:t>
      </w:r>
    </w:p>
    <w:p w14:paraId="115B3EA0">
      <w:pPr>
        <w:spacing w:line="360" w:lineRule="auto"/>
        <w:ind w:firstLine="480" w:firstLineChars="200"/>
        <w:rPr>
          <w:rFonts w:ascii="宋体"/>
          <w:sz w:val="24"/>
        </w:rPr>
      </w:pPr>
    </w:p>
    <w:p w14:paraId="0B5B066B">
      <w:pPr>
        <w:spacing w:line="360" w:lineRule="auto"/>
        <w:ind w:firstLine="482" w:firstLineChars="200"/>
        <w:rPr>
          <w:rFonts w:hint="eastAsia" w:ascii="宋体" w:hAnsi="宋体"/>
          <w:b/>
          <w:sz w:val="24"/>
        </w:rPr>
      </w:pPr>
      <w:r>
        <w:rPr>
          <w:rFonts w:hint="eastAsia" w:ascii="宋体" w:hAnsi="宋体"/>
          <w:b/>
          <w:sz w:val="24"/>
        </w:rPr>
        <w:t>附：法定代表人（负责人</w:t>
      </w:r>
      <w:r>
        <w:rPr>
          <w:rFonts w:hint="eastAsia" w:ascii="宋体" w:hAnsi="宋体"/>
          <w:b/>
          <w:sz w:val="24"/>
          <w:lang w:eastAsia="zh-CN"/>
        </w:rPr>
        <w:t>、</w:t>
      </w:r>
      <w:r>
        <w:rPr>
          <w:rFonts w:hint="eastAsia" w:ascii="宋体" w:hAnsi="宋体"/>
          <w:b/>
          <w:sz w:val="24"/>
          <w:lang w:val="en-US" w:eastAsia="zh-CN"/>
        </w:rPr>
        <w:t>经营者</w:t>
      </w:r>
      <w:r>
        <w:rPr>
          <w:rFonts w:hint="eastAsia" w:ascii="宋体" w:hAnsi="宋体"/>
          <w:b/>
          <w:sz w:val="24"/>
        </w:rPr>
        <w:t>）、被授权人身份证复印件</w:t>
      </w:r>
    </w:p>
    <w:p w14:paraId="3DE99069">
      <w:pPr>
        <w:spacing w:line="360" w:lineRule="auto"/>
        <w:ind w:firstLine="482" w:firstLineChars="200"/>
        <w:rPr>
          <w:rFonts w:ascii="宋体"/>
          <w:b/>
          <w:sz w:val="24"/>
        </w:rPr>
      </w:pPr>
      <w:r>
        <w:rPr>
          <w:rFonts w:hint="eastAsia" w:ascii="宋体" w:hAnsi="宋体"/>
          <w:b/>
          <w:sz w:val="24"/>
        </w:rPr>
        <w:t>注：谈判供应商代表为非法定代表人提供《法定代表人授权书》，谈判供应商代表为法定代表人（负责人</w:t>
      </w:r>
      <w:r>
        <w:rPr>
          <w:rFonts w:hint="eastAsia" w:ascii="宋体" w:hAnsi="宋体"/>
          <w:b/>
          <w:sz w:val="24"/>
          <w:lang w:eastAsia="zh-CN"/>
        </w:rPr>
        <w:t>、</w:t>
      </w:r>
      <w:r>
        <w:rPr>
          <w:rFonts w:hint="eastAsia" w:ascii="宋体" w:hAnsi="宋体"/>
          <w:b/>
          <w:sz w:val="24"/>
          <w:lang w:val="en-US" w:eastAsia="zh-CN"/>
        </w:rPr>
        <w:t>经营者</w:t>
      </w:r>
      <w:r>
        <w:rPr>
          <w:rFonts w:hint="eastAsia" w:ascii="宋体" w:hAnsi="宋体"/>
          <w:b/>
          <w:sz w:val="24"/>
        </w:rPr>
        <w:t>）时，只须提供身份证复印件。</w:t>
      </w:r>
    </w:p>
    <w:p w14:paraId="12AF1FA9">
      <w:pPr>
        <w:spacing w:line="360" w:lineRule="auto"/>
        <w:ind w:firstLine="480" w:firstLineChars="200"/>
        <w:rPr>
          <w:rFonts w:ascii="宋体"/>
          <w:sz w:val="24"/>
        </w:rPr>
      </w:pPr>
      <w:r>
        <w:rPr>
          <w:rFonts w:hint="eastAsia" w:ascii="宋体" w:hAnsi="宋体"/>
          <w:sz w:val="24"/>
        </w:rPr>
        <w:t>授权方</w:t>
      </w:r>
    </w:p>
    <w:p w14:paraId="0982FFE6">
      <w:pPr>
        <w:spacing w:line="360" w:lineRule="auto"/>
        <w:ind w:firstLine="480" w:firstLineChars="200"/>
        <w:rPr>
          <w:rFonts w:ascii="宋体"/>
          <w:sz w:val="24"/>
        </w:rPr>
      </w:pPr>
      <w:r>
        <w:rPr>
          <w:rFonts w:hint="eastAsia" w:ascii="宋体" w:hAnsi="宋体"/>
          <w:sz w:val="24"/>
        </w:rPr>
        <w:t>谈判供应商（全称并加盖公章）：</w:t>
      </w:r>
      <w:r>
        <w:rPr>
          <w:rFonts w:ascii="宋体" w:hAnsi="宋体"/>
          <w:sz w:val="24"/>
          <w:u w:val="single"/>
        </w:rPr>
        <w:t xml:space="preserve">                    </w:t>
      </w:r>
    </w:p>
    <w:p w14:paraId="656C67E6">
      <w:pPr>
        <w:spacing w:line="360" w:lineRule="auto"/>
        <w:ind w:firstLine="480" w:firstLineChars="200"/>
        <w:rPr>
          <w:rFonts w:ascii="宋体"/>
          <w:sz w:val="24"/>
        </w:rPr>
      </w:pPr>
      <w:r>
        <w:rPr>
          <w:rFonts w:hint="eastAsia" w:ascii="宋体" w:hAnsi="宋体"/>
          <w:sz w:val="24"/>
        </w:rPr>
        <w:t>法定代表人（负责人</w:t>
      </w:r>
      <w:r>
        <w:rPr>
          <w:rFonts w:hint="eastAsia" w:ascii="宋体" w:hAnsi="宋体"/>
          <w:sz w:val="24"/>
          <w:lang w:eastAsia="zh-CN"/>
        </w:rPr>
        <w:t>、</w:t>
      </w:r>
      <w:r>
        <w:rPr>
          <w:rFonts w:hint="eastAsia" w:ascii="宋体" w:hAnsi="宋体"/>
          <w:sz w:val="24"/>
          <w:lang w:val="en-US" w:eastAsia="zh-CN"/>
        </w:rPr>
        <w:t>经营者</w:t>
      </w:r>
      <w:r>
        <w:rPr>
          <w:rFonts w:hint="eastAsia" w:ascii="宋体" w:hAnsi="宋体"/>
          <w:sz w:val="24"/>
        </w:rPr>
        <w:t>）签字或盖章：</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4C4BA931">
      <w:pPr>
        <w:spacing w:line="360" w:lineRule="auto"/>
        <w:ind w:firstLine="480" w:firstLineChars="200"/>
        <w:rPr>
          <w:rFonts w:ascii="宋体"/>
          <w:sz w:val="24"/>
        </w:rPr>
      </w:pPr>
      <w:r>
        <w:rPr>
          <w:rFonts w:hint="eastAsia" w:ascii="宋体" w:hAnsi="宋体"/>
          <w:sz w:val="24"/>
        </w:rPr>
        <w:t>日</w:t>
      </w:r>
      <w:r>
        <w:rPr>
          <w:rFonts w:ascii="宋体" w:hAnsi="宋体"/>
          <w:sz w:val="24"/>
        </w:rPr>
        <w:t xml:space="preserve">     </w:t>
      </w:r>
      <w:r>
        <w:rPr>
          <w:rFonts w:hint="eastAsia" w:ascii="宋体" w:hAnsi="宋体"/>
          <w:sz w:val="24"/>
        </w:rPr>
        <w:t>期：</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31CB2207">
      <w:pPr>
        <w:spacing w:line="360" w:lineRule="auto"/>
        <w:ind w:firstLine="480" w:firstLineChars="200"/>
        <w:rPr>
          <w:rFonts w:ascii="宋体"/>
          <w:sz w:val="24"/>
        </w:rPr>
      </w:pPr>
    </w:p>
    <w:p w14:paraId="54CFEE26">
      <w:pPr>
        <w:spacing w:line="360" w:lineRule="auto"/>
        <w:ind w:firstLine="480" w:firstLineChars="200"/>
        <w:rPr>
          <w:rFonts w:ascii="宋体"/>
          <w:sz w:val="24"/>
        </w:rPr>
      </w:pPr>
      <w:r>
        <w:rPr>
          <w:rFonts w:hint="eastAsia" w:ascii="宋体" w:hAnsi="宋体"/>
          <w:sz w:val="24"/>
        </w:rPr>
        <w:t>接受授权方</w:t>
      </w:r>
    </w:p>
    <w:p w14:paraId="1EAA0A77">
      <w:pPr>
        <w:spacing w:line="360" w:lineRule="auto"/>
        <w:ind w:firstLine="480" w:firstLineChars="200"/>
        <w:rPr>
          <w:rFonts w:ascii="宋体"/>
          <w:sz w:val="24"/>
        </w:rPr>
      </w:pPr>
      <w:r>
        <w:rPr>
          <w:rFonts w:hint="eastAsia" w:ascii="宋体" w:hAnsi="宋体"/>
          <w:sz w:val="24"/>
        </w:rPr>
        <w:t>谈判供应商代表签字或盖章：</w:t>
      </w:r>
      <w:r>
        <w:rPr>
          <w:rFonts w:ascii="宋体" w:hAnsi="宋体"/>
          <w:sz w:val="24"/>
          <w:u w:val="single"/>
        </w:rPr>
        <w:t xml:space="preserve">                </w:t>
      </w:r>
    </w:p>
    <w:p w14:paraId="0436A4D9">
      <w:pPr>
        <w:spacing w:line="360" w:lineRule="auto"/>
        <w:ind w:firstLine="480" w:firstLineChars="200"/>
        <w:rPr>
          <w:rFonts w:ascii="宋体"/>
          <w:sz w:val="24"/>
        </w:rPr>
      </w:pPr>
      <w:r>
        <w:rPr>
          <w:rFonts w:hint="eastAsia" w:ascii="宋体" w:hAnsi="宋体"/>
          <w:sz w:val="24"/>
        </w:rPr>
        <w:t>日</w:t>
      </w:r>
      <w:r>
        <w:rPr>
          <w:rFonts w:ascii="宋体" w:hAnsi="宋体"/>
          <w:sz w:val="24"/>
        </w:rPr>
        <w:t xml:space="preserve">     </w:t>
      </w:r>
      <w:r>
        <w:rPr>
          <w:rFonts w:hint="eastAsia" w:ascii="宋体" w:hAnsi="宋体"/>
          <w:sz w:val="24"/>
        </w:rPr>
        <w:t>期：</w:t>
      </w:r>
      <w:r>
        <w:rPr>
          <w:rFonts w:ascii="宋体" w:hAnsi="宋体"/>
          <w:sz w:val="24"/>
        </w:rPr>
        <w:t xml:space="preserve">                     </w:t>
      </w:r>
    </w:p>
    <w:p w14:paraId="02FE8FA7">
      <w:pPr>
        <w:spacing w:line="360" w:lineRule="auto"/>
        <w:jc w:val="center"/>
        <w:rPr>
          <w:rFonts w:hint="eastAsia"/>
          <w:b/>
          <w:bCs/>
          <w:sz w:val="32"/>
          <w:szCs w:val="32"/>
        </w:rPr>
      </w:pPr>
      <w:r>
        <w:rPr>
          <w:rFonts w:hint="eastAsia"/>
          <w:b/>
          <w:bCs/>
          <w:sz w:val="32"/>
          <w:szCs w:val="32"/>
        </w:rPr>
        <w:t>附：法定代表人（负责人</w:t>
      </w:r>
      <w:r>
        <w:rPr>
          <w:rFonts w:hint="eastAsia"/>
          <w:b/>
          <w:bCs/>
          <w:sz w:val="32"/>
          <w:szCs w:val="32"/>
          <w:lang w:eastAsia="zh-CN"/>
        </w:rPr>
        <w:t>、</w:t>
      </w:r>
      <w:r>
        <w:rPr>
          <w:rFonts w:hint="eastAsia"/>
          <w:b/>
          <w:bCs/>
          <w:sz w:val="32"/>
          <w:szCs w:val="32"/>
          <w:lang w:val="en-US" w:eastAsia="zh-CN"/>
        </w:rPr>
        <w:t>经营者</w:t>
      </w:r>
      <w:r>
        <w:rPr>
          <w:rFonts w:hint="eastAsia"/>
          <w:b/>
          <w:bCs/>
          <w:sz w:val="32"/>
          <w:szCs w:val="32"/>
        </w:rPr>
        <w:t>）、被授权人身份证复印件</w:t>
      </w:r>
    </w:p>
    <w:p w14:paraId="3AB5325A">
      <w:pPr>
        <w:spacing w:line="360" w:lineRule="auto"/>
        <w:ind w:firstLine="482" w:firstLineChars="200"/>
        <w:jc w:val="center"/>
        <w:rPr>
          <w:rFonts w:ascii="宋体"/>
          <w:b/>
          <w:sz w:val="24"/>
        </w:rPr>
      </w:pPr>
    </w:p>
    <w:p w14:paraId="2E4A1934">
      <w:pPr>
        <w:spacing w:line="360" w:lineRule="auto"/>
        <w:rPr>
          <w:rFonts w:hint="eastAsia" w:ascii="宋体" w:hAnsi="宋体"/>
          <w:b/>
          <w:bCs/>
          <w:sz w:val="28"/>
          <w:szCs w:val="28"/>
        </w:rPr>
      </w:pPr>
      <w:r>
        <w:rPr>
          <w:rFonts w:hint="eastAsia" w:ascii="宋体" w:hAnsi="宋体"/>
          <w:b/>
          <w:bCs/>
          <w:sz w:val="28"/>
          <w:szCs w:val="28"/>
        </w:rPr>
        <w:t>（</w:t>
      </w:r>
      <w:r>
        <w:rPr>
          <w:rFonts w:hint="eastAsia" w:ascii="宋体" w:hAnsi="宋体"/>
          <w:b/>
          <w:bCs/>
          <w:sz w:val="28"/>
          <w:szCs w:val="28"/>
          <w:lang w:val="en-US" w:eastAsia="zh-CN"/>
        </w:rPr>
        <w:t>3</w:t>
      </w:r>
      <w:r>
        <w:rPr>
          <w:rFonts w:hint="eastAsia" w:ascii="宋体" w:hAnsi="宋体"/>
          <w:b/>
          <w:bCs/>
          <w:sz w:val="28"/>
          <w:szCs w:val="28"/>
        </w:rPr>
        <w:t>）</w:t>
      </w:r>
      <w:r>
        <w:rPr>
          <w:rFonts w:hint="eastAsia" w:ascii="宋体" w:hAnsi="宋体"/>
          <w:b/>
          <w:bCs/>
          <w:sz w:val="28"/>
          <w:szCs w:val="28"/>
          <w:lang w:val="en-US" w:eastAsia="zh-CN"/>
        </w:rPr>
        <w:t>供应商具备有效的《食品生产许可证》或《食品经营许可证》或食品经营者备案信息采集表。</w:t>
      </w:r>
    </w:p>
    <w:p w14:paraId="43AE3B1F">
      <w:pPr>
        <w:spacing w:line="360" w:lineRule="auto"/>
        <w:jc w:val="center"/>
        <w:rPr>
          <w:rFonts w:hint="eastAsia" w:ascii="宋体" w:hAnsi="宋体" w:cs="宋体"/>
          <w:b/>
          <w:bCs/>
          <w:sz w:val="32"/>
          <w:szCs w:val="32"/>
        </w:rPr>
      </w:pPr>
    </w:p>
    <w:p w14:paraId="29B02F85">
      <w:pPr>
        <w:spacing w:line="360" w:lineRule="auto"/>
        <w:jc w:val="center"/>
        <w:rPr>
          <w:rFonts w:hint="eastAsia" w:ascii="宋体" w:hAnsi="宋体" w:cs="宋体"/>
          <w:b/>
          <w:bCs/>
          <w:sz w:val="32"/>
          <w:szCs w:val="32"/>
        </w:rPr>
      </w:pPr>
    </w:p>
    <w:p w14:paraId="176A8C1F">
      <w:pPr>
        <w:spacing w:line="360" w:lineRule="auto"/>
        <w:jc w:val="center"/>
        <w:rPr>
          <w:rFonts w:hint="eastAsia" w:ascii="宋体" w:hAnsi="宋体" w:cs="宋体"/>
          <w:b/>
          <w:bCs/>
          <w:sz w:val="32"/>
          <w:szCs w:val="32"/>
        </w:rPr>
      </w:pPr>
    </w:p>
    <w:p w14:paraId="2D19479E">
      <w:pPr>
        <w:spacing w:line="360" w:lineRule="auto"/>
        <w:jc w:val="center"/>
        <w:rPr>
          <w:rFonts w:hint="eastAsia" w:ascii="宋体" w:hAnsi="宋体" w:cs="宋体"/>
          <w:b/>
          <w:bCs/>
          <w:sz w:val="32"/>
          <w:szCs w:val="32"/>
        </w:rPr>
      </w:pPr>
    </w:p>
    <w:p w14:paraId="07AD33D7">
      <w:pPr>
        <w:spacing w:line="360" w:lineRule="auto"/>
        <w:jc w:val="center"/>
        <w:rPr>
          <w:rFonts w:hint="eastAsia" w:ascii="宋体" w:hAnsi="宋体" w:cs="宋体"/>
          <w:b/>
          <w:bCs/>
          <w:sz w:val="32"/>
          <w:szCs w:val="32"/>
        </w:rPr>
      </w:pPr>
    </w:p>
    <w:p w14:paraId="4106EAD8">
      <w:pPr>
        <w:spacing w:line="360" w:lineRule="auto"/>
        <w:jc w:val="center"/>
        <w:rPr>
          <w:rFonts w:hint="eastAsia" w:ascii="宋体" w:hAnsi="宋体" w:cs="宋体"/>
          <w:b/>
          <w:bCs/>
          <w:sz w:val="32"/>
          <w:szCs w:val="32"/>
        </w:rPr>
      </w:pPr>
    </w:p>
    <w:p w14:paraId="3C996F02">
      <w:pPr>
        <w:spacing w:line="360" w:lineRule="auto"/>
        <w:jc w:val="center"/>
        <w:rPr>
          <w:rFonts w:hint="eastAsia" w:ascii="宋体" w:hAnsi="宋体" w:cs="宋体"/>
          <w:b/>
          <w:bCs/>
          <w:sz w:val="32"/>
          <w:szCs w:val="32"/>
        </w:rPr>
      </w:pPr>
    </w:p>
    <w:p w14:paraId="6D6DC1EB">
      <w:pPr>
        <w:spacing w:line="360" w:lineRule="auto"/>
        <w:jc w:val="center"/>
        <w:rPr>
          <w:rFonts w:hint="eastAsia" w:ascii="宋体" w:hAnsi="宋体" w:cs="宋体"/>
          <w:b/>
          <w:bCs/>
          <w:sz w:val="32"/>
          <w:szCs w:val="32"/>
        </w:rPr>
      </w:pPr>
    </w:p>
    <w:p w14:paraId="0452880F">
      <w:pPr>
        <w:spacing w:line="360" w:lineRule="auto"/>
        <w:jc w:val="center"/>
        <w:rPr>
          <w:rFonts w:hint="eastAsia" w:ascii="宋体" w:hAnsi="宋体" w:cs="宋体"/>
          <w:b/>
          <w:bCs/>
          <w:sz w:val="32"/>
          <w:szCs w:val="32"/>
        </w:rPr>
      </w:pPr>
    </w:p>
    <w:p w14:paraId="3324D586">
      <w:pPr>
        <w:spacing w:line="360" w:lineRule="auto"/>
        <w:jc w:val="center"/>
        <w:rPr>
          <w:rFonts w:hint="eastAsia" w:ascii="宋体" w:hAnsi="宋体" w:cs="宋体"/>
          <w:b/>
          <w:bCs/>
          <w:sz w:val="32"/>
          <w:szCs w:val="32"/>
        </w:rPr>
      </w:pPr>
    </w:p>
    <w:p w14:paraId="7924A150">
      <w:pPr>
        <w:spacing w:line="360" w:lineRule="auto"/>
        <w:jc w:val="center"/>
        <w:rPr>
          <w:rFonts w:hint="eastAsia" w:ascii="宋体" w:hAnsi="宋体" w:cs="宋体"/>
          <w:b/>
          <w:bCs/>
          <w:sz w:val="32"/>
          <w:szCs w:val="32"/>
        </w:rPr>
      </w:pPr>
    </w:p>
    <w:p w14:paraId="5D5E8397">
      <w:pPr>
        <w:spacing w:line="360" w:lineRule="auto"/>
        <w:jc w:val="center"/>
        <w:rPr>
          <w:rFonts w:hint="eastAsia" w:ascii="宋体" w:hAnsi="宋体" w:cs="宋体"/>
          <w:b/>
          <w:bCs/>
          <w:sz w:val="32"/>
          <w:szCs w:val="32"/>
        </w:rPr>
      </w:pPr>
    </w:p>
    <w:p w14:paraId="190EC6DF">
      <w:pPr>
        <w:spacing w:line="360" w:lineRule="auto"/>
        <w:jc w:val="center"/>
        <w:rPr>
          <w:rFonts w:hint="eastAsia" w:ascii="宋体" w:hAnsi="宋体" w:cs="宋体"/>
          <w:b/>
          <w:bCs/>
          <w:sz w:val="32"/>
          <w:szCs w:val="32"/>
        </w:rPr>
      </w:pPr>
    </w:p>
    <w:p w14:paraId="0D455FA6">
      <w:pPr>
        <w:spacing w:line="360" w:lineRule="auto"/>
        <w:jc w:val="center"/>
        <w:rPr>
          <w:rFonts w:hint="eastAsia" w:ascii="宋体" w:hAnsi="宋体" w:cs="宋体"/>
          <w:b/>
          <w:bCs/>
          <w:sz w:val="32"/>
          <w:szCs w:val="32"/>
        </w:rPr>
      </w:pPr>
    </w:p>
    <w:p w14:paraId="5EDEEAFF">
      <w:pPr>
        <w:spacing w:line="360" w:lineRule="auto"/>
        <w:jc w:val="center"/>
        <w:rPr>
          <w:rFonts w:hint="eastAsia" w:ascii="宋体" w:hAnsi="宋体" w:cs="宋体"/>
          <w:b/>
          <w:bCs/>
          <w:sz w:val="32"/>
          <w:szCs w:val="32"/>
        </w:rPr>
      </w:pPr>
    </w:p>
    <w:p w14:paraId="6F5D0A1F">
      <w:pPr>
        <w:spacing w:line="360" w:lineRule="auto"/>
        <w:jc w:val="center"/>
        <w:rPr>
          <w:rFonts w:hint="eastAsia" w:ascii="宋体" w:hAnsi="宋体" w:cs="宋体"/>
          <w:b/>
          <w:bCs/>
          <w:sz w:val="32"/>
          <w:szCs w:val="32"/>
        </w:rPr>
      </w:pPr>
    </w:p>
    <w:p w14:paraId="25EC827E">
      <w:pPr>
        <w:spacing w:line="360" w:lineRule="auto"/>
        <w:jc w:val="center"/>
        <w:rPr>
          <w:rFonts w:hint="eastAsia" w:ascii="宋体" w:hAnsi="宋体" w:cs="宋体"/>
          <w:b/>
          <w:bCs/>
          <w:sz w:val="32"/>
          <w:szCs w:val="32"/>
        </w:rPr>
      </w:pPr>
    </w:p>
    <w:p w14:paraId="5F16034F">
      <w:pPr>
        <w:spacing w:line="360" w:lineRule="auto"/>
        <w:jc w:val="center"/>
        <w:rPr>
          <w:rFonts w:hint="eastAsia" w:ascii="宋体" w:hAnsi="宋体" w:cs="宋体"/>
          <w:b/>
          <w:bCs/>
          <w:sz w:val="32"/>
          <w:szCs w:val="32"/>
        </w:rPr>
      </w:pPr>
    </w:p>
    <w:p w14:paraId="5907CF66">
      <w:pPr>
        <w:spacing w:line="360" w:lineRule="auto"/>
        <w:jc w:val="center"/>
        <w:rPr>
          <w:rFonts w:hint="eastAsia" w:ascii="宋体" w:hAnsi="宋体" w:cs="宋体"/>
          <w:b/>
          <w:bCs/>
          <w:sz w:val="32"/>
          <w:szCs w:val="32"/>
        </w:rPr>
      </w:pPr>
    </w:p>
    <w:p w14:paraId="40B3A604">
      <w:pPr>
        <w:spacing w:line="360" w:lineRule="auto"/>
        <w:jc w:val="center"/>
        <w:rPr>
          <w:rFonts w:hint="eastAsia" w:ascii="宋体" w:hAnsi="宋体" w:cs="宋体"/>
          <w:b/>
          <w:bCs/>
          <w:sz w:val="32"/>
          <w:szCs w:val="32"/>
        </w:rPr>
      </w:pPr>
      <w:r>
        <w:rPr>
          <w:rFonts w:hint="eastAsia" w:ascii="宋体" w:hAnsi="宋体" w:cs="宋体"/>
          <w:b/>
          <w:bCs/>
          <w:sz w:val="32"/>
          <w:szCs w:val="32"/>
        </w:rPr>
        <w:t>4.采购内容及要求承诺书</w:t>
      </w:r>
    </w:p>
    <w:p w14:paraId="437AF304">
      <w:pPr>
        <w:ind w:right="460" w:rightChars="219" w:firstLine="600" w:firstLineChars="200"/>
        <w:rPr>
          <w:rFonts w:hint="eastAsia" w:ascii="宋体" w:hAnsi="宋体"/>
          <w:sz w:val="30"/>
        </w:rPr>
      </w:pPr>
    </w:p>
    <w:p w14:paraId="78371413">
      <w:pPr>
        <w:widowControl/>
        <w:shd w:val="clear" w:color="auto" w:fill="FFFFFF"/>
        <w:spacing w:after="225"/>
        <w:jc w:val="left"/>
        <w:rPr>
          <w:rFonts w:ascii="宋体" w:cs="宋体"/>
          <w:color w:val="000000"/>
          <w:kern w:val="0"/>
          <w:sz w:val="24"/>
        </w:rPr>
      </w:pPr>
      <w:r>
        <w:rPr>
          <w:rFonts w:hint="eastAsia" w:ascii="宋体" w:hAnsi="宋体" w:cs="宋体"/>
          <w:color w:val="000000"/>
          <w:kern w:val="0"/>
          <w:sz w:val="24"/>
          <w:lang w:eastAsia="zh-CN"/>
        </w:rPr>
        <w:t>福建优胜招标项目管理集团有限公司</w:t>
      </w:r>
      <w:r>
        <w:rPr>
          <w:rFonts w:hint="eastAsia" w:ascii="宋体" w:hAnsi="宋体" w:cs="宋体"/>
          <w:color w:val="000000"/>
          <w:kern w:val="0"/>
          <w:sz w:val="24"/>
        </w:rPr>
        <w:t>：</w:t>
      </w:r>
    </w:p>
    <w:p w14:paraId="575436BA">
      <w:pPr>
        <w:widowControl/>
        <w:shd w:val="clear" w:color="auto" w:fill="FFFFFF"/>
        <w:spacing w:after="225" w:line="500" w:lineRule="exact"/>
        <w:ind w:firstLine="360"/>
        <w:jc w:val="left"/>
        <w:rPr>
          <w:rFonts w:ascii="宋体" w:cs="宋体"/>
          <w:color w:val="000000"/>
          <w:kern w:val="0"/>
          <w:sz w:val="24"/>
        </w:rPr>
      </w:pPr>
      <w:r>
        <w:rPr>
          <w:rFonts w:hint="eastAsia" w:ascii="宋体" w:hAnsi="宋体" w:cs="宋体"/>
          <w:color w:val="000000"/>
          <w:kern w:val="0"/>
          <w:sz w:val="24"/>
        </w:rPr>
        <w:t>项目名称：</w:t>
      </w:r>
      <w:r>
        <w:rPr>
          <w:rFonts w:hint="eastAsia" w:ascii="宋体" w:hAnsi="宋体"/>
          <w:color w:val="000000"/>
          <w:sz w:val="24"/>
        </w:rPr>
        <w:t>。。。。。（项目</w:t>
      </w:r>
      <w:r>
        <w:rPr>
          <w:rFonts w:ascii="宋体" w:hAnsi="宋体"/>
          <w:color w:val="000000"/>
          <w:sz w:val="24"/>
        </w:rPr>
        <w:t>编号：。</w:t>
      </w:r>
      <w:r>
        <w:rPr>
          <w:rFonts w:hint="eastAsia" w:ascii="宋体" w:hAnsi="宋体"/>
          <w:color w:val="000000"/>
          <w:sz w:val="24"/>
        </w:rPr>
        <w:t>。</w:t>
      </w:r>
      <w:r>
        <w:rPr>
          <w:rFonts w:ascii="宋体" w:hAnsi="宋体"/>
          <w:color w:val="000000"/>
          <w:sz w:val="24"/>
        </w:rPr>
        <w:t>。</w:t>
      </w:r>
      <w:r>
        <w:rPr>
          <w:rFonts w:hint="eastAsia" w:ascii="宋体" w:hAnsi="宋体"/>
          <w:color w:val="000000"/>
          <w:sz w:val="24"/>
        </w:rPr>
        <w:t>，包号：。。。）</w:t>
      </w:r>
      <w:r>
        <w:rPr>
          <w:rFonts w:hint="eastAsia" w:ascii="宋体" w:hAnsi="宋体" w:cs="宋体"/>
          <w:color w:val="000000"/>
          <w:kern w:val="0"/>
          <w:sz w:val="24"/>
        </w:rPr>
        <w:t>，我公司完全实质性满足谈判文件第三章“采购内容及要求”的所有要求。若我公司中标，将完全按上述要求进行实施，否则视同违约。</w:t>
      </w:r>
    </w:p>
    <w:p w14:paraId="7355ECB0">
      <w:pPr>
        <w:widowControl/>
        <w:shd w:val="clear" w:color="auto" w:fill="FFFFFF"/>
        <w:spacing w:after="225" w:line="500" w:lineRule="exact"/>
        <w:ind w:firstLine="3360" w:firstLineChars="1400"/>
        <w:jc w:val="left"/>
        <w:rPr>
          <w:rFonts w:ascii="宋体" w:cs="宋体"/>
          <w:color w:val="000000"/>
          <w:kern w:val="0"/>
          <w:sz w:val="24"/>
        </w:rPr>
      </w:pPr>
      <w:r>
        <w:rPr>
          <w:rFonts w:hint="eastAsia" w:ascii="宋体" w:hAnsi="宋体" w:cs="宋体"/>
          <w:color w:val="000000"/>
          <w:kern w:val="0"/>
          <w:sz w:val="24"/>
        </w:rPr>
        <w:t>谈判供应商：（全称并加盖单位公章）</w:t>
      </w:r>
    </w:p>
    <w:p w14:paraId="3091E1DE">
      <w:pPr>
        <w:widowControl/>
        <w:shd w:val="clear" w:color="auto" w:fill="FFFFFF"/>
        <w:spacing w:after="225" w:line="500" w:lineRule="exact"/>
        <w:ind w:firstLine="3321" w:firstLineChars="1384"/>
        <w:jc w:val="left"/>
        <w:rPr>
          <w:rFonts w:ascii="宋体" w:cs="宋体"/>
          <w:color w:val="000000"/>
          <w:kern w:val="0"/>
          <w:sz w:val="24"/>
        </w:rPr>
      </w:pPr>
      <w:r>
        <w:rPr>
          <w:rFonts w:hint="eastAsia" w:ascii="宋体" w:hAnsi="宋体" w:cs="宋体"/>
          <w:color w:val="000000"/>
          <w:kern w:val="0"/>
          <w:sz w:val="24"/>
        </w:rPr>
        <w:t>谈判供应商代表签字或盖章：</w:t>
      </w:r>
    </w:p>
    <w:p w14:paraId="5D02D3E9">
      <w:pPr>
        <w:widowControl/>
        <w:shd w:val="clear" w:color="auto" w:fill="FFFFFF"/>
        <w:spacing w:line="500" w:lineRule="exact"/>
        <w:ind w:firstLine="3840" w:firstLineChars="1600"/>
        <w:jc w:val="left"/>
        <w:rPr>
          <w:rFonts w:ascii="宋体" w:cs="宋体"/>
          <w:color w:val="000000"/>
          <w:kern w:val="0"/>
          <w:sz w:val="24"/>
        </w:rPr>
      </w:pPr>
      <w:r>
        <w:rPr>
          <w:rFonts w:hint="eastAsia" w:ascii="宋体" w:hAnsi="宋体" w:cs="宋体"/>
          <w:color w:val="000000"/>
          <w:kern w:val="0"/>
          <w:sz w:val="24"/>
        </w:rPr>
        <w:t>日期： 年  月  日</w:t>
      </w:r>
    </w:p>
    <w:p w14:paraId="15991C3C">
      <w:pPr>
        <w:spacing w:line="360" w:lineRule="auto"/>
        <w:ind w:firstLine="480" w:firstLineChars="200"/>
        <w:rPr>
          <w:rFonts w:ascii="宋体" w:hAnsi="宋体"/>
          <w:sz w:val="24"/>
        </w:rPr>
      </w:pPr>
    </w:p>
    <w:p w14:paraId="0F8DB9A9">
      <w:pPr>
        <w:spacing w:line="360" w:lineRule="auto"/>
        <w:ind w:firstLine="480" w:firstLineChars="200"/>
        <w:rPr>
          <w:rFonts w:ascii="宋体" w:hAnsi="宋体"/>
          <w:sz w:val="24"/>
        </w:rPr>
      </w:pPr>
    </w:p>
    <w:p w14:paraId="010D8970">
      <w:pPr>
        <w:spacing w:line="360" w:lineRule="auto"/>
        <w:ind w:firstLine="480" w:firstLineChars="200"/>
        <w:rPr>
          <w:rFonts w:hint="eastAsia" w:ascii="宋体" w:hAnsi="宋体" w:cs="宋体"/>
          <w:sz w:val="24"/>
        </w:rPr>
      </w:pPr>
    </w:p>
    <w:p w14:paraId="1E771EBE">
      <w:pPr>
        <w:spacing w:line="360" w:lineRule="auto"/>
        <w:ind w:firstLine="480" w:firstLineChars="200"/>
        <w:rPr>
          <w:rFonts w:ascii="宋体" w:hAnsi="宋体"/>
          <w:sz w:val="24"/>
        </w:rPr>
      </w:pPr>
    </w:p>
    <w:p w14:paraId="339AE959">
      <w:pPr>
        <w:spacing w:line="360" w:lineRule="auto"/>
        <w:ind w:firstLine="480" w:firstLineChars="200"/>
        <w:rPr>
          <w:rFonts w:ascii="宋体" w:hAnsi="宋体"/>
          <w:sz w:val="24"/>
        </w:rPr>
      </w:pPr>
    </w:p>
    <w:p w14:paraId="7F7BC75F">
      <w:pPr>
        <w:spacing w:line="360" w:lineRule="auto"/>
        <w:ind w:firstLine="480" w:firstLineChars="200"/>
        <w:rPr>
          <w:rFonts w:ascii="宋体" w:hAnsi="宋体"/>
          <w:sz w:val="24"/>
        </w:rPr>
      </w:pPr>
    </w:p>
    <w:p w14:paraId="018C60FE">
      <w:pPr>
        <w:spacing w:line="360" w:lineRule="auto"/>
        <w:rPr>
          <w:rFonts w:ascii="宋体" w:hAnsi="宋体"/>
          <w:sz w:val="24"/>
        </w:rPr>
      </w:pPr>
    </w:p>
    <w:p w14:paraId="10779B68">
      <w:pPr>
        <w:spacing w:line="360" w:lineRule="auto"/>
        <w:rPr>
          <w:rFonts w:ascii="宋体" w:hAnsi="宋体"/>
          <w:sz w:val="24"/>
        </w:rPr>
      </w:pPr>
    </w:p>
    <w:p w14:paraId="1A4CAB74">
      <w:pPr>
        <w:spacing w:line="360" w:lineRule="auto"/>
        <w:ind w:firstLine="480" w:firstLineChars="200"/>
        <w:rPr>
          <w:rFonts w:ascii="宋体" w:hAnsi="宋体"/>
          <w:sz w:val="24"/>
        </w:rPr>
      </w:pPr>
    </w:p>
    <w:p w14:paraId="6269ECFC">
      <w:pPr>
        <w:spacing w:line="360" w:lineRule="auto"/>
        <w:rPr>
          <w:rFonts w:hint="eastAsia" w:ascii="宋体" w:hAnsi="宋体"/>
          <w:sz w:val="24"/>
        </w:rPr>
      </w:pPr>
    </w:p>
    <w:p w14:paraId="45C3F9D1">
      <w:pPr>
        <w:spacing w:line="360" w:lineRule="auto"/>
        <w:ind w:firstLine="480" w:firstLineChars="200"/>
        <w:rPr>
          <w:rFonts w:hint="eastAsia" w:ascii="宋体" w:hAnsi="宋体"/>
          <w:sz w:val="24"/>
        </w:rPr>
      </w:pPr>
      <w:r>
        <w:rPr>
          <w:rFonts w:hint="eastAsia" w:ascii="宋体" w:hAnsi="宋体"/>
          <w:sz w:val="24"/>
        </w:rPr>
        <w:t xml:space="preserve"> </w:t>
      </w:r>
    </w:p>
    <w:p w14:paraId="2385FCA7">
      <w:pPr>
        <w:spacing w:line="360" w:lineRule="auto"/>
        <w:ind w:firstLine="420" w:firstLineChars="200"/>
        <w:jc w:val="center"/>
        <w:rPr>
          <w:rFonts w:hint="eastAsia"/>
        </w:rPr>
      </w:pPr>
    </w:p>
    <w:p w14:paraId="4791B9FD">
      <w:pPr>
        <w:spacing w:line="360" w:lineRule="auto"/>
        <w:ind w:firstLine="420" w:firstLineChars="200"/>
        <w:jc w:val="center"/>
        <w:rPr>
          <w:rFonts w:hint="eastAsia"/>
        </w:rPr>
      </w:pPr>
    </w:p>
    <w:p w14:paraId="74BEBBB7">
      <w:pPr>
        <w:spacing w:line="360" w:lineRule="auto"/>
        <w:ind w:firstLine="420" w:firstLineChars="200"/>
        <w:jc w:val="center"/>
        <w:rPr>
          <w:rFonts w:hint="eastAsia"/>
        </w:rPr>
      </w:pPr>
    </w:p>
    <w:p w14:paraId="3090061A">
      <w:pPr>
        <w:spacing w:line="360" w:lineRule="auto"/>
        <w:ind w:firstLine="420" w:firstLineChars="200"/>
        <w:jc w:val="center"/>
        <w:rPr>
          <w:rFonts w:hint="eastAsia"/>
        </w:rPr>
      </w:pPr>
    </w:p>
    <w:p w14:paraId="58253D1D">
      <w:pPr>
        <w:spacing w:line="360" w:lineRule="auto"/>
        <w:rPr>
          <w:rFonts w:hint="eastAsia"/>
        </w:rPr>
      </w:pPr>
    </w:p>
    <w:p w14:paraId="0FC9BC83">
      <w:pPr>
        <w:spacing w:line="360" w:lineRule="auto"/>
        <w:jc w:val="center"/>
        <w:rPr>
          <w:rFonts w:hint="eastAsia"/>
          <w:b/>
          <w:bCs/>
          <w:sz w:val="32"/>
          <w:szCs w:val="32"/>
        </w:rPr>
      </w:pPr>
    </w:p>
    <w:p w14:paraId="5601B231">
      <w:pPr>
        <w:spacing w:line="360" w:lineRule="auto"/>
        <w:jc w:val="center"/>
        <w:rPr>
          <w:rFonts w:hint="eastAsia" w:ascii="宋体" w:hAnsi="宋体" w:cs="宋体"/>
          <w:b/>
          <w:bCs/>
          <w:sz w:val="32"/>
          <w:szCs w:val="32"/>
        </w:rPr>
      </w:pPr>
      <w:r>
        <w:rPr>
          <w:rFonts w:hint="eastAsia" w:ascii="宋体" w:hAnsi="宋体" w:cs="宋体"/>
          <w:b/>
          <w:bCs/>
          <w:sz w:val="32"/>
          <w:szCs w:val="32"/>
        </w:rPr>
        <w:t>5.提交的其它资料</w:t>
      </w:r>
    </w:p>
    <w:p w14:paraId="790E341E">
      <w:pPr>
        <w:spacing w:line="360" w:lineRule="auto"/>
        <w:ind w:firstLine="480" w:firstLineChars="200"/>
        <w:rPr>
          <w:rFonts w:hint="eastAsia" w:ascii="宋体" w:hAnsi="宋体"/>
          <w:sz w:val="24"/>
        </w:rPr>
      </w:pPr>
      <w:r>
        <w:rPr>
          <w:rFonts w:hint="eastAsia" w:ascii="宋体" w:hAnsi="宋体"/>
          <w:sz w:val="24"/>
        </w:rPr>
        <w:t>如：一、根据竞争性谈判文件第三章的要求提供佐证材料；</w:t>
      </w:r>
    </w:p>
    <w:p w14:paraId="29BFA2AA">
      <w:pPr>
        <w:spacing w:line="360" w:lineRule="auto"/>
        <w:ind w:firstLine="480" w:firstLineChars="200"/>
        <w:rPr>
          <w:rFonts w:hint="eastAsia" w:ascii="宋体" w:hAnsi="宋体"/>
          <w:sz w:val="24"/>
        </w:rPr>
      </w:pPr>
      <w:r>
        <w:rPr>
          <w:rFonts w:hint="eastAsia" w:ascii="宋体" w:hAnsi="宋体"/>
          <w:sz w:val="24"/>
        </w:rPr>
        <w:t>二、服务符合竞争性谈判文件的证明材料、</w:t>
      </w:r>
      <w:r>
        <w:rPr>
          <w:rFonts w:hint="eastAsia" w:ascii="宋体" w:hAnsi="宋体"/>
          <w:sz w:val="24"/>
          <w:lang w:val="en-US" w:eastAsia="zh-CN"/>
        </w:rPr>
        <w:t>响应</w:t>
      </w:r>
      <w:r>
        <w:rPr>
          <w:rFonts w:hint="eastAsia" w:ascii="宋体" w:hAnsi="宋体"/>
          <w:sz w:val="24"/>
        </w:rPr>
        <w:t>材料等。</w:t>
      </w:r>
    </w:p>
    <w:p w14:paraId="52C6B1D9">
      <w:pPr>
        <w:spacing w:line="360" w:lineRule="auto"/>
        <w:ind w:firstLine="480" w:firstLineChars="200"/>
        <w:rPr>
          <w:rFonts w:hint="eastAsia" w:ascii="宋体" w:hAnsi="宋体"/>
          <w:sz w:val="24"/>
        </w:rPr>
      </w:pPr>
    </w:p>
    <w:p w14:paraId="4BFDB18F">
      <w:pPr>
        <w:spacing w:line="360" w:lineRule="auto"/>
        <w:ind w:firstLine="480" w:firstLineChars="200"/>
        <w:rPr>
          <w:rFonts w:hint="eastAsia" w:ascii="宋体" w:hAnsi="宋体"/>
          <w:sz w:val="24"/>
        </w:rPr>
      </w:pPr>
    </w:p>
    <w:p w14:paraId="4A9EEB06">
      <w:pPr>
        <w:spacing w:line="360" w:lineRule="auto"/>
        <w:ind w:firstLine="480" w:firstLineChars="200"/>
        <w:rPr>
          <w:rFonts w:hint="eastAsia" w:ascii="宋体" w:hAnsi="宋体"/>
          <w:sz w:val="24"/>
        </w:rPr>
      </w:pPr>
    </w:p>
    <w:p w14:paraId="2008E285">
      <w:pPr>
        <w:pStyle w:val="18"/>
        <w:snapToGrid w:val="0"/>
        <w:spacing w:line="360" w:lineRule="auto"/>
        <w:ind w:firstLine="420" w:firstLineChars="200"/>
        <w:jc w:val="left"/>
        <w:rPr>
          <w:rFonts w:hint="eastAsia" w:hAnsi="宋体"/>
        </w:rPr>
      </w:pPr>
    </w:p>
    <w:p w14:paraId="32307D3D">
      <w:pPr>
        <w:pStyle w:val="86"/>
        <w:spacing w:line="360" w:lineRule="auto"/>
        <w:outlineLvl w:val="9"/>
        <w:rPr>
          <w:rFonts w:hAnsi="宋体"/>
          <w:sz w:val="24"/>
        </w:rPr>
      </w:pPr>
      <w:r>
        <w:rPr>
          <w:rFonts w:hAnsi="宋体"/>
          <w:sz w:val="24"/>
        </w:rPr>
        <w:t xml:space="preserve"> </w:t>
      </w:r>
    </w:p>
    <w:p w14:paraId="2CF09B99">
      <w:pPr>
        <w:spacing w:line="360" w:lineRule="auto"/>
        <w:ind w:firstLine="560" w:firstLineChars="200"/>
        <w:rPr>
          <w:rFonts w:hint="eastAsia" w:ascii="宋体" w:hAnsi="宋体"/>
          <w:sz w:val="28"/>
        </w:rPr>
      </w:pPr>
    </w:p>
    <w:p w14:paraId="58C4C238">
      <w:pPr>
        <w:spacing w:line="360" w:lineRule="auto"/>
        <w:ind w:firstLine="560" w:firstLineChars="200"/>
        <w:rPr>
          <w:rFonts w:hint="eastAsia" w:ascii="宋体" w:hAnsi="宋体"/>
          <w:sz w:val="28"/>
        </w:rPr>
      </w:pPr>
    </w:p>
    <w:p w14:paraId="7B0ECE2E">
      <w:pPr>
        <w:spacing w:line="360" w:lineRule="auto"/>
        <w:ind w:firstLine="560" w:firstLineChars="200"/>
        <w:rPr>
          <w:rFonts w:hint="eastAsia" w:ascii="宋体" w:hAnsi="宋体"/>
          <w:sz w:val="28"/>
        </w:rPr>
      </w:pPr>
    </w:p>
    <w:p w14:paraId="4411941C">
      <w:pPr>
        <w:spacing w:line="360" w:lineRule="auto"/>
        <w:ind w:firstLine="480" w:firstLineChars="200"/>
        <w:rPr>
          <w:rFonts w:ascii="宋体" w:hAnsi="宋体"/>
          <w:sz w:val="24"/>
        </w:rPr>
      </w:pPr>
      <w:r>
        <w:rPr>
          <w:rFonts w:hint="eastAsia" w:ascii="宋体" w:hAnsi="宋体"/>
          <w:sz w:val="24"/>
        </w:rPr>
        <w:t>谈判供应商全称（公章）：</w:t>
      </w:r>
      <w:r>
        <w:rPr>
          <w:rFonts w:ascii="宋体" w:hAnsi="宋体"/>
          <w:sz w:val="24"/>
        </w:rPr>
        <w:t xml:space="preserve">       </w:t>
      </w:r>
    </w:p>
    <w:p w14:paraId="0399EF7D">
      <w:pPr>
        <w:spacing w:line="360" w:lineRule="auto"/>
        <w:ind w:firstLine="360" w:firstLineChars="150"/>
        <w:rPr>
          <w:rFonts w:hint="eastAsia" w:ascii="宋体" w:hAnsi="宋体"/>
          <w:sz w:val="24"/>
        </w:rPr>
      </w:pPr>
    </w:p>
    <w:p w14:paraId="2FF2DCD1">
      <w:pPr>
        <w:spacing w:line="360" w:lineRule="auto"/>
        <w:ind w:firstLine="480" w:firstLineChars="200"/>
        <w:rPr>
          <w:rFonts w:hint="eastAsia" w:ascii="宋体" w:hAnsi="宋体"/>
          <w:sz w:val="24"/>
        </w:rPr>
      </w:pPr>
      <w:r>
        <w:rPr>
          <w:rFonts w:hint="eastAsia" w:ascii="宋体" w:hAnsi="宋体"/>
          <w:sz w:val="24"/>
        </w:rPr>
        <w:t>法定代表人或授权代表（签字或盖章）：</w:t>
      </w:r>
    </w:p>
    <w:p w14:paraId="0E04E5C1">
      <w:pPr>
        <w:ind w:firstLine="480" w:firstLineChars="200"/>
        <w:jc w:val="center"/>
        <w:rPr>
          <w:rFonts w:hint="eastAsia"/>
          <w:bCs/>
          <w:sz w:val="24"/>
        </w:rPr>
      </w:pPr>
    </w:p>
    <w:p w14:paraId="03004E64">
      <w:pPr>
        <w:ind w:firstLine="3120" w:firstLineChars="1300"/>
        <w:rPr>
          <w:rFonts w:hint="eastAsia"/>
          <w:b/>
          <w:sz w:val="24"/>
        </w:rPr>
      </w:pPr>
      <w:r>
        <w:rPr>
          <w:rFonts w:hint="eastAsia"/>
          <w:bCs/>
          <w:sz w:val="24"/>
        </w:rPr>
        <w:t>日期：   年    月   日</w:t>
      </w:r>
    </w:p>
    <w:p w14:paraId="72E79585">
      <w:pPr>
        <w:pStyle w:val="17"/>
        <w:spacing w:before="50"/>
        <w:ind w:firstLine="482"/>
        <w:rPr>
          <w:rFonts w:hint="eastAsia" w:eastAsia="宋体"/>
          <w:b/>
          <w:sz w:val="24"/>
        </w:rPr>
      </w:pPr>
    </w:p>
    <w:p w14:paraId="26C72A28">
      <w:pPr>
        <w:pStyle w:val="17"/>
        <w:spacing w:before="50"/>
        <w:ind w:firstLine="482"/>
        <w:rPr>
          <w:rFonts w:hint="eastAsia" w:eastAsia="宋体"/>
          <w:b/>
          <w:sz w:val="24"/>
        </w:rPr>
      </w:pPr>
    </w:p>
    <w:p w14:paraId="0EE84FD4">
      <w:pPr>
        <w:pStyle w:val="17"/>
        <w:spacing w:before="50"/>
        <w:ind w:firstLine="482"/>
        <w:rPr>
          <w:rFonts w:hint="eastAsia" w:eastAsia="宋体"/>
          <w:b/>
          <w:sz w:val="24"/>
        </w:rPr>
      </w:pPr>
    </w:p>
    <w:p w14:paraId="35FEDBDE">
      <w:pPr>
        <w:pStyle w:val="17"/>
        <w:spacing w:before="50"/>
        <w:ind w:firstLine="482"/>
        <w:rPr>
          <w:rFonts w:hint="eastAsia" w:eastAsia="宋体"/>
          <w:b/>
          <w:sz w:val="24"/>
        </w:rPr>
      </w:pPr>
    </w:p>
    <w:p w14:paraId="34E1DEBB">
      <w:pPr>
        <w:pStyle w:val="17"/>
        <w:spacing w:before="50"/>
        <w:ind w:firstLine="482"/>
        <w:rPr>
          <w:rFonts w:hint="eastAsia" w:eastAsia="宋体"/>
          <w:b/>
          <w:sz w:val="24"/>
        </w:rPr>
      </w:pPr>
    </w:p>
    <w:p w14:paraId="100F50F5">
      <w:pPr>
        <w:pStyle w:val="17"/>
        <w:spacing w:before="50"/>
        <w:ind w:firstLine="482"/>
        <w:rPr>
          <w:rFonts w:hint="eastAsia" w:eastAsia="宋体"/>
          <w:b/>
          <w:sz w:val="24"/>
        </w:rPr>
      </w:pPr>
    </w:p>
    <w:p w14:paraId="14D7E544">
      <w:pPr>
        <w:pStyle w:val="17"/>
        <w:spacing w:before="50"/>
        <w:ind w:firstLine="482"/>
        <w:rPr>
          <w:rFonts w:hint="eastAsia" w:eastAsia="宋体"/>
          <w:b/>
          <w:sz w:val="24"/>
        </w:rPr>
      </w:pPr>
    </w:p>
    <w:p w14:paraId="1B599E1E">
      <w:pPr>
        <w:pStyle w:val="17"/>
        <w:spacing w:before="50"/>
        <w:ind w:firstLine="482"/>
        <w:rPr>
          <w:rFonts w:hint="eastAsia" w:eastAsia="宋体"/>
          <w:b/>
          <w:sz w:val="24"/>
        </w:rPr>
      </w:pPr>
    </w:p>
    <w:p w14:paraId="5492DBF0">
      <w:pPr>
        <w:pStyle w:val="17"/>
        <w:spacing w:before="50"/>
        <w:ind w:firstLine="482"/>
        <w:rPr>
          <w:rFonts w:hint="eastAsia" w:eastAsia="宋体"/>
          <w:b/>
          <w:sz w:val="24"/>
        </w:rPr>
      </w:pPr>
    </w:p>
    <w:p w14:paraId="7490CFA0">
      <w:pPr>
        <w:pStyle w:val="17"/>
        <w:spacing w:before="50"/>
        <w:ind w:firstLine="482"/>
        <w:rPr>
          <w:rFonts w:hint="eastAsia" w:eastAsia="宋体"/>
          <w:b/>
          <w:sz w:val="24"/>
        </w:rPr>
      </w:pPr>
    </w:p>
    <w:p w14:paraId="56921582">
      <w:pPr>
        <w:pStyle w:val="17"/>
        <w:spacing w:before="50"/>
        <w:ind w:firstLine="482"/>
        <w:rPr>
          <w:rFonts w:hint="eastAsia" w:eastAsia="宋体"/>
          <w:b/>
          <w:sz w:val="24"/>
        </w:rPr>
      </w:pPr>
    </w:p>
    <w:p w14:paraId="3C621AA7">
      <w:pPr>
        <w:pStyle w:val="17"/>
        <w:spacing w:before="50"/>
        <w:ind w:firstLine="482"/>
        <w:rPr>
          <w:rFonts w:hint="eastAsia" w:eastAsia="宋体"/>
          <w:b/>
          <w:sz w:val="24"/>
        </w:rPr>
      </w:pPr>
    </w:p>
    <w:p w14:paraId="36FF0938">
      <w:pPr>
        <w:pStyle w:val="17"/>
        <w:spacing w:before="50"/>
        <w:ind w:firstLine="482"/>
        <w:rPr>
          <w:rFonts w:hint="eastAsia" w:eastAsia="宋体"/>
          <w:b/>
          <w:sz w:val="24"/>
        </w:rPr>
      </w:pPr>
    </w:p>
    <w:p w14:paraId="3359CFD0">
      <w:pPr>
        <w:pStyle w:val="17"/>
        <w:spacing w:before="50"/>
        <w:ind w:firstLine="482"/>
        <w:rPr>
          <w:rFonts w:hint="eastAsia" w:eastAsia="宋体"/>
          <w:b/>
          <w:sz w:val="24"/>
        </w:rPr>
      </w:pPr>
    </w:p>
    <w:p w14:paraId="6E1E0FED">
      <w:pPr>
        <w:pStyle w:val="17"/>
        <w:spacing w:before="50"/>
        <w:ind w:firstLine="482"/>
        <w:rPr>
          <w:rFonts w:hint="eastAsia" w:eastAsia="宋体"/>
          <w:b/>
          <w:sz w:val="24"/>
        </w:rPr>
      </w:pPr>
    </w:p>
    <w:p w14:paraId="6A7BE3B9">
      <w:pPr>
        <w:pStyle w:val="86"/>
        <w:jc w:val="center"/>
        <w:rPr>
          <w:rFonts w:hint="default" w:hAnsi="宋体" w:eastAsia="宋体"/>
          <w:b/>
          <w:sz w:val="36"/>
          <w:lang w:val="en-US" w:eastAsia="zh-CN"/>
        </w:rPr>
      </w:pPr>
      <w:r>
        <w:rPr>
          <w:rFonts w:hint="eastAsia" w:hAnsi="宋体"/>
          <w:b/>
          <w:sz w:val="32"/>
          <w:szCs w:val="32"/>
        </w:rPr>
        <w:t>报价一览表</w:t>
      </w:r>
      <w:r>
        <w:rPr>
          <w:rFonts w:hint="eastAsia" w:hAnsi="宋体"/>
          <w:b/>
          <w:sz w:val="32"/>
          <w:szCs w:val="32"/>
          <w:lang w:eastAsia="zh-CN"/>
        </w:rPr>
        <w:t>（</w:t>
      </w:r>
      <w:r>
        <w:rPr>
          <w:rFonts w:hint="eastAsia" w:hAnsi="宋体"/>
          <w:b/>
          <w:sz w:val="32"/>
          <w:szCs w:val="32"/>
          <w:lang w:val="en-US" w:eastAsia="zh-CN"/>
        </w:rPr>
        <w:t>最终报价）</w:t>
      </w:r>
    </w:p>
    <w:p w14:paraId="473E8442">
      <w:pPr>
        <w:spacing w:line="380" w:lineRule="exact"/>
        <w:ind w:left="-424" w:leftChars="-202" w:firstLine="424" w:firstLineChars="177"/>
        <w:rPr>
          <w:rFonts w:ascii="宋体" w:hAnsi="宋体"/>
          <w:sz w:val="24"/>
        </w:rPr>
      </w:pPr>
    </w:p>
    <w:p w14:paraId="09430F3F">
      <w:pPr>
        <w:tabs>
          <w:tab w:val="left" w:pos="851"/>
        </w:tabs>
        <w:spacing w:line="380" w:lineRule="exact"/>
        <w:ind w:firstLine="240" w:firstLineChars="100"/>
        <w:rPr>
          <w:rFonts w:ascii="宋体" w:hAnsi="宋体"/>
          <w:sz w:val="24"/>
        </w:rPr>
      </w:pPr>
      <w:r>
        <w:rPr>
          <w:rFonts w:hint="eastAsia" w:ascii="宋体" w:hAnsi="宋体"/>
          <w:sz w:val="24"/>
        </w:rPr>
        <w:t xml:space="preserve">                                  </w:t>
      </w:r>
    </w:p>
    <w:p w14:paraId="21290E31">
      <w:pPr>
        <w:tabs>
          <w:tab w:val="left" w:pos="851"/>
        </w:tabs>
        <w:spacing w:line="380" w:lineRule="exact"/>
        <w:ind w:firstLine="480" w:firstLineChars="200"/>
        <w:rPr>
          <w:rFonts w:ascii="宋体" w:hAnsi="宋体"/>
          <w:sz w:val="24"/>
        </w:rPr>
      </w:pPr>
      <w:r>
        <w:rPr>
          <w:rFonts w:hint="eastAsia" w:ascii="宋体" w:hAnsi="宋体"/>
          <w:sz w:val="24"/>
        </w:rPr>
        <w:t>项目编号∶                                          货币单位：元</w:t>
      </w:r>
    </w:p>
    <w:tbl>
      <w:tblPr>
        <w:tblStyle w:val="31"/>
        <w:tblW w:w="89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4"/>
        <w:gridCol w:w="2996"/>
        <w:gridCol w:w="4742"/>
      </w:tblGrid>
      <w:tr w14:paraId="4B27D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234" w:type="dxa"/>
            <w:tcBorders>
              <w:top w:val="single" w:color="auto" w:sz="4" w:space="0"/>
              <w:left w:val="single" w:color="auto" w:sz="4" w:space="0"/>
              <w:bottom w:val="single" w:color="auto" w:sz="4" w:space="0"/>
              <w:right w:val="single" w:color="auto" w:sz="4" w:space="0"/>
            </w:tcBorders>
            <w:noWrap w:val="0"/>
            <w:vAlign w:val="center"/>
          </w:tcPr>
          <w:p w14:paraId="4B4005B8">
            <w:pPr>
              <w:spacing w:line="360" w:lineRule="auto"/>
              <w:jc w:val="center"/>
              <w:rPr>
                <w:rFonts w:ascii="宋体" w:hAnsi="宋体"/>
                <w:b/>
                <w:color w:val="auto"/>
                <w:sz w:val="24"/>
              </w:rPr>
            </w:pPr>
            <w:r>
              <w:rPr>
                <w:rFonts w:hint="eastAsia" w:ascii="宋体" w:hAnsi="宋体"/>
                <w:b w:val="0"/>
                <w:bCs/>
                <w:color w:val="auto"/>
                <w:sz w:val="24"/>
              </w:rPr>
              <w:t>合同包</w:t>
            </w:r>
          </w:p>
        </w:tc>
        <w:tc>
          <w:tcPr>
            <w:tcW w:w="2996" w:type="dxa"/>
            <w:tcBorders>
              <w:top w:val="single" w:color="auto" w:sz="4" w:space="0"/>
              <w:left w:val="single" w:color="auto" w:sz="4" w:space="0"/>
              <w:bottom w:val="single" w:color="auto" w:sz="4" w:space="0"/>
              <w:right w:val="single" w:color="auto" w:sz="4" w:space="0"/>
            </w:tcBorders>
            <w:noWrap w:val="0"/>
            <w:vAlign w:val="center"/>
          </w:tcPr>
          <w:p w14:paraId="525ED286">
            <w:pPr>
              <w:spacing w:line="360" w:lineRule="auto"/>
              <w:jc w:val="center"/>
              <w:rPr>
                <w:rFonts w:ascii="宋体" w:hAnsi="宋体"/>
                <w:color w:val="auto"/>
                <w:sz w:val="24"/>
              </w:rPr>
            </w:pPr>
            <w:r>
              <w:rPr>
                <w:rFonts w:hint="eastAsia" w:ascii="宋体" w:hAnsi="宋体"/>
                <w:color w:val="auto"/>
                <w:sz w:val="24"/>
              </w:rPr>
              <w:t>项目名称</w:t>
            </w:r>
          </w:p>
        </w:tc>
        <w:tc>
          <w:tcPr>
            <w:tcW w:w="4742" w:type="dxa"/>
            <w:tcBorders>
              <w:top w:val="single" w:color="auto" w:sz="4" w:space="0"/>
              <w:left w:val="single" w:color="auto" w:sz="4" w:space="0"/>
              <w:bottom w:val="single" w:color="auto" w:sz="4" w:space="0"/>
              <w:right w:val="single" w:color="auto" w:sz="4" w:space="0"/>
            </w:tcBorders>
            <w:noWrap w:val="0"/>
            <w:vAlign w:val="center"/>
          </w:tcPr>
          <w:p w14:paraId="30067687">
            <w:pPr>
              <w:spacing w:line="360" w:lineRule="auto"/>
              <w:jc w:val="center"/>
              <w:rPr>
                <w:rFonts w:ascii="宋体" w:hAnsi="宋体"/>
                <w:color w:val="auto"/>
                <w:sz w:val="24"/>
              </w:rPr>
            </w:pPr>
            <w:r>
              <w:rPr>
                <w:rFonts w:hint="eastAsia" w:ascii="宋体" w:hAnsi="宋体"/>
                <w:color w:val="auto"/>
                <w:sz w:val="24"/>
              </w:rPr>
              <w:t>投报</w:t>
            </w:r>
            <w:r>
              <w:rPr>
                <w:rFonts w:hint="eastAsia" w:ascii="宋体" w:hAnsi="宋体"/>
                <w:color w:val="auto"/>
                <w:sz w:val="24"/>
                <w:lang w:eastAsia="zh-CN"/>
              </w:rPr>
              <w:t>下浮率</w:t>
            </w:r>
          </w:p>
        </w:tc>
      </w:tr>
      <w:tr w14:paraId="7CD68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1234" w:type="dxa"/>
            <w:tcBorders>
              <w:top w:val="single" w:color="auto" w:sz="4" w:space="0"/>
              <w:left w:val="single" w:color="auto" w:sz="4" w:space="0"/>
              <w:bottom w:val="single" w:color="auto" w:sz="4" w:space="0"/>
              <w:right w:val="single" w:color="auto" w:sz="4" w:space="0"/>
            </w:tcBorders>
            <w:noWrap w:val="0"/>
            <w:vAlign w:val="center"/>
          </w:tcPr>
          <w:p w14:paraId="65AAC912">
            <w:pPr>
              <w:spacing w:line="360" w:lineRule="auto"/>
              <w:jc w:val="center"/>
              <w:rPr>
                <w:rFonts w:hint="eastAsia" w:ascii="宋体" w:hAnsi="宋体" w:eastAsia="宋体"/>
                <w:color w:val="auto"/>
                <w:sz w:val="24"/>
                <w:lang w:val="en-US" w:eastAsia="zh-CN"/>
              </w:rPr>
            </w:pPr>
            <w:r>
              <w:rPr>
                <w:rFonts w:hint="eastAsia" w:ascii="宋体" w:hAnsi="宋体"/>
                <w:color w:val="auto"/>
                <w:sz w:val="24"/>
                <w:lang w:val="en-US" w:eastAsia="zh-CN"/>
              </w:rPr>
              <w:t>1</w:t>
            </w:r>
          </w:p>
        </w:tc>
        <w:tc>
          <w:tcPr>
            <w:tcW w:w="2996" w:type="dxa"/>
            <w:tcBorders>
              <w:top w:val="single" w:color="auto" w:sz="4" w:space="0"/>
              <w:left w:val="single" w:color="auto" w:sz="4" w:space="0"/>
              <w:right w:val="single" w:color="auto" w:sz="4" w:space="0"/>
            </w:tcBorders>
            <w:noWrap w:val="0"/>
            <w:vAlign w:val="center"/>
          </w:tcPr>
          <w:p w14:paraId="11D0B017">
            <w:pPr>
              <w:pStyle w:val="18"/>
              <w:spacing w:line="360" w:lineRule="auto"/>
              <w:ind w:firstLine="0" w:firstLineChars="0"/>
              <w:rPr>
                <w:rFonts w:hint="eastAsia" w:ascii="宋体" w:hAnsi="宋体" w:eastAsia="宋体" w:cs="Times New Roman"/>
                <w:color w:val="auto"/>
                <w:kern w:val="2"/>
                <w:sz w:val="24"/>
                <w:szCs w:val="24"/>
                <w:lang w:val="en-US" w:eastAsia="zh-CN" w:bidi="ar-SA"/>
              </w:rPr>
            </w:pPr>
            <w:r>
              <w:rPr>
                <w:rFonts w:hint="eastAsia" w:hAnsi="宋体" w:cs="Times New Roman"/>
                <w:color w:val="auto"/>
                <w:kern w:val="2"/>
                <w:sz w:val="24"/>
                <w:szCs w:val="24"/>
                <w:lang w:val="en-US" w:eastAsia="zh-CN" w:bidi="ar-SA"/>
              </w:rPr>
              <w:t>福建省龙岩华侨职业中专学校“龙飞凤舞”非遗嘉年华排练点心配送服务采购</w:t>
            </w:r>
          </w:p>
        </w:tc>
        <w:tc>
          <w:tcPr>
            <w:tcW w:w="4742" w:type="dxa"/>
            <w:tcBorders>
              <w:top w:val="single" w:color="auto" w:sz="4" w:space="0"/>
              <w:left w:val="single" w:color="auto" w:sz="4" w:space="0"/>
              <w:right w:val="single" w:color="auto" w:sz="4" w:space="0"/>
            </w:tcBorders>
            <w:noWrap w:val="0"/>
            <w:vAlign w:val="center"/>
          </w:tcPr>
          <w:p w14:paraId="6DC3C6AA">
            <w:pPr>
              <w:pStyle w:val="18"/>
              <w:spacing w:line="360" w:lineRule="auto"/>
              <w:ind w:firstLine="480" w:firstLineChars="200"/>
              <w:rPr>
                <w:rFonts w:hint="default" w:ascii="宋体" w:hAnsi="宋体" w:eastAsia="宋体" w:cs="Times New Roman"/>
                <w:color w:val="auto"/>
                <w:kern w:val="2"/>
                <w:sz w:val="24"/>
                <w:szCs w:val="24"/>
                <w:u w:val="single"/>
                <w:lang w:val="en-US" w:eastAsia="zh-CN" w:bidi="ar-SA"/>
              </w:rPr>
            </w:pPr>
            <w:r>
              <w:rPr>
                <w:rFonts w:hint="eastAsia" w:ascii="宋体" w:hAnsi="宋体" w:eastAsia="宋体" w:cs="Times New Roman"/>
                <w:color w:val="auto"/>
                <w:kern w:val="2"/>
                <w:sz w:val="24"/>
                <w:szCs w:val="24"/>
                <w:lang w:val="en-US" w:eastAsia="zh-CN" w:bidi="ar-SA"/>
              </w:rPr>
              <w:t>小写：</w:t>
            </w:r>
            <w:r>
              <w:rPr>
                <w:rFonts w:hint="eastAsia" w:ascii="宋体" w:hAnsi="宋体" w:eastAsia="宋体" w:cs="Times New Roman"/>
                <w:color w:val="auto"/>
                <w:kern w:val="2"/>
                <w:sz w:val="24"/>
                <w:szCs w:val="24"/>
                <w:u w:val="single"/>
                <w:lang w:val="en-US" w:eastAsia="zh-CN" w:bidi="ar-SA"/>
              </w:rPr>
              <w:t xml:space="preserve">     </w:t>
            </w:r>
            <w:r>
              <w:rPr>
                <w:rFonts w:hint="eastAsia" w:ascii="宋体" w:hAnsi="宋体" w:eastAsia="宋体" w:cs="Times New Roman"/>
                <w:color w:val="auto"/>
                <w:kern w:val="2"/>
                <w:sz w:val="24"/>
                <w:szCs w:val="24"/>
                <w:u w:val="none"/>
                <w:lang w:val="en-US" w:eastAsia="zh-CN" w:bidi="ar-SA"/>
              </w:rPr>
              <w:t>%</w:t>
            </w:r>
          </w:p>
          <w:p w14:paraId="62451D6A">
            <w:pPr>
              <w:pStyle w:val="18"/>
              <w:spacing w:line="360" w:lineRule="auto"/>
              <w:ind w:firstLine="480" w:firstLineChars="200"/>
              <w:rPr>
                <w:rFonts w:hint="eastAsia" w:ascii="宋体" w:hAnsi="宋体" w:eastAsia="宋体" w:cs="Times New Roman"/>
                <w:color w:val="auto"/>
                <w:kern w:val="2"/>
                <w:sz w:val="24"/>
                <w:szCs w:val="24"/>
                <w:lang w:val="en-US" w:eastAsia="zh-CN" w:bidi="ar-SA"/>
              </w:rPr>
            </w:pPr>
          </w:p>
          <w:p w14:paraId="430BF947">
            <w:pPr>
              <w:pStyle w:val="18"/>
              <w:spacing w:line="360" w:lineRule="auto"/>
              <w:ind w:firstLine="480" w:firstLineChars="200"/>
              <w:rPr>
                <w:rFonts w:hint="default" w:ascii="宋体" w:hAnsi="宋体" w:eastAsia="宋体" w:cs="Times New Roman"/>
                <w:color w:val="auto"/>
                <w:kern w:val="2"/>
                <w:sz w:val="24"/>
                <w:szCs w:val="24"/>
                <w:u w:val="single"/>
                <w:lang w:val="en-US" w:eastAsia="zh-CN" w:bidi="ar-SA"/>
              </w:rPr>
            </w:pPr>
            <w:r>
              <w:rPr>
                <w:rFonts w:hint="eastAsia" w:ascii="宋体" w:hAnsi="宋体" w:eastAsia="宋体" w:cs="Times New Roman"/>
                <w:color w:val="auto"/>
                <w:kern w:val="2"/>
                <w:sz w:val="24"/>
                <w:szCs w:val="24"/>
                <w:lang w:val="en-US" w:eastAsia="zh-CN" w:bidi="ar-SA"/>
              </w:rPr>
              <w:t>大写：百分之</w:t>
            </w:r>
            <w:r>
              <w:rPr>
                <w:rFonts w:hint="eastAsia" w:ascii="宋体" w:hAnsi="宋体" w:eastAsia="宋体" w:cs="Times New Roman"/>
                <w:color w:val="auto"/>
                <w:kern w:val="2"/>
                <w:sz w:val="24"/>
                <w:szCs w:val="24"/>
                <w:u w:val="single"/>
                <w:lang w:val="en-US" w:eastAsia="zh-CN" w:bidi="ar-SA"/>
              </w:rPr>
              <w:t xml:space="preserve">    </w:t>
            </w:r>
          </w:p>
        </w:tc>
      </w:tr>
    </w:tbl>
    <w:p w14:paraId="141EB03D">
      <w:pPr>
        <w:spacing w:line="360" w:lineRule="auto"/>
        <w:ind w:firstLine="480" w:firstLineChars="200"/>
        <w:rPr>
          <w:rFonts w:hint="eastAsia" w:ascii="宋体" w:hAnsi="宋体"/>
          <w:color w:val="auto"/>
          <w:sz w:val="24"/>
        </w:rPr>
      </w:pPr>
    </w:p>
    <w:p w14:paraId="6B48C386">
      <w:pPr>
        <w:spacing w:line="360" w:lineRule="auto"/>
        <w:ind w:firstLine="480" w:firstLineChars="200"/>
        <w:rPr>
          <w:rFonts w:ascii="宋体" w:hAnsi="宋体"/>
          <w:color w:val="auto"/>
          <w:sz w:val="24"/>
        </w:rPr>
      </w:pPr>
      <w:r>
        <w:rPr>
          <w:rFonts w:hint="eastAsia" w:ascii="宋体" w:hAnsi="宋体"/>
          <w:color w:val="auto"/>
          <w:sz w:val="24"/>
        </w:rPr>
        <w:t>供应商（全称并加盖公章）：</w:t>
      </w:r>
    </w:p>
    <w:p w14:paraId="18BAA9A7">
      <w:pPr>
        <w:spacing w:line="360" w:lineRule="auto"/>
        <w:ind w:firstLine="480" w:firstLineChars="200"/>
        <w:rPr>
          <w:rFonts w:ascii="宋体" w:hAnsi="宋体"/>
          <w:color w:val="auto"/>
          <w:sz w:val="24"/>
        </w:rPr>
      </w:pPr>
      <w:r>
        <w:rPr>
          <w:rFonts w:hint="eastAsia" w:ascii="宋体" w:hAnsi="宋体"/>
          <w:color w:val="auto"/>
          <w:sz w:val="24"/>
        </w:rPr>
        <w:t>供应商代表签字或盖章：</w:t>
      </w:r>
    </w:p>
    <w:p w14:paraId="0FB8F0FE">
      <w:pPr>
        <w:spacing w:line="360" w:lineRule="auto"/>
        <w:ind w:firstLine="480" w:firstLineChars="200"/>
        <w:rPr>
          <w:rFonts w:ascii="宋体" w:hAnsi="宋体"/>
          <w:color w:val="auto"/>
          <w:sz w:val="24"/>
        </w:rPr>
      </w:pPr>
      <w:r>
        <w:rPr>
          <w:rFonts w:hint="eastAsia" w:ascii="宋体" w:hAnsi="宋体"/>
          <w:color w:val="auto"/>
          <w:sz w:val="24"/>
        </w:rPr>
        <w:t>日      期：</w:t>
      </w:r>
    </w:p>
    <w:p w14:paraId="3D65EE38">
      <w:pPr>
        <w:pStyle w:val="17"/>
        <w:spacing w:before="50"/>
        <w:ind w:firstLine="0" w:firstLineChars="0"/>
        <w:rPr>
          <w:rFonts w:hint="eastAsia" w:eastAsia="宋体"/>
          <w:b/>
          <w:sz w:val="24"/>
        </w:rPr>
      </w:pPr>
    </w:p>
    <w:p w14:paraId="5AB55182">
      <w:pPr>
        <w:pStyle w:val="18"/>
        <w:keepNext w:val="0"/>
        <w:keepLines w:val="0"/>
        <w:pageBreakBefore w:val="0"/>
        <w:widowControl w:val="0"/>
        <w:tabs>
          <w:tab w:val="left" w:pos="5580"/>
        </w:tabs>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说明： </w:t>
      </w:r>
      <w:r>
        <w:rPr>
          <w:rFonts w:hint="eastAsia" w:ascii="宋体" w:hAnsi="宋体" w:eastAsia="宋体" w:cs="宋体"/>
          <w:b/>
          <w:bCs/>
          <w:color w:val="auto"/>
          <w:sz w:val="24"/>
          <w:szCs w:val="24"/>
          <w:highlight w:val="none"/>
          <w:lang w:val="en-US" w:eastAsia="zh-CN"/>
        </w:rPr>
        <w:t>该表</w:t>
      </w:r>
      <w:r>
        <w:rPr>
          <w:rFonts w:hint="eastAsia" w:ascii="宋体" w:hAnsi="宋体" w:eastAsia="宋体" w:cs="宋体"/>
          <w:b/>
          <w:bCs/>
          <w:color w:val="auto"/>
          <w:sz w:val="24"/>
          <w:szCs w:val="24"/>
          <w:highlight w:val="none"/>
          <w:lang w:eastAsia="zh-CN"/>
        </w:rPr>
        <w:t>用于现场</w:t>
      </w:r>
      <w:r>
        <w:rPr>
          <w:rFonts w:hint="eastAsia" w:ascii="宋体" w:hAnsi="宋体" w:eastAsia="宋体" w:cs="宋体"/>
          <w:b/>
          <w:bCs/>
          <w:color w:val="auto"/>
          <w:sz w:val="24"/>
          <w:szCs w:val="24"/>
          <w:highlight w:val="none"/>
          <w:lang w:val="en-US" w:eastAsia="zh-CN"/>
        </w:rPr>
        <w:t>谈判</w:t>
      </w:r>
      <w:r>
        <w:rPr>
          <w:rFonts w:hint="eastAsia" w:ascii="宋体" w:hAnsi="宋体" w:eastAsia="宋体" w:cs="宋体"/>
          <w:b/>
          <w:bCs/>
          <w:color w:val="auto"/>
          <w:sz w:val="24"/>
          <w:szCs w:val="24"/>
          <w:highlight w:val="none"/>
          <w:lang w:eastAsia="zh-CN"/>
        </w:rPr>
        <w:t>结束后，根据</w:t>
      </w:r>
      <w:r>
        <w:rPr>
          <w:rFonts w:hint="eastAsia" w:ascii="宋体" w:hAnsi="宋体" w:eastAsia="宋体" w:cs="宋体"/>
          <w:b/>
          <w:bCs/>
          <w:color w:val="auto"/>
          <w:sz w:val="24"/>
          <w:szCs w:val="24"/>
          <w:highlight w:val="none"/>
          <w:lang w:val="en-US" w:eastAsia="zh-CN"/>
        </w:rPr>
        <w:t>谈判</w:t>
      </w:r>
      <w:r>
        <w:rPr>
          <w:rFonts w:hint="eastAsia" w:ascii="宋体" w:hAnsi="宋体" w:eastAsia="宋体" w:cs="宋体"/>
          <w:b/>
          <w:bCs/>
          <w:color w:val="auto"/>
          <w:sz w:val="24"/>
          <w:szCs w:val="24"/>
          <w:highlight w:val="none"/>
          <w:lang w:eastAsia="zh-CN"/>
        </w:rPr>
        <w:t>小组要求提供最后报价时单独提供，首次响应文件中无须提供。</w:t>
      </w:r>
    </w:p>
    <w:p w14:paraId="11145DCB">
      <w:pPr>
        <w:pStyle w:val="17"/>
        <w:spacing w:before="50"/>
        <w:ind w:firstLine="482"/>
        <w:rPr>
          <w:rFonts w:hint="eastAsia" w:eastAsia="宋体"/>
          <w:b/>
          <w:sz w:val="24"/>
        </w:rPr>
      </w:pPr>
    </w:p>
    <w:p w14:paraId="42F0D4F5">
      <w:pPr>
        <w:pStyle w:val="17"/>
        <w:spacing w:before="50"/>
        <w:ind w:firstLine="482"/>
        <w:rPr>
          <w:rFonts w:hint="eastAsia" w:eastAsia="宋体"/>
          <w:b/>
          <w:sz w:val="24"/>
        </w:rPr>
      </w:pPr>
    </w:p>
    <w:p w14:paraId="096D4270">
      <w:pPr>
        <w:pStyle w:val="17"/>
        <w:spacing w:before="50"/>
        <w:ind w:firstLine="482"/>
        <w:rPr>
          <w:rFonts w:hint="eastAsia" w:eastAsia="宋体"/>
          <w:b/>
          <w:sz w:val="24"/>
        </w:rPr>
      </w:pPr>
    </w:p>
    <w:p w14:paraId="0D122AA3">
      <w:pPr>
        <w:pStyle w:val="17"/>
        <w:spacing w:before="50"/>
        <w:ind w:firstLine="482"/>
        <w:rPr>
          <w:rFonts w:hint="eastAsia" w:eastAsia="宋体"/>
          <w:b/>
          <w:sz w:val="24"/>
        </w:rPr>
      </w:pPr>
    </w:p>
    <w:p w14:paraId="1763DF6E">
      <w:pPr>
        <w:pStyle w:val="17"/>
        <w:spacing w:before="50"/>
        <w:ind w:firstLine="482"/>
        <w:rPr>
          <w:rFonts w:hint="eastAsia" w:eastAsia="宋体"/>
          <w:b/>
          <w:sz w:val="24"/>
        </w:rPr>
      </w:pPr>
    </w:p>
    <w:p w14:paraId="579BEC7B">
      <w:pPr>
        <w:pStyle w:val="17"/>
        <w:spacing w:before="50"/>
        <w:ind w:firstLine="482"/>
        <w:rPr>
          <w:rFonts w:hint="eastAsia" w:eastAsia="宋体"/>
          <w:b/>
          <w:sz w:val="24"/>
        </w:rPr>
      </w:pPr>
    </w:p>
    <w:p w14:paraId="12190F0C">
      <w:pPr>
        <w:pStyle w:val="17"/>
        <w:spacing w:before="50"/>
        <w:ind w:firstLine="0" w:firstLineChars="0"/>
        <w:rPr>
          <w:rFonts w:hint="eastAsia" w:eastAsia="宋体"/>
          <w:b/>
          <w:sz w:val="24"/>
        </w:rPr>
      </w:pPr>
    </w:p>
    <w:sectPr>
      <w:headerReference r:id="rId4" w:type="default"/>
      <w:footerReference r:id="rId5" w:type="default"/>
      <w:pgSz w:w="11907" w:h="16840"/>
      <w:pgMar w:top="1440" w:right="1080" w:bottom="1440" w:left="1080" w:header="851" w:footer="992" w:gutter="0"/>
      <w:pgNumType w:fmt="decimal"/>
      <w:cols w:space="720" w:num="1"/>
      <w:docGrid w:type="lines" w:linePitch="323" w:charSpace="-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Calibri Light">
    <w:panose1 w:val="020F0302020204030204"/>
    <w:charset w:val="00"/>
    <w:family w:val="swiss"/>
    <w:pitch w:val="default"/>
    <w:sig w:usb0="E4002EFF" w:usb1="C000247B" w:usb2="00000009" w:usb3="00000000" w:csb0="200001FF" w:csb1="00000000"/>
  </w:font>
  <w:font w:name="Times">
    <w:altName w:val="Times New Roman"/>
    <w:panose1 w:val="02020603050405020304"/>
    <w:charset w:val="00"/>
    <w:family w:val="roman"/>
    <w:pitch w:val="default"/>
    <w:sig w:usb0="00000000" w:usb1="00000000" w:usb2="00000009" w:usb3="00000000" w:csb0="000001FF" w:csb1="00000000"/>
  </w:font>
  <w:font w:name="Cambria">
    <w:panose1 w:val="02040503050406030204"/>
    <w:charset w:val="00"/>
    <w:family w:val="roman"/>
    <w:pitch w:val="default"/>
    <w:sig w:usb0="E00006FF" w:usb1="420024FF" w:usb2="0200000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roma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Dotum">
    <w:altName w:val="Malgun Gothic"/>
    <w:panose1 w:val="020B0600000101010101"/>
    <w:charset w:val="81"/>
    <w:family w:val="swiss"/>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HYg2gj">
    <w:altName w:val="Malgun Gothic Semilight"/>
    <w:panose1 w:val="00000000000000000000"/>
    <w:charset w:val="80"/>
    <w:family w:val="auto"/>
    <w:pitch w:val="default"/>
    <w:sig w:usb0="00000000" w:usb1="00000000" w:usb2="00000010" w:usb3="00000000" w:csb0="00060000" w:csb1="00000000"/>
  </w:font>
  <w:font w:name="Noto Sans SC">
    <w:altName w:val="宋体"/>
    <w:panose1 w:val="020B0200000000000000"/>
    <w:charset w:val="86"/>
    <w:family w:val="auto"/>
    <w:pitch w:val="default"/>
    <w:sig w:usb0="00000000" w:usb1="00000000" w:usb2="00000016" w:usb3="00000000" w:csb0="60060107" w:csb1="00000000"/>
  </w:font>
  <w:font w:name="Malgun Gothic Semilight">
    <w:panose1 w:val="020B0502040204020203"/>
    <w:charset w:val="86"/>
    <w:family w:val="auto"/>
    <w:pitch w:val="default"/>
    <w:sig w:usb0="900002AF" w:usb1="01D77CFB" w:usb2="00000012" w:usb3="00000000" w:csb0="203E01BD" w:csb1="D7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BAEC1A">
    <w:pPr>
      <w:pStyle w:val="22"/>
      <w:tabs>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2DB76536">
                          <w:pPr>
                            <w:pStyle w:val="2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aGmCS9MAAAAFAQAADwAAAAAAAAABACAAAAAiAAAA&#10;ZHJzL2Rvd25yZXYueG1sUEsBAhQAFAAAAAgAh07iQOphN9HTAQAApgMAAA4AAAAAAAAAAQAgAAAA&#10;IgEAAGRycy9lMm9Eb2MueG1sUEsFBgAAAAAGAAYAWQEAAGcFAAAAAA==&#10;">
              <v:fill on="f" focussize="0,0"/>
              <v:stroke on="f" weight="1.25pt"/>
              <v:imagedata o:title=""/>
              <o:lock v:ext="edit" aspectratio="f"/>
              <v:textbox inset="0mm,0mm,0mm,0mm" style="mso-fit-shape-to-text:t;">
                <w:txbxContent>
                  <w:p w14:paraId="2DB76536">
                    <w:pPr>
                      <w:pStyle w:val="2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2440FA">
    <w:pPr>
      <w:pStyle w:val="22"/>
      <w:tabs>
        <w:tab w:val="clear" w:pos="4153"/>
      </w:tabs>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ED52FCA">
                          <w:pPr>
                            <w:pStyle w:val="22"/>
                            <w:rPr>
                              <w:rStyle w:val="35"/>
                            </w:rPr>
                          </w:pPr>
                          <w:r>
                            <w:fldChar w:fldCharType="begin"/>
                          </w:r>
                          <w:r>
                            <w:rPr>
                              <w:rStyle w:val="35"/>
                            </w:rPr>
                            <w:instrText xml:space="preserve">PAGE  </w:instrText>
                          </w:r>
                          <w:r>
                            <w:fldChar w:fldCharType="separate"/>
                          </w:r>
                          <w:r>
                            <w:rPr>
                              <w:rStyle w:val="35"/>
                            </w:rPr>
                            <w:t>37</w:t>
                          </w:r>
                          <w:r>
                            <w:fldChar w:fldCharType="end"/>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aGmCS9MAAAAFAQAADwAAAAAAAAABACAAAAAiAAAA&#10;ZHJzL2Rvd25yZXYueG1sUEsBAhQAFAAAAAgAh07iQK2a4PrTAQAApgMAAA4AAAAAAAAAAQAgAAAA&#10;IgEAAGRycy9lMm9Eb2MueG1sUEsFBgAAAAAGAAYAWQEAAGcFAAAAAA==&#10;">
              <v:fill on="f" focussize="0,0"/>
              <v:stroke on="f" weight="1.25pt"/>
              <v:imagedata o:title=""/>
              <o:lock v:ext="edit" aspectratio="f"/>
              <v:textbox inset="0mm,0mm,0mm,0mm" style="mso-fit-shape-to-text:t;">
                <w:txbxContent>
                  <w:p w14:paraId="0ED52FCA">
                    <w:pPr>
                      <w:pStyle w:val="22"/>
                      <w:rPr>
                        <w:rStyle w:val="35"/>
                      </w:rPr>
                    </w:pPr>
                    <w:r>
                      <w:fldChar w:fldCharType="begin"/>
                    </w:r>
                    <w:r>
                      <w:rPr>
                        <w:rStyle w:val="35"/>
                      </w:rPr>
                      <w:instrText xml:space="preserve">PAGE  </w:instrText>
                    </w:r>
                    <w:r>
                      <w:fldChar w:fldCharType="separate"/>
                    </w:r>
                    <w:r>
                      <w:rPr>
                        <w:rStyle w:val="35"/>
                      </w:rPr>
                      <w:t>37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12939F">
    <w:pPr>
      <w:pStyle w:val="11"/>
      <w:pBdr>
        <w:bottom w:val="none" w:color="auto" w:sz="0" w:space="1"/>
      </w:pBd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E5500E"/>
    <w:multiLevelType w:val="multilevel"/>
    <w:tmpl w:val="14E5500E"/>
    <w:lvl w:ilvl="0" w:tentative="0">
      <w:start w:val="4"/>
      <w:numFmt w:val="decimal"/>
      <w:pStyle w:val="6"/>
      <w:lvlText w:val="(%1)"/>
      <w:lvlJc w:val="left"/>
      <w:pPr>
        <w:tabs>
          <w:tab w:val="left" w:pos="1080"/>
        </w:tabs>
        <w:ind w:left="1080" w:hanging="510"/>
      </w:pPr>
      <w:rPr>
        <w:rFonts w:hint="default"/>
      </w:rPr>
    </w:lvl>
    <w:lvl w:ilvl="1" w:tentative="0">
      <w:start w:val="1"/>
      <w:numFmt w:val="lowerLetter"/>
      <w:lvlText w:val="%2)"/>
      <w:lvlJc w:val="left"/>
      <w:pPr>
        <w:tabs>
          <w:tab w:val="left" w:pos="1410"/>
        </w:tabs>
        <w:ind w:left="1410" w:hanging="420"/>
      </w:pPr>
    </w:lvl>
    <w:lvl w:ilvl="2" w:tentative="0">
      <w:start w:val="1"/>
      <w:numFmt w:val="lowerRoman"/>
      <w:lvlText w:val="%3."/>
      <w:lvlJc w:val="right"/>
      <w:pPr>
        <w:tabs>
          <w:tab w:val="left" w:pos="1830"/>
        </w:tabs>
        <w:ind w:left="1830" w:hanging="420"/>
      </w:pPr>
    </w:lvl>
    <w:lvl w:ilvl="3" w:tentative="0">
      <w:start w:val="1"/>
      <w:numFmt w:val="decimal"/>
      <w:lvlText w:val="%4."/>
      <w:lvlJc w:val="left"/>
      <w:pPr>
        <w:tabs>
          <w:tab w:val="left" w:pos="2250"/>
        </w:tabs>
        <w:ind w:left="2250" w:hanging="420"/>
      </w:pPr>
    </w:lvl>
    <w:lvl w:ilvl="4" w:tentative="0">
      <w:start w:val="1"/>
      <w:numFmt w:val="lowerLetter"/>
      <w:lvlText w:val="%5)"/>
      <w:lvlJc w:val="left"/>
      <w:pPr>
        <w:tabs>
          <w:tab w:val="left" w:pos="2670"/>
        </w:tabs>
        <w:ind w:left="2670" w:hanging="420"/>
      </w:pPr>
    </w:lvl>
    <w:lvl w:ilvl="5" w:tentative="0">
      <w:start w:val="1"/>
      <w:numFmt w:val="lowerRoman"/>
      <w:lvlText w:val="%6."/>
      <w:lvlJc w:val="right"/>
      <w:pPr>
        <w:tabs>
          <w:tab w:val="left" w:pos="3090"/>
        </w:tabs>
        <w:ind w:left="3090" w:hanging="420"/>
      </w:pPr>
    </w:lvl>
    <w:lvl w:ilvl="6" w:tentative="0">
      <w:start w:val="1"/>
      <w:numFmt w:val="decimal"/>
      <w:lvlText w:val="%7."/>
      <w:lvlJc w:val="left"/>
      <w:pPr>
        <w:tabs>
          <w:tab w:val="left" w:pos="3510"/>
        </w:tabs>
        <w:ind w:left="3510" w:hanging="420"/>
      </w:pPr>
    </w:lvl>
    <w:lvl w:ilvl="7" w:tentative="0">
      <w:start w:val="1"/>
      <w:numFmt w:val="lowerLetter"/>
      <w:lvlText w:val="%8)"/>
      <w:lvlJc w:val="left"/>
      <w:pPr>
        <w:tabs>
          <w:tab w:val="left" w:pos="3930"/>
        </w:tabs>
        <w:ind w:left="3930" w:hanging="420"/>
      </w:pPr>
    </w:lvl>
    <w:lvl w:ilvl="8" w:tentative="0">
      <w:start w:val="1"/>
      <w:numFmt w:val="lowerRoman"/>
      <w:lvlText w:val="%9."/>
      <w:lvlJc w:val="right"/>
      <w:pPr>
        <w:tabs>
          <w:tab w:val="left" w:pos="4350"/>
        </w:tabs>
        <w:ind w:left="4350" w:hanging="420"/>
      </w:pPr>
    </w:lvl>
  </w:abstractNum>
  <w:abstractNum w:abstractNumId="1">
    <w:nsid w:val="216F5A68"/>
    <w:multiLevelType w:val="multilevel"/>
    <w:tmpl w:val="216F5A68"/>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3DFB0E41"/>
    <w:multiLevelType w:val="multilevel"/>
    <w:tmpl w:val="3DFB0E41"/>
    <w:lvl w:ilvl="0" w:tentative="0">
      <w:start w:val="1"/>
      <w:numFmt w:val="upperLetter"/>
      <w:pStyle w:val="5"/>
      <w:lvlText w:val="%1、"/>
      <w:lvlJc w:val="left"/>
      <w:pPr>
        <w:tabs>
          <w:tab w:val="left" w:pos="870"/>
        </w:tabs>
        <w:ind w:left="870" w:hanging="360"/>
      </w:pPr>
      <w:rPr>
        <w:rFonts w:hint="eastAsia"/>
      </w:rPr>
    </w:lvl>
    <w:lvl w:ilvl="1" w:tentative="0">
      <w:start w:val="1"/>
      <w:numFmt w:val="lowerLetter"/>
      <w:lvlText w:val="%2)"/>
      <w:lvlJc w:val="left"/>
      <w:pPr>
        <w:tabs>
          <w:tab w:val="left" w:pos="1350"/>
        </w:tabs>
        <w:ind w:left="1350" w:hanging="420"/>
      </w:pPr>
    </w:lvl>
    <w:lvl w:ilvl="2" w:tentative="0">
      <w:start w:val="1"/>
      <w:numFmt w:val="lowerRoman"/>
      <w:lvlText w:val="%3."/>
      <w:lvlJc w:val="right"/>
      <w:pPr>
        <w:tabs>
          <w:tab w:val="left" w:pos="1770"/>
        </w:tabs>
        <w:ind w:left="1770" w:hanging="420"/>
      </w:pPr>
    </w:lvl>
    <w:lvl w:ilvl="3" w:tentative="0">
      <w:start w:val="1"/>
      <w:numFmt w:val="decimal"/>
      <w:lvlText w:val="%4."/>
      <w:lvlJc w:val="left"/>
      <w:pPr>
        <w:tabs>
          <w:tab w:val="left" w:pos="2190"/>
        </w:tabs>
        <w:ind w:left="2190" w:hanging="420"/>
      </w:pPr>
    </w:lvl>
    <w:lvl w:ilvl="4" w:tentative="0">
      <w:start w:val="1"/>
      <w:numFmt w:val="lowerLetter"/>
      <w:lvlText w:val="%5)"/>
      <w:lvlJc w:val="left"/>
      <w:pPr>
        <w:tabs>
          <w:tab w:val="left" w:pos="2610"/>
        </w:tabs>
        <w:ind w:left="2610" w:hanging="420"/>
      </w:pPr>
    </w:lvl>
    <w:lvl w:ilvl="5" w:tentative="0">
      <w:start w:val="1"/>
      <w:numFmt w:val="lowerRoman"/>
      <w:pStyle w:val="9"/>
      <w:lvlText w:val="%6."/>
      <w:lvlJc w:val="right"/>
      <w:pPr>
        <w:tabs>
          <w:tab w:val="left" w:pos="3030"/>
        </w:tabs>
        <w:ind w:left="3030" w:hanging="420"/>
      </w:pPr>
    </w:lvl>
    <w:lvl w:ilvl="6" w:tentative="0">
      <w:start w:val="1"/>
      <w:numFmt w:val="decimal"/>
      <w:pStyle w:val="12"/>
      <w:lvlText w:val="%7."/>
      <w:lvlJc w:val="left"/>
      <w:pPr>
        <w:tabs>
          <w:tab w:val="left" w:pos="3450"/>
        </w:tabs>
        <w:ind w:left="3450" w:hanging="420"/>
      </w:pPr>
    </w:lvl>
    <w:lvl w:ilvl="7" w:tentative="0">
      <w:start w:val="1"/>
      <w:numFmt w:val="lowerLetter"/>
      <w:pStyle w:val="13"/>
      <w:lvlText w:val="%8)"/>
      <w:lvlJc w:val="left"/>
      <w:pPr>
        <w:tabs>
          <w:tab w:val="left" w:pos="3870"/>
        </w:tabs>
        <w:ind w:left="3870" w:hanging="420"/>
      </w:pPr>
    </w:lvl>
    <w:lvl w:ilvl="8" w:tentative="0">
      <w:start w:val="1"/>
      <w:numFmt w:val="lowerRoman"/>
      <w:pStyle w:val="14"/>
      <w:lvlText w:val="%9."/>
      <w:lvlJc w:val="right"/>
      <w:pPr>
        <w:tabs>
          <w:tab w:val="left" w:pos="4290"/>
        </w:tabs>
        <w:ind w:left="4290" w:hanging="420"/>
      </w:pPr>
    </w:lvl>
  </w:abstractNum>
  <w:abstractNum w:abstractNumId="3">
    <w:nsid w:val="59B6736E"/>
    <w:multiLevelType w:val="multilevel"/>
    <w:tmpl w:val="59B6736E"/>
    <w:lvl w:ilvl="0" w:tentative="0">
      <w:start w:val="1"/>
      <w:numFmt w:val="japaneseCounting"/>
      <w:lvlText w:val="%1、"/>
      <w:lvlJc w:val="left"/>
      <w:pPr>
        <w:tabs>
          <w:tab w:val="left" w:pos="480"/>
        </w:tabs>
        <w:ind w:left="480" w:hanging="48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pStyle w:val="63"/>
      <w:lvlText w:val="（%3）"/>
      <w:lvlJc w:val="left"/>
      <w:pPr>
        <w:tabs>
          <w:tab w:val="left" w:pos="1560"/>
        </w:tabs>
        <w:ind w:left="1560" w:hanging="7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3NDRhNDM3NjBkZjc0ODk2ODM1NmJkZTcxODE3NjIifQ=="/>
  </w:docVars>
  <w:rsids>
    <w:rsidRoot w:val="005F414D"/>
    <w:rsid w:val="00000CF2"/>
    <w:rsid w:val="0000332F"/>
    <w:rsid w:val="00003B7D"/>
    <w:rsid w:val="000051AE"/>
    <w:rsid w:val="00005A80"/>
    <w:rsid w:val="00006766"/>
    <w:rsid w:val="000069E8"/>
    <w:rsid w:val="000100B0"/>
    <w:rsid w:val="000104B6"/>
    <w:rsid w:val="00011562"/>
    <w:rsid w:val="00012488"/>
    <w:rsid w:val="000142DE"/>
    <w:rsid w:val="0001609C"/>
    <w:rsid w:val="00016D27"/>
    <w:rsid w:val="000231E0"/>
    <w:rsid w:val="00023556"/>
    <w:rsid w:val="00024528"/>
    <w:rsid w:val="00024C48"/>
    <w:rsid w:val="00025599"/>
    <w:rsid w:val="000259FC"/>
    <w:rsid w:val="0002679A"/>
    <w:rsid w:val="00027D01"/>
    <w:rsid w:val="000311DB"/>
    <w:rsid w:val="00032C7E"/>
    <w:rsid w:val="0003516D"/>
    <w:rsid w:val="00036208"/>
    <w:rsid w:val="000375A4"/>
    <w:rsid w:val="00041631"/>
    <w:rsid w:val="000440DB"/>
    <w:rsid w:val="00046B1F"/>
    <w:rsid w:val="00047502"/>
    <w:rsid w:val="0005032D"/>
    <w:rsid w:val="000506C7"/>
    <w:rsid w:val="00050FA1"/>
    <w:rsid w:val="0005292F"/>
    <w:rsid w:val="00052A4E"/>
    <w:rsid w:val="00053C2E"/>
    <w:rsid w:val="00055570"/>
    <w:rsid w:val="00055755"/>
    <w:rsid w:val="000566A6"/>
    <w:rsid w:val="00057930"/>
    <w:rsid w:val="00060FAB"/>
    <w:rsid w:val="000614C4"/>
    <w:rsid w:val="00061D6E"/>
    <w:rsid w:val="0006411A"/>
    <w:rsid w:val="00065D57"/>
    <w:rsid w:val="000675C6"/>
    <w:rsid w:val="000717DA"/>
    <w:rsid w:val="00077680"/>
    <w:rsid w:val="00077954"/>
    <w:rsid w:val="00077EAC"/>
    <w:rsid w:val="00077F6E"/>
    <w:rsid w:val="000809D5"/>
    <w:rsid w:val="00080EC1"/>
    <w:rsid w:val="000814EB"/>
    <w:rsid w:val="00081674"/>
    <w:rsid w:val="0008374B"/>
    <w:rsid w:val="00083D29"/>
    <w:rsid w:val="0008755F"/>
    <w:rsid w:val="000876EC"/>
    <w:rsid w:val="0009013F"/>
    <w:rsid w:val="0009116F"/>
    <w:rsid w:val="00091B4F"/>
    <w:rsid w:val="00091CC9"/>
    <w:rsid w:val="00092184"/>
    <w:rsid w:val="00092A65"/>
    <w:rsid w:val="000A2ED9"/>
    <w:rsid w:val="000A4479"/>
    <w:rsid w:val="000A4DB5"/>
    <w:rsid w:val="000A572C"/>
    <w:rsid w:val="000A5917"/>
    <w:rsid w:val="000A5CE4"/>
    <w:rsid w:val="000A5D10"/>
    <w:rsid w:val="000A6ED5"/>
    <w:rsid w:val="000A73B3"/>
    <w:rsid w:val="000B18EE"/>
    <w:rsid w:val="000B1C98"/>
    <w:rsid w:val="000B2039"/>
    <w:rsid w:val="000B233E"/>
    <w:rsid w:val="000B2AFF"/>
    <w:rsid w:val="000B4132"/>
    <w:rsid w:val="000B529E"/>
    <w:rsid w:val="000B619A"/>
    <w:rsid w:val="000B69FD"/>
    <w:rsid w:val="000B7ECD"/>
    <w:rsid w:val="000C152E"/>
    <w:rsid w:val="000C1C09"/>
    <w:rsid w:val="000C2FD3"/>
    <w:rsid w:val="000C3502"/>
    <w:rsid w:val="000C4FE6"/>
    <w:rsid w:val="000C5121"/>
    <w:rsid w:val="000C55BA"/>
    <w:rsid w:val="000C5E21"/>
    <w:rsid w:val="000C68E4"/>
    <w:rsid w:val="000C6904"/>
    <w:rsid w:val="000C6A7C"/>
    <w:rsid w:val="000C7B77"/>
    <w:rsid w:val="000D05C7"/>
    <w:rsid w:val="000D1005"/>
    <w:rsid w:val="000D2A4C"/>
    <w:rsid w:val="000D3429"/>
    <w:rsid w:val="000D3DB5"/>
    <w:rsid w:val="000D72BF"/>
    <w:rsid w:val="000D7AD8"/>
    <w:rsid w:val="000E05EE"/>
    <w:rsid w:val="000E06D2"/>
    <w:rsid w:val="000E0C16"/>
    <w:rsid w:val="000E0CDA"/>
    <w:rsid w:val="000E2A26"/>
    <w:rsid w:val="000E2EFE"/>
    <w:rsid w:val="000E3339"/>
    <w:rsid w:val="000E38C9"/>
    <w:rsid w:val="000E3B56"/>
    <w:rsid w:val="000E42AF"/>
    <w:rsid w:val="000E7073"/>
    <w:rsid w:val="000E722A"/>
    <w:rsid w:val="000E7ED4"/>
    <w:rsid w:val="000E7FC1"/>
    <w:rsid w:val="000F08F7"/>
    <w:rsid w:val="000F1EE3"/>
    <w:rsid w:val="000F251E"/>
    <w:rsid w:val="000F4517"/>
    <w:rsid w:val="000F4641"/>
    <w:rsid w:val="000F66FC"/>
    <w:rsid w:val="000F6E4A"/>
    <w:rsid w:val="000F6F7B"/>
    <w:rsid w:val="000F73F2"/>
    <w:rsid w:val="000F74D7"/>
    <w:rsid w:val="000F757C"/>
    <w:rsid w:val="00101AD2"/>
    <w:rsid w:val="00102C49"/>
    <w:rsid w:val="00103E7C"/>
    <w:rsid w:val="00106656"/>
    <w:rsid w:val="00107C4E"/>
    <w:rsid w:val="001102F2"/>
    <w:rsid w:val="001112CB"/>
    <w:rsid w:val="00112F36"/>
    <w:rsid w:val="0011482C"/>
    <w:rsid w:val="001179D5"/>
    <w:rsid w:val="001219C8"/>
    <w:rsid w:val="0012253E"/>
    <w:rsid w:val="0012421C"/>
    <w:rsid w:val="0012691E"/>
    <w:rsid w:val="0012747A"/>
    <w:rsid w:val="001274A0"/>
    <w:rsid w:val="00130A26"/>
    <w:rsid w:val="001326AD"/>
    <w:rsid w:val="00132A3A"/>
    <w:rsid w:val="0013307A"/>
    <w:rsid w:val="001334EF"/>
    <w:rsid w:val="001335A7"/>
    <w:rsid w:val="00133847"/>
    <w:rsid w:val="00134594"/>
    <w:rsid w:val="0013581B"/>
    <w:rsid w:val="00142A55"/>
    <w:rsid w:val="00145CBB"/>
    <w:rsid w:val="00145CF5"/>
    <w:rsid w:val="00146BA6"/>
    <w:rsid w:val="00147293"/>
    <w:rsid w:val="001478F9"/>
    <w:rsid w:val="00151901"/>
    <w:rsid w:val="001519D6"/>
    <w:rsid w:val="0015231F"/>
    <w:rsid w:val="001527AE"/>
    <w:rsid w:val="0015354C"/>
    <w:rsid w:val="00153CB5"/>
    <w:rsid w:val="00157805"/>
    <w:rsid w:val="00157FC1"/>
    <w:rsid w:val="00160C30"/>
    <w:rsid w:val="00162608"/>
    <w:rsid w:val="001633C2"/>
    <w:rsid w:val="001648FA"/>
    <w:rsid w:val="00165A1F"/>
    <w:rsid w:val="00165D18"/>
    <w:rsid w:val="001703AA"/>
    <w:rsid w:val="00171523"/>
    <w:rsid w:val="00171BFE"/>
    <w:rsid w:val="001735F8"/>
    <w:rsid w:val="00173741"/>
    <w:rsid w:val="0017538E"/>
    <w:rsid w:val="001754F9"/>
    <w:rsid w:val="0018023E"/>
    <w:rsid w:val="00180C20"/>
    <w:rsid w:val="00180DF2"/>
    <w:rsid w:val="00181C5E"/>
    <w:rsid w:val="00181C7C"/>
    <w:rsid w:val="00181DA6"/>
    <w:rsid w:val="0018323D"/>
    <w:rsid w:val="00183CB4"/>
    <w:rsid w:val="00185972"/>
    <w:rsid w:val="00186251"/>
    <w:rsid w:val="00186CDC"/>
    <w:rsid w:val="00192A87"/>
    <w:rsid w:val="00193236"/>
    <w:rsid w:val="001934E1"/>
    <w:rsid w:val="00193A25"/>
    <w:rsid w:val="00194904"/>
    <w:rsid w:val="0019527A"/>
    <w:rsid w:val="00196E4C"/>
    <w:rsid w:val="00197BEB"/>
    <w:rsid w:val="00197C1A"/>
    <w:rsid w:val="001A0A71"/>
    <w:rsid w:val="001A16A3"/>
    <w:rsid w:val="001A17A1"/>
    <w:rsid w:val="001A48BC"/>
    <w:rsid w:val="001A5105"/>
    <w:rsid w:val="001A527F"/>
    <w:rsid w:val="001A57F4"/>
    <w:rsid w:val="001A5FFB"/>
    <w:rsid w:val="001A734C"/>
    <w:rsid w:val="001A783F"/>
    <w:rsid w:val="001B0620"/>
    <w:rsid w:val="001B1BCD"/>
    <w:rsid w:val="001B26A5"/>
    <w:rsid w:val="001B2BD4"/>
    <w:rsid w:val="001B4C67"/>
    <w:rsid w:val="001B5720"/>
    <w:rsid w:val="001B667E"/>
    <w:rsid w:val="001B6F47"/>
    <w:rsid w:val="001B72B9"/>
    <w:rsid w:val="001B767C"/>
    <w:rsid w:val="001C008E"/>
    <w:rsid w:val="001C0E9D"/>
    <w:rsid w:val="001C14AC"/>
    <w:rsid w:val="001C1717"/>
    <w:rsid w:val="001C2434"/>
    <w:rsid w:val="001C2447"/>
    <w:rsid w:val="001C2661"/>
    <w:rsid w:val="001C32FF"/>
    <w:rsid w:val="001C341A"/>
    <w:rsid w:val="001C371A"/>
    <w:rsid w:val="001C4629"/>
    <w:rsid w:val="001C49B3"/>
    <w:rsid w:val="001C4CF6"/>
    <w:rsid w:val="001C4D76"/>
    <w:rsid w:val="001C5F5F"/>
    <w:rsid w:val="001D0B6B"/>
    <w:rsid w:val="001D0D76"/>
    <w:rsid w:val="001D1B9C"/>
    <w:rsid w:val="001D4393"/>
    <w:rsid w:val="001D4635"/>
    <w:rsid w:val="001D5677"/>
    <w:rsid w:val="001D5A1F"/>
    <w:rsid w:val="001D603B"/>
    <w:rsid w:val="001D629B"/>
    <w:rsid w:val="001D645C"/>
    <w:rsid w:val="001D7E55"/>
    <w:rsid w:val="001E2B08"/>
    <w:rsid w:val="001E2CFF"/>
    <w:rsid w:val="001E31D7"/>
    <w:rsid w:val="001E5B12"/>
    <w:rsid w:val="001F0803"/>
    <w:rsid w:val="001F0958"/>
    <w:rsid w:val="001F239A"/>
    <w:rsid w:val="001F4D24"/>
    <w:rsid w:val="001F5564"/>
    <w:rsid w:val="001F576B"/>
    <w:rsid w:val="001F606C"/>
    <w:rsid w:val="001F6E21"/>
    <w:rsid w:val="001F7DD8"/>
    <w:rsid w:val="00201690"/>
    <w:rsid w:val="0020417A"/>
    <w:rsid w:val="00204870"/>
    <w:rsid w:val="00205D40"/>
    <w:rsid w:val="002063DA"/>
    <w:rsid w:val="00210656"/>
    <w:rsid w:val="00210D7F"/>
    <w:rsid w:val="002127B8"/>
    <w:rsid w:val="00213AD2"/>
    <w:rsid w:val="0021553E"/>
    <w:rsid w:val="00216F36"/>
    <w:rsid w:val="00222D74"/>
    <w:rsid w:val="00223C9A"/>
    <w:rsid w:val="00224F2D"/>
    <w:rsid w:val="002272CC"/>
    <w:rsid w:val="00230AD0"/>
    <w:rsid w:val="00231BC5"/>
    <w:rsid w:val="00232518"/>
    <w:rsid w:val="0023393E"/>
    <w:rsid w:val="002347D4"/>
    <w:rsid w:val="00234F60"/>
    <w:rsid w:val="00235546"/>
    <w:rsid w:val="00235D5D"/>
    <w:rsid w:val="002405F4"/>
    <w:rsid w:val="002407B6"/>
    <w:rsid w:val="00242E9A"/>
    <w:rsid w:val="0024365D"/>
    <w:rsid w:val="00243E38"/>
    <w:rsid w:val="00245ECE"/>
    <w:rsid w:val="002464B9"/>
    <w:rsid w:val="0024653E"/>
    <w:rsid w:val="002469CA"/>
    <w:rsid w:val="00246F79"/>
    <w:rsid w:val="00247CFF"/>
    <w:rsid w:val="002528B9"/>
    <w:rsid w:val="002528E3"/>
    <w:rsid w:val="00253EF6"/>
    <w:rsid w:val="002549DB"/>
    <w:rsid w:val="00254BEB"/>
    <w:rsid w:val="00254C30"/>
    <w:rsid w:val="00256126"/>
    <w:rsid w:val="00260560"/>
    <w:rsid w:val="00260865"/>
    <w:rsid w:val="00260D1B"/>
    <w:rsid w:val="002623FF"/>
    <w:rsid w:val="002627C0"/>
    <w:rsid w:val="00263477"/>
    <w:rsid w:val="002634D3"/>
    <w:rsid w:val="0026454F"/>
    <w:rsid w:val="00264D7A"/>
    <w:rsid w:val="00265116"/>
    <w:rsid w:val="00267196"/>
    <w:rsid w:val="00267C7C"/>
    <w:rsid w:val="00267EF6"/>
    <w:rsid w:val="00271DED"/>
    <w:rsid w:val="002729C3"/>
    <w:rsid w:val="00273757"/>
    <w:rsid w:val="002737B3"/>
    <w:rsid w:val="00273BC1"/>
    <w:rsid w:val="002765FE"/>
    <w:rsid w:val="00277BC4"/>
    <w:rsid w:val="00280AAD"/>
    <w:rsid w:val="00281182"/>
    <w:rsid w:val="00281EA2"/>
    <w:rsid w:val="00282894"/>
    <w:rsid w:val="00283319"/>
    <w:rsid w:val="00283B06"/>
    <w:rsid w:val="00283D7F"/>
    <w:rsid w:val="00284FB5"/>
    <w:rsid w:val="0028568F"/>
    <w:rsid w:val="00286233"/>
    <w:rsid w:val="00291952"/>
    <w:rsid w:val="00292497"/>
    <w:rsid w:val="00294C78"/>
    <w:rsid w:val="00296DA2"/>
    <w:rsid w:val="00297263"/>
    <w:rsid w:val="002972C3"/>
    <w:rsid w:val="00297F4F"/>
    <w:rsid w:val="002A01BB"/>
    <w:rsid w:val="002A1068"/>
    <w:rsid w:val="002A149C"/>
    <w:rsid w:val="002A1511"/>
    <w:rsid w:val="002A15BA"/>
    <w:rsid w:val="002A215C"/>
    <w:rsid w:val="002A22AC"/>
    <w:rsid w:val="002A2C2B"/>
    <w:rsid w:val="002A31B9"/>
    <w:rsid w:val="002A350C"/>
    <w:rsid w:val="002A3657"/>
    <w:rsid w:val="002A54BC"/>
    <w:rsid w:val="002A5744"/>
    <w:rsid w:val="002A580C"/>
    <w:rsid w:val="002A6C04"/>
    <w:rsid w:val="002A6E06"/>
    <w:rsid w:val="002A75C4"/>
    <w:rsid w:val="002B13E6"/>
    <w:rsid w:val="002B1B26"/>
    <w:rsid w:val="002B1C73"/>
    <w:rsid w:val="002B31BC"/>
    <w:rsid w:val="002B3F1D"/>
    <w:rsid w:val="002B509B"/>
    <w:rsid w:val="002B5B61"/>
    <w:rsid w:val="002B711A"/>
    <w:rsid w:val="002B7B3F"/>
    <w:rsid w:val="002C13DD"/>
    <w:rsid w:val="002C2767"/>
    <w:rsid w:val="002C28BD"/>
    <w:rsid w:val="002C2C05"/>
    <w:rsid w:val="002C3155"/>
    <w:rsid w:val="002C315A"/>
    <w:rsid w:val="002C392F"/>
    <w:rsid w:val="002C44EC"/>
    <w:rsid w:val="002C579B"/>
    <w:rsid w:val="002D19CB"/>
    <w:rsid w:val="002D2547"/>
    <w:rsid w:val="002D5AAC"/>
    <w:rsid w:val="002D72C6"/>
    <w:rsid w:val="002E00F4"/>
    <w:rsid w:val="002E1CFA"/>
    <w:rsid w:val="002E3014"/>
    <w:rsid w:val="002E3880"/>
    <w:rsid w:val="002E4203"/>
    <w:rsid w:val="002E49B4"/>
    <w:rsid w:val="002E65EE"/>
    <w:rsid w:val="002E6C5D"/>
    <w:rsid w:val="002E6CE9"/>
    <w:rsid w:val="002F062E"/>
    <w:rsid w:val="002F23E7"/>
    <w:rsid w:val="002F2721"/>
    <w:rsid w:val="002F2DCC"/>
    <w:rsid w:val="002F48BD"/>
    <w:rsid w:val="002F4D9B"/>
    <w:rsid w:val="002F5A5B"/>
    <w:rsid w:val="002F6DDA"/>
    <w:rsid w:val="002F7C75"/>
    <w:rsid w:val="002F7FB6"/>
    <w:rsid w:val="00303899"/>
    <w:rsid w:val="003046EF"/>
    <w:rsid w:val="00305601"/>
    <w:rsid w:val="00306F6B"/>
    <w:rsid w:val="00306FFF"/>
    <w:rsid w:val="00307C6A"/>
    <w:rsid w:val="00311995"/>
    <w:rsid w:val="00312357"/>
    <w:rsid w:val="003133F6"/>
    <w:rsid w:val="003145E3"/>
    <w:rsid w:val="00314D5A"/>
    <w:rsid w:val="00315A83"/>
    <w:rsid w:val="00315FEB"/>
    <w:rsid w:val="003160D0"/>
    <w:rsid w:val="003174A3"/>
    <w:rsid w:val="00321730"/>
    <w:rsid w:val="003228E0"/>
    <w:rsid w:val="00323DA6"/>
    <w:rsid w:val="00324AC9"/>
    <w:rsid w:val="00324E6D"/>
    <w:rsid w:val="0032632F"/>
    <w:rsid w:val="003263ED"/>
    <w:rsid w:val="00326CB6"/>
    <w:rsid w:val="00330E52"/>
    <w:rsid w:val="00331278"/>
    <w:rsid w:val="00331C5A"/>
    <w:rsid w:val="00331CF8"/>
    <w:rsid w:val="0033377F"/>
    <w:rsid w:val="00335F04"/>
    <w:rsid w:val="00337DD6"/>
    <w:rsid w:val="003407AD"/>
    <w:rsid w:val="00340A2E"/>
    <w:rsid w:val="003414B1"/>
    <w:rsid w:val="0034194A"/>
    <w:rsid w:val="003424F0"/>
    <w:rsid w:val="003441D5"/>
    <w:rsid w:val="00344384"/>
    <w:rsid w:val="003444EA"/>
    <w:rsid w:val="00344896"/>
    <w:rsid w:val="00344AE5"/>
    <w:rsid w:val="003452A9"/>
    <w:rsid w:val="003463DF"/>
    <w:rsid w:val="00346768"/>
    <w:rsid w:val="00346C84"/>
    <w:rsid w:val="00350FD1"/>
    <w:rsid w:val="003516F8"/>
    <w:rsid w:val="003520D3"/>
    <w:rsid w:val="00354199"/>
    <w:rsid w:val="003546A1"/>
    <w:rsid w:val="00355B8E"/>
    <w:rsid w:val="0035645A"/>
    <w:rsid w:val="003577B6"/>
    <w:rsid w:val="00357B4E"/>
    <w:rsid w:val="0036024D"/>
    <w:rsid w:val="0036041E"/>
    <w:rsid w:val="003605A5"/>
    <w:rsid w:val="003617E9"/>
    <w:rsid w:val="003618E0"/>
    <w:rsid w:val="00361C51"/>
    <w:rsid w:val="003623E3"/>
    <w:rsid w:val="00364AA8"/>
    <w:rsid w:val="00364B52"/>
    <w:rsid w:val="0036511A"/>
    <w:rsid w:val="0036590E"/>
    <w:rsid w:val="00366535"/>
    <w:rsid w:val="00366D6D"/>
    <w:rsid w:val="00367156"/>
    <w:rsid w:val="00367B26"/>
    <w:rsid w:val="00370A45"/>
    <w:rsid w:val="00372515"/>
    <w:rsid w:val="00372615"/>
    <w:rsid w:val="003739CC"/>
    <w:rsid w:val="0037438D"/>
    <w:rsid w:val="00374D03"/>
    <w:rsid w:val="003757E3"/>
    <w:rsid w:val="00375823"/>
    <w:rsid w:val="00375C2D"/>
    <w:rsid w:val="0037709F"/>
    <w:rsid w:val="00377AD0"/>
    <w:rsid w:val="0038395A"/>
    <w:rsid w:val="00384125"/>
    <w:rsid w:val="00385A8D"/>
    <w:rsid w:val="00386345"/>
    <w:rsid w:val="00386755"/>
    <w:rsid w:val="00387255"/>
    <w:rsid w:val="00387554"/>
    <w:rsid w:val="00387F56"/>
    <w:rsid w:val="00391C4A"/>
    <w:rsid w:val="00391EF5"/>
    <w:rsid w:val="003942B3"/>
    <w:rsid w:val="003960F5"/>
    <w:rsid w:val="00397C99"/>
    <w:rsid w:val="00397F30"/>
    <w:rsid w:val="003A0056"/>
    <w:rsid w:val="003A03E7"/>
    <w:rsid w:val="003A42E3"/>
    <w:rsid w:val="003A4543"/>
    <w:rsid w:val="003A4FFB"/>
    <w:rsid w:val="003A5626"/>
    <w:rsid w:val="003A6CF5"/>
    <w:rsid w:val="003B021C"/>
    <w:rsid w:val="003B07EA"/>
    <w:rsid w:val="003B0E7D"/>
    <w:rsid w:val="003B1AFE"/>
    <w:rsid w:val="003B1B00"/>
    <w:rsid w:val="003B20BA"/>
    <w:rsid w:val="003B4D9B"/>
    <w:rsid w:val="003B4F19"/>
    <w:rsid w:val="003B52C8"/>
    <w:rsid w:val="003B54ED"/>
    <w:rsid w:val="003C174F"/>
    <w:rsid w:val="003C2635"/>
    <w:rsid w:val="003C30C0"/>
    <w:rsid w:val="003C3C50"/>
    <w:rsid w:val="003C4703"/>
    <w:rsid w:val="003C53A1"/>
    <w:rsid w:val="003C5872"/>
    <w:rsid w:val="003C5A9D"/>
    <w:rsid w:val="003C6573"/>
    <w:rsid w:val="003D212B"/>
    <w:rsid w:val="003D33D2"/>
    <w:rsid w:val="003D3C6C"/>
    <w:rsid w:val="003D738F"/>
    <w:rsid w:val="003E026F"/>
    <w:rsid w:val="003E0D40"/>
    <w:rsid w:val="003E23B5"/>
    <w:rsid w:val="003E2FD3"/>
    <w:rsid w:val="003E300B"/>
    <w:rsid w:val="003E3BA2"/>
    <w:rsid w:val="003E55A3"/>
    <w:rsid w:val="003E5B01"/>
    <w:rsid w:val="003E64E3"/>
    <w:rsid w:val="003E6904"/>
    <w:rsid w:val="003F0709"/>
    <w:rsid w:val="003F0986"/>
    <w:rsid w:val="003F2690"/>
    <w:rsid w:val="003F3C18"/>
    <w:rsid w:val="003F5467"/>
    <w:rsid w:val="003F5809"/>
    <w:rsid w:val="003F7774"/>
    <w:rsid w:val="00401AA5"/>
    <w:rsid w:val="00402C2D"/>
    <w:rsid w:val="00402CB0"/>
    <w:rsid w:val="0040330D"/>
    <w:rsid w:val="00403677"/>
    <w:rsid w:val="00403BA1"/>
    <w:rsid w:val="00403D68"/>
    <w:rsid w:val="00411A6F"/>
    <w:rsid w:val="004134BF"/>
    <w:rsid w:val="00414083"/>
    <w:rsid w:val="0041460C"/>
    <w:rsid w:val="004154E1"/>
    <w:rsid w:val="00416027"/>
    <w:rsid w:val="00416994"/>
    <w:rsid w:val="004208D1"/>
    <w:rsid w:val="004211CF"/>
    <w:rsid w:val="00421E9B"/>
    <w:rsid w:val="004220A9"/>
    <w:rsid w:val="004226D1"/>
    <w:rsid w:val="00423395"/>
    <w:rsid w:val="0042449A"/>
    <w:rsid w:val="00424E53"/>
    <w:rsid w:val="00425E34"/>
    <w:rsid w:val="00425F48"/>
    <w:rsid w:val="00427CD8"/>
    <w:rsid w:val="00431331"/>
    <w:rsid w:val="00433FC5"/>
    <w:rsid w:val="00434052"/>
    <w:rsid w:val="00434C35"/>
    <w:rsid w:val="00436142"/>
    <w:rsid w:val="00436EDB"/>
    <w:rsid w:val="00442282"/>
    <w:rsid w:val="00442C43"/>
    <w:rsid w:val="0044491D"/>
    <w:rsid w:val="00444ED4"/>
    <w:rsid w:val="00444F82"/>
    <w:rsid w:val="004457AD"/>
    <w:rsid w:val="00445D3E"/>
    <w:rsid w:val="00446A5C"/>
    <w:rsid w:val="00446F9F"/>
    <w:rsid w:val="00447F7C"/>
    <w:rsid w:val="00450172"/>
    <w:rsid w:val="00450B4A"/>
    <w:rsid w:val="00452FE0"/>
    <w:rsid w:val="00453B9D"/>
    <w:rsid w:val="00453C4E"/>
    <w:rsid w:val="00453D42"/>
    <w:rsid w:val="004553E6"/>
    <w:rsid w:val="0045677F"/>
    <w:rsid w:val="00457D02"/>
    <w:rsid w:val="0046039E"/>
    <w:rsid w:val="00460526"/>
    <w:rsid w:val="004616EC"/>
    <w:rsid w:val="004622E6"/>
    <w:rsid w:val="0046283B"/>
    <w:rsid w:val="00462F90"/>
    <w:rsid w:val="00463F93"/>
    <w:rsid w:val="00464559"/>
    <w:rsid w:val="004651D9"/>
    <w:rsid w:val="0046647C"/>
    <w:rsid w:val="0046650F"/>
    <w:rsid w:val="00466703"/>
    <w:rsid w:val="00466D40"/>
    <w:rsid w:val="0046770A"/>
    <w:rsid w:val="0046777C"/>
    <w:rsid w:val="00467965"/>
    <w:rsid w:val="0047131F"/>
    <w:rsid w:val="00472132"/>
    <w:rsid w:val="00472E72"/>
    <w:rsid w:val="0047304D"/>
    <w:rsid w:val="0047337E"/>
    <w:rsid w:val="00474083"/>
    <w:rsid w:val="00475F45"/>
    <w:rsid w:val="00476010"/>
    <w:rsid w:val="004765D5"/>
    <w:rsid w:val="004822DF"/>
    <w:rsid w:val="00482D4D"/>
    <w:rsid w:val="004834D3"/>
    <w:rsid w:val="004845AD"/>
    <w:rsid w:val="0048474A"/>
    <w:rsid w:val="004855C5"/>
    <w:rsid w:val="00486E27"/>
    <w:rsid w:val="004874F8"/>
    <w:rsid w:val="00487B92"/>
    <w:rsid w:val="004905E5"/>
    <w:rsid w:val="00491FE3"/>
    <w:rsid w:val="004922F2"/>
    <w:rsid w:val="0049245B"/>
    <w:rsid w:val="00492E96"/>
    <w:rsid w:val="00493096"/>
    <w:rsid w:val="0049417A"/>
    <w:rsid w:val="0049630E"/>
    <w:rsid w:val="00496D68"/>
    <w:rsid w:val="004973A8"/>
    <w:rsid w:val="004A174D"/>
    <w:rsid w:val="004A2F99"/>
    <w:rsid w:val="004A35A1"/>
    <w:rsid w:val="004A3F87"/>
    <w:rsid w:val="004A4C05"/>
    <w:rsid w:val="004A6240"/>
    <w:rsid w:val="004A66B5"/>
    <w:rsid w:val="004A6DEA"/>
    <w:rsid w:val="004B0649"/>
    <w:rsid w:val="004B23B6"/>
    <w:rsid w:val="004B390F"/>
    <w:rsid w:val="004B61E1"/>
    <w:rsid w:val="004B65D8"/>
    <w:rsid w:val="004B79A2"/>
    <w:rsid w:val="004C14F7"/>
    <w:rsid w:val="004C1E83"/>
    <w:rsid w:val="004C2C3D"/>
    <w:rsid w:val="004C3C1A"/>
    <w:rsid w:val="004C5735"/>
    <w:rsid w:val="004C5C27"/>
    <w:rsid w:val="004C722F"/>
    <w:rsid w:val="004D25C8"/>
    <w:rsid w:val="004D3A5A"/>
    <w:rsid w:val="004D4ABE"/>
    <w:rsid w:val="004D7CFC"/>
    <w:rsid w:val="004E0BFA"/>
    <w:rsid w:val="004E0F58"/>
    <w:rsid w:val="004E2277"/>
    <w:rsid w:val="004E3A22"/>
    <w:rsid w:val="004E4B20"/>
    <w:rsid w:val="004E55C9"/>
    <w:rsid w:val="004E56FA"/>
    <w:rsid w:val="004E7725"/>
    <w:rsid w:val="004E7A15"/>
    <w:rsid w:val="004F4B43"/>
    <w:rsid w:val="004F6DB2"/>
    <w:rsid w:val="004F70DF"/>
    <w:rsid w:val="00502C26"/>
    <w:rsid w:val="00504197"/>
    <w:rsid w:val="00504466"/>
    <w:rsid w:val="005054C2"/>
    <w:rsid w:val="0050565C"/>
    <w:rsid w:val="00505D2A"/>
    <w:rsid w:val="00507246"/>
    <w:rsid w:val="00507DDE"/>
    <w:rsid w:val="00510063"/>
    <w:rsid w:val="0051041B"/>
    <w:rsid w:val="00511305"/>
    <w:rsid w:val="0051254B"/>
    <w:rsid w:val="00514411"/>
    <w:rsid w:val="00514595"/>
    <w:rsid w:val="005154B1"/>
    <w:rsid w:val="00515525"/>
    <w:rsid w:val="005175E9"/>
    <w:rsid w:val="00520470"/>
    <w:rsid w:val="00521DF5"/>
    <w:rsid w:val="005220A3"/>
    <w:rsid w:val="00522E71"/>
    <w:rsid w:val="00523DFE"/>
    <w:rsid w:val="00523F23"/>
    <w:rsid w:val="00523F31"/>
    <w:rsid w:val="00524899"/>
    <w:rsid w:val="00525370"/>
    <w:rsid w:val="00526235"/>
    <w:rsid w:val="0052672F"/>
    <w:rsid w:val="00526EA0"/>
    <w:rsid w:val="0052740F"/>
    <w:rsid w:val="00527FA9"/>
    <w:rsid w:val="00531E56"/>
    <w:rsid w:val="0053562E"/>
    <w:rsid w:val="00535FBD"/>
    <w:rsid w:val="00536C90"/>
    <w:rsid w:val="00537533"/>
    <w:rsid w:val="00541340"/>
    <w:rsid w:val="0054187E"/>
    <w:rsid w:val="005427EF"/>
    <w:rsid w:val="0054377F"/>
    <w:rsid w:val="00544174"/>
    <w:rsid w:val="005441E4"/>
    <w:rsid w:val="0054458F"/>
    <w:rsid w:val="00544CC3"/>
    <w:rsid w:val="00547002"/>
    <w:rsid w:val="00547967"/>
    <w:rsid w:val="00547AC2"/>
    <w:rsid w:val="00552A9D"/>
    <w:rsid w:val="00553B65"/>
    <w:rsid w:val="00554EDE"/>
    <w:rsid w:val="005553D1"/>
    <w:rsid w:val="00555487"/>
    <w:rsid w:val="00555511"/>
    <w:rsid w:val="005555C2"/>
    <w:rsid w:val="0055654F"/>
    <w:rsid w:val="00556AC1"/>
    <w:rsid w:val="00560E1F"/>
    <w:rsid w:val="00561950"/>
    <w:rsid w:val="00561AEE"/>
    <w:rsid w:val="0056201B"/>
    <w:rsid w:val="00562417"/>
    <w:rsid w:val="00562892"/>
    <w:rsid w:val="005634D9"/>
    <w:rsid w:val="00563ABE"/>
    <w:rsid w:val="005651AB"/>
    <w:rsid w:val="00565EFF"/>
    <w:rsid w:val="00570FA9"/>
    <w:rsid w:val="00571478"/>
    <w:rsid w:val="005714E9"/>
    <w:rsid w:val="00572363"/>
    <w:rsid w:val="00572B0E"/>
    <w:rsid w:val="00572C8D"/>
    <w:rsid w:val="00572E55"/>
    <w:rsid w:val="005735C3"/>
    <w:rsid w:val="005736C6"/>
    <w:rsid w:val="00573993"/>
    <w:rsid w:val="005773A0"/>
    <w:rsid w:val="00580780"/>
    <w:rsid w:val="00580BE7"/>
    <w:rsid w:val="00580C09"/>
    <w:rsid w:val="00580D55"/>
    <w:rsid w:val="005814DC"/>
    <w:rsid w:val="00581580"/>
    <w:rsid w:val="00581B3F"/>
    <w:rsid w:val="0058254B"/>
    <w:rsid w:val="00582E55"/>
    <w:rsid w:val="005835F0"/>
    <w:rsid w:val="00584437"/>
    <w:rsid w:val="00584C5E"/>
    <w:rsid w:val="0058684A"/>
    <w:rsid w:val="00586AE0"/>
    <w:rsid w:val="005879C1"/>
    <w:rsid w:val="0059034F"/>
    <w:rsid w:val="00590C45"/>
    <w:rsid w:val="00590C9A"/>
    <w:rsid w:val="005916E5"/>
    <w:rsid w:val="00591F1E"/>
    <w:rsid w:val="00592298"/>
    <w:rsid w:val="0059240F"/>
    <w:rsid w:val="005925ED"/>
    <w:rsid w:val="0059326E"/>
    <w:rsid w:val="0059661D"/>
    <w:rsid w:val="00597477"/>
    <w:rsid w:val="00597E8F"/>
    <w:rsid w:val="00597F48"/>
    <w:rsid w:val="005A007F"/>
    <w:rsid w:val="005A02D9"/>
    <w:rsid w:val="005A08BC"/>
    <w:rsid w:val="005A1BD5"/>
    <w:rsid w:val="005A4D1B"/>
    <w:rsid w:val="005A604C"/>
    <w:rsid w:val="005A6E4A"/>
    <w:rsid w:val="005B19AE"/>
    <w:rsid w:val="005B30FA"/>
    <w:rsid w:val="005B3505"/>
    <w:rsid w:val="005B3870"/>
    <w:rsid w:val="005B3F10"/>
    <w:rsid w:val="005B3F23"/>
    <w:rsid w:val="005B3F39"/>
    <w:rsid w:val="005B481E"/>
    <w:rsid w:val="005B4A34"/>
    <w:rsid w:val="005B63F3"/>
    <w:rsid w:val="005B7CBF"/>
    <w:rsid w:val="005C15B1"/>
    <w:rsid w:val="005C444A"/>
    <w:rsid w:val="005C54B0"/>
    <w:rsid w:val="005C6333"/>
    <w:rsid w:val="005C659C"/>
    <w:rsid w:val="005C740C"/>
    <w:rsid w:val="005C7846"/>
    <w:rsid w:val="005D014A"/>
    <w:rsid w:val="005D0984"/>
    <w:rsid w:val="005D0B31"/>
    <w:rsid w:val="005D125D"/>
    <w:rsid w:val="005D1428"/>
    <w:rsid w:val="005D22DF"/>
    <w:rsid w:val="005D23D9"/>
    <w:rsid w:val="005D28BF"/>
    <w:rsid w:val="005D33C9"/>
    <w:rsid w:val="005D3CE0"/>
    <w:rsid w:val="005D48D8"/>
    <w:rsid w:val="005D561A"/>
    <w:rsid w:val="005D5769"/>
    <w:rsid w:val="005D57C5"/>
    <w:rsid w:val="005D6554"/>
    <w:rsid w:val="005D6F11"/>
    <w:rsid w:val="005D72B5"/>
    <w:rsid w:val="005D7BAE"/>
    <w:rsid w:val="005E0F55"/>
    <w:rsid w:val="005E168B"/>
    <w:rsid w:val="005E3CD0"/>
    <w:rsid w:val="005E3FAA"/>
    <w:rsid w:val="005E4931"/>
    <w:rsid w:val="005E4E7D"/>
    <w:rsid w:val="005E557E"/>
    <w:rsid w:val="005E59B0"/>
    <w:rsid w:val="005E5FA4"/>
    <w:rsid w:val="005E66EA"/>
    <w:rsid w:val="005E6D27"/>
    <w:rsid w:val="005E71C4"/>
    <w:rsid w:val="005E751A"/>
    <w:rsid w:val="005E7D20"/>
    <w:rsid w:val="005F012F"/>
    <w:rsid w:val="005F0AB9"/>
    <w:rsid w:val="005F0ED6"/>
    <w:rsid w:val="005F14BF"/>
    <w:rsid w:val="005F20F2"/>
    <w:rsid w:val="005F24C0"/>
    <w:rsid w:val="005F2579"/>
    <w:rsid w:val="005F269E"/>
    <w:rsid w:val="005F3E18"/>
    <w:rsid w:val="005F414D"/>
    <w:rsid w:val="005F5745"/>
    <w:rsid w:val="005F5CC1"/>
    <w:rsid w:val="006020BF"/>
    <w:rsid w:val="00602308"/>
    <w:rsid w:val="00602334"/>
    <w:rsid w:val="00602CC7"/>
    <w:rsid w:val="006040E0"/>
    <w:rsid w:val="006046B5"/>
    <w:rsid w:val="006056DC"/>
    <w:rsid w:val="00605751"/>
    <w:rsid w:val="00605BCA"/>
    <w:rsid w:val="00606319"/>
    <w:rsid w:val="006075B0"/>
    <w:rsid w:val="006075BE"/>
    <w:rsid w:val="00607967"/>
    <w:rsid w:val="00613D9C"/>
    <w:rsid w:val="00614695"/>
    <w:rsid w:val="00621374"/>
    <w:rsid w:val="006246D9"/>
    <w:rsid w:val="00624865"/>
    <w:rsid w:val="00625C6E"/>
    <w:rsid w:val="0063011C"/>
    <w:rsid w:val="0063023F"/>
    <w:rsid w:val="006306EF"/>
    <w:rsid w:val="00630C76"/>
    <w:rsid w:val="006314CD"/>
    <w:rsid w:val="0063181D"/>
    <w:rsid w:val="00632DFE"/>
    <w:rsid w:val="00634BC2"/>
    <w:rsid w:val="00636C4F"/>
    <w:rsid w:val="0064160D"/>
    <w:rsid w:val="00642595"/>
    <w:rsid w:val="0064354E"/>
    <w:rsid w:val="00644053"/>
    <w:rsid w:val="0064436C"/>
    <w:rsid w:val="00645966"/>
    <w:rsid w:val="00646319"/>
    <w:rsid w:val="006464D0"/>
    <w:rsid w:val="00650412"/>
    <w:rsid w:val="00650EDD"/>
    <w:rsid w:val="00651886"/>
    <w:rsid w:val="006523CC"/>
    <w:rsid w:val="00652955"/>
    <w:rsid w:val="006537F2"/>
    <w:rsid w:val="00653FF9"/>
    <w:rsid w:val="006542BD"/>
    <w:rsid w:val="00654E22"/>
    <w:rsid w:val="00655B11"/>
    <w:rsid w:val="00656574"/>
    <w:rsid w:val="006569A4"/>
    <w:rsid w:val="006600A7"/>
    <w:rsid w:val="0066049D"/>
    <w:rsid w:val="006623FA"/>
    <w:rsid w:val="00664062"/>
    <w:rsid w:val="00664B56"/>
    <w:rsid w:val="00664F94"/>
    <w:rsid w:val="00665C1D"/>
    <w:rsid w:val="00666D2F"/>
    <w:rsid w:val="00667A33"/>
    <w:rsid w:val="00667DC8"/>
    <w:rsid w:val="006705BC"/>
    <w:rsid w:val="006712D1"/>
    <w:rsid w:val="0067190A"/>
    <w:rsid w:val="00671D10"/>
    <w:rsid w:val="0067335D"/>
    <w:rsid w:val="00676520"/>
    <w:rsid w:val="0067782B"/>
    <w:rsid w:val="00677EA0"/>
    <w:rsid w:val="006800A9"/>
    <w:rsid w:val="0068131E"/>
    <w:rsid w:val="00683890"/>
    <w:rsid w:val="00685434"/>
    <w:rsid w:val="00685C1A"/>
    <w:rsid w:val="006869AA"/>
    <w:rsid w:val="0068780A"/>
    <w:rsid w:val="0068796F"/>
    <w:rsid w:val="006903A7"/>
    <w:rsid w:val="0069048A"/>
    <w:rsid w:val="00690496"/>
    <w:rsid w:val="00694DFE"/>
    <w:rsid w:val="00695D46"/>
    <w:rsid w:val="00695FBE"/>
    <w:rsid w:val="006960D9"/>
    <w:rsid w:val="006976BF"/>
    <w:rsid w:val="00697A3D"/>
    <w:rsid w:val="006A0091"/>
    <w:rsid w:val="006A1930"/>
    <w:rsid w:val="006A2C7F"/>
    <w:rsid w:val="006A3CB0"/>
    <w:rsid w:val="006A4304"/>
    <w:rsid w:val="006A48C3"/>
    <w:rsid w:val="006A49EA"/>
    <w:rsid w:val="006A4C4D"/>
    <w:rsid w:val="006A596B"/>
    <w:rsid w:val="006A7AEF"/>
    <w:rsid w:val="006B217B"/>
    <w:rsid w:val="006B2FD2"/>
    <w:rsid w:val="006B5640"/>
    <w:rsid w:val="006B625B"/>
    <w:rsid w:val="006C185D"/>
    <w:rsid w:val="006C1E41"/>
    <w:rsid w:val="006C2A3A"/>
    <w:rsid w:val="006C44A6"/>
    <w:rsid w:val="006C5252"/>
    <w:rsid w:val="006C557F"/>
    <w:rsid w:val="006C6DE8"/>
    <w:rsid w:val="006D0C63"/>
    <w:rsid w:val="006D1146"/>
    <w:rsid w:val="006D192A"/>
    <w:rsid w:val="006D197E"/>
    <w:rsid w:val="006D20F8"/>
    <w:rsid w:val="006D21C8"/>
    <w:rsid w:val="006D2D69"/>
    <w:rsid w:val="006D3C59"/>
    <w:rsid w:val="006D425C"/>
    <w:rsid w:val="006D4361"/>
    <w:rsid w:val="006D45EF"/>
    <w:rsid w:val="006D4A74"/>
    <w:rsid w:val="006D55F8"/>
    <w:rsid w:val="006D560B"/>
    <w:rsid w:val="006D5E01"/>
    <w:rsid w:val="006D5EB1"/>
    <w:rsid w:val="006D6597"/>
    <w:rsid w:val="006D7316"/>
    <w:rsid w:val="006D7958"/>
    <w:rsid w:val="006E25CD"/>
    <w:rsid w:val="006E2EE5"/>
    <w:rsid w:val="006E2F6E"/>
    <w:rsid w:val="006E31FC"/>
    <w:rsid w:val="006E3753"/>
    <w:rsid w:val="006E43D8"/>
    <w:rsid w:val="006E6366"/>
    <w:rsid w:val="006E6A4B"/>
    <w:rsid w:val="006E742D"/>
    <w:rsid w:val="006F025B"/>
    <w:rsid w:val="006F0D80"/>
    <w:rsid w:val="006F2322"/>
    <w:rsid w:val="006F2CF7"/>
    <w:rsid w:val="006F4526"/>
    <w:rsid w:val="006F5054"/>
    <w:rsid w:val="006F6D61"/>
    <w:rsid w:val="00700537"/>
    <w:rsid w:val="00701542"/>
    <w:rsid w:val="00701EFB"/>
    <w:rsid w:val="00702402"/>
    <w:rsid w:val="00702683"/>
    <w:rsid w:val="00702766"/>
    <w:rsid w:val="00703C49"/>
    <w:rsid w:val="00706025"/>
    <w:rsid w:val="007107EC"/>
    <w:rsid w:val="00710BB2"/>
    <w:rsid w:val="0071129D"/>
    <w:rsid w:val="00711877"/>
    <w:rsid w:val="0071570F"/>
    <w:rsid w:val="00715D51"/>
    <w:rsid w:val="00715FC1"/>
    <w:rsid w:val="00716139"/>
    <w:rsid w:val="0071761B"/>
    <w:rsid w:val="00721F16"/>
    <w:rsid w:val="007220A2"/>
    <w:rsid w:val="00722AA3"/>
    <w:rsid w:val="00725988"/>
    <w:rsid w:val="00726292"/>
    <w:rsid w:val="00726E3C"/>
    <w:rsid w:val="00726F4F"/>
    <w:rsid w:val="00727359"/>
    <w:rsid w:val="00727560"/>
    <w:rsid w:val="007279A4"/>
    <w:rsid w:val="0073088E"/>
    <w:rsid w:val="00732B4E"/>
    <w:rsid w:val="00733B84"/>
    <w:rsid w:val="007349A4"/>
    <w:rsid w:val="00734A5E"/>
    <w:rsid w:val="00735698"/>
    <w:rsid w:val="00735815"/>
    <w:rsid w:val="00735DC6"/>
    <w:rsid w:val="00736427"/>
    <w:rsid w:val="00736F99"/>
    <w:rsid w:val="007370AA"/>
    <w:rsid w:val="00737B2E"/>
    <w:rsid w:val="00741E00"/>
    <w:rsid w:val="00742289"/>
    <w:rsid w:val="00742A0E"/>
    <w:rsid w:val="0074356F"/>
    <w:rsid w:val="00743F61"/>
    <w:rsid w:val="007445AD"/>
    <w:rsid w:val="007447DD"/>
    <w:rsid w:val="00744D61"/>
    <w:rsid w:val="007453FE"/>
    <w:rsid w:val="00745708"/>
    <w:rsid w:val="007466E1"/>
    <w:rsid w:val="007502BF"/>
    <w:rsid w:val="00750CDE"/>
    <w:rsid w:val="00752FE1"/>
    <w:rsid w:val="00754D27"/>
    <w:rsid w:val="00755581"/>
    <w:rsid w:val="00756102"/>
    <w:rsid w:val="00756401"/>
    <w:rsid w:val="007569EE"/>
    <w:rsid w:val="00757220"/>
    <w:rsid w:val="0076035A"/>
    <w:rsid w:val="00761478"/>
    <w:rsid w:val="00761A2D"/>
    <w:rsid w:val="00761DFB"/>
    <w:rsid w:val="00762CF1"/>
    <w:rsid w:val="00764209"/>
    <w:rsid w:val="00764E99"/>
    <w:rsid w:val="00767E7E"/>
    <w:rsid w:val="00770704"/>
    <w:rsid w:val="00771868"/>
    <w:rsid w:val="00772020"/>
    <w:rsid w:val="00772779"/>
    <w:rsid w:val="0077309D"/>
    <w:rsid w:val="0077459E"/>
    <w:rsid w:val="00775908"/>
    <w:rsid w:val="0077610A"/>
    <w:rsid w:val="00776532"/>
    <w:rsid w:val="007765D2"/>
    <w:rsid w:val="00776A68"/>
    <w:rsid w:val="00780337"/>
    <w:rsid w:val="00781C46"/>
    <w:rsid w:val="0078206D"/>
    <w:rsid w:val="00782253"/>
    <w:rsid w:val="0078325A"/>
    <w:rsid w:val="0078552C"/>
    <w:rsid w:val="00785A2F"/>
    <w:rsid w:val="00790F4D"/>
    <w:rsid w:val="00791EEE"/>
    <w:rsid w:val="00792392"/>
    <w:rsid w:val="00792EBB"/>
    <w:rsid w:val="007933DA"/>
    <w:rsid w:val="00794730"/>
    <w:rsid w:val="0079485C"/>
    <w:rsid w:val="00794A8D"/>
    <w:rsid w:val="007959CF"/>
    <w:rsid w:val="007967AA"/>
    <w:rsid w:val="00796DDE"/>
    <w:rsid w:val="00797378"/>
    <w:rsid w:val="007A04FE"/>
    <w:rsid w:val="007A3145"/>
    <w:rsid w:val="007A496A"/>
    <w:rsid w:val="007A4F9F"/>
    <w:rsid w:val="007A68DB"/>
    <w:rsid w:val="007A6C83"/>
    <w:rsid w:val="007A6E23"/>
    <w:rsid w:val="007A6FEB"/>
    <w:rsid w:val="007A76C6"/>
    <w:rsid w:val="007A7794"/>
    <w:rsid w:val="007B0932"/>
    <w:rsid w:val="007B1523"/>
    <w:rsid w:val="007B1672"/>
    <w:rsid w:val="007B2EAF"/>
    <w:rsid w:val="007B3BB6"/>
    <w:rsid w:val="007B3DB3"/>
    <w:rsid w:val="007B3DEB"/>
    <w:rsid w:val="007B3ED5"/>
    <w:rsid w:val="007B492F"/>
    <w:rsid w:val="007B5593"/>
    <w:rsid w:val="007B7425"/>
    <w:rsid w:val="007B7900"/>
    <w:rsid w:val="007B7FCB"/>
    <w:rsid w:val="007C1041"/>
    <w:rsid w:val="007C3F6C"/>
    <w:rsid w:val="007C43CE"/>
    <w:rsid w:val="007C4C61"/>
    <w:rsid w:val="007D5364"/>
    <w:rsid w:val="007D6E93"/>
    <w:rsid w:val="007E094D"/>
    <w:rsid w:val="007E2860"/>
    <w:rsid w:val="007E2FB5"/>
    <w:rsid w:val="007E3103"/>
    <w:rsid w:val="007E3B10"/>
    <w:rsid w:val="007E4C83"/>
    <w:rsid w:val="007E63DA"/>
    <w:rsid w:val="007E687F"/>
    <w:rsid w:val="007E6E7E"/>
    <w:rsid w:val="007E7134"/>
    <w:rsid w:val="007E7697"/>
    <w:rsid w:val="007F1258"/>
    <w:rsid w:val="007F29F6"/>
    <w:rsid w:val="007F49E0"/>
    <w:rsid w:val="007F54CE"/>
    <w:rsid w:val="007F54E7"/>
    <w:rsid w:val="007F5795"/>
    <w:rsid w:val="007F5A51"/>
    <w:rsid w:val="007F7E25"/>
    <w:rsid w:val="008035F0"/>
    <w:rsid w:val="00805226"/>
    <w:rsid w:val="00806D2B"/>
    <w:rsid w:val="008104DC"/>
    <w:rsid w:val="0081050B"/>
    <w:rsid w:val="00810685"/>
    <w:rsid w:val="0081146B"/>
    <w:rsid w:val="008116E0"/>
    <w:rsid w:val="008117C1"/>
    <w:rsid w:val="00812372"/>
    <w:rsid w:val="00813C49"/>
    <w:rsid w:val="00814186"/>
    <w:rsid w:val="008141D2"/>
    <w:rsid w:val="0081440B"/>
    <w:rsid w:val="008149CC"/>
    <w:rsid w:val="00821463"/>
    <w:rsid w:val="00821A5D"/>
    <w:rsid w:val="00821BB6"/>
    <w:rsid w:val="00822CF5"/>
    <w:rsid w:val="008239EC"/>
    <w:rsid w:val="008242C3"/>
    <w:rsid w:val="00824300"/>
    <w:rsid w:val="00824746"/>
    <w:rsid w:val="00825BA2"/>
    <w:rsid w:val="00825BFB"/>
    <w:rsid w:val="008313B0"/>
    <w:rsid w:val="008317BF"/>
    <w:rsid w:val="00831E34"/>
    <w:rsid w:val="00832AD6"/>
    <w:rsid w:val="008345F4"/>
    <w:rsid w:val="008358E0"/>
    <w:rsid w:val="00837324"/>
    <w:rsid w:val="00840DDC"/>
    <w:rsid w:val="00841F13"/>
    <w:rsid w:val="00843135"/>
    <w:rsid w:val="008431ED"/>
    <w:rsid w:val="00843461"/>
    <w:rsid w:val="00843E0E"/>
    <w:rsid w:val="008440F9"/>
    <w:rsid w:val="00844E6F"/>
    <w:rsid w:val="00845319"/>
    <w:rsid w:val="00845479"/>
    <w:rsid w:val="00845BC5"/>
    <w:rsid w:val="008520C1"/>
    <w:rsid w:val="008532C6"/>
    <w:rsid w:val="00855327"/>
    <w:rsid w:val="0085552B"/>
    <w:rsid w:val="008560E4"/>
    <w:rsid w:val="00860026"/>
    <w:rsid w:val="0086089A"/>
    <w:rsid w:val="008614B8"/>
    <w:rsid w:val="00862F0A"/>
    <w:rsid w:val="008642CA"/>
    <w:rsid w:val="0086525B"/>
    <w:rsid w:val="008660FD"/>
    <w:rsid w:val="00870209"/>
    <w:rsid w:val="00872476"/>
    <w:rsid w:val="00872D06"/>
    <w:rsid w:val="00873BD9"/>
    <w:rsid w:val="008748FD"/>
    <w:rsid w:val="008754E6"/>
    <w:rsid w:val="00876675"/>
    <w:rsid w:val="008802CE"/>
    <w:rsid w:val="008803A8"/>
    <w:rsid w:val="008812B7"/>
    <w:rsid w:val="008817F0"/>
    <w:rsid w:val="00882333"/>
    <w:rsid w:val="00882BDA"/>
    <w:rsid w:val="00882D11"/>
    <w:rsid w:val="00882F80"/>
    <w:rsid w:val="008838FA"/>
    <w:rsid w:val="00883D0D"/>
    <w:rsid w:val="00884057"/>
    <w:rsid w:val="00884BFD"/>
    <w:rsid w:val="00885284"/>
    <w:rsid w:val="008855FB"/>
    <w:rsid w:val="008868B6"/>
    <w:rsid w:val="00886B3C"/>
    <w:rsid w:val="0088748F"/>
    <w:rsid w:val="00887BB1"/>
    <w:rsid w:val="00887E4C"/>
    <w:rsid w:val="00890169"/>
    <w:rsid w:val="0089224F"/>
    <w:rsid w:val="00893D72"/>
    <w:rsid w:val="008941DD"/>
    <w:rsid w:val="00894BB4"/>
    <w:rsid w:val="00897111"/>
    <w:rsid w:val="008972F7"/>
    <w:rsid w:val="008A0F5A"/>
    <w:rsid w:val="008A13C8"/>
    <w:rsid w:val="008A1488"/>
    <w:rsid w:val="008A1BCA"/>
    <w:rsid w:val="008A325E"/>
    <w:rsid w:val="008A4126"/>
    <w:rsid w:val="008A4F01"/>
    <w:rsid w:val="008B0B64"/>
    <w:rsid w:val="008B197A"/>
    <w:rsid w:val="008B27DC"/>
    <w:rsid w:val="008B2929"/>
    <w:rsid w:val="008B3C21"/>
    <w:rsid w:val="008B407E"/>
    <w:rsid w:val="008B4FC8"/>
    <w:rsid w:val="008B5857"/>
    <w:rsid w:val="008B5B88"/>
    <w:rsid w:val="008B7087"/>
    <w:rsid w:val="008B7BA0"/>
    <w:rsid w:val="008C2A32"/>
    <w:rsid w:val="008C2B9D"/>
    <w:rsid w:val="008C3038"/>
    <w:rsid w:val="008C3604"/>
    <w:rsid w:val="008C5292"/>
    <w:rsid w:val="008D0779"/>
    <w:rsid w:val="008D1073"/>
    <w:rsid w:val="008D10B4"/>
    <w:rsid w:val="008D18F3"/>
    <w:rsid w:val="008D3A09"/>
    <w:rsid w:val="008D619E"/>
    <w:rsid w:val="008D6304"/>
    <w:rsid w:val="008D68F6"/>
    <w:rsid w:val="008E044F"/>
    <w:rsid w:val="008E0A8A"/>
    <w:rsid w:val="008E0DCD"/>
    <w:rsid w:val="008E1F48"/>
    <w:rsid w:val="008E2AF5"/>
    <w:rsid w:val="008E4839"/>
    <w:rsid w:val="008E4FC0"/>
    <w:rsid w:val="008E6420"/>
    <w:rsid w:val="008E75C3"/>
    <w:rsid w:val="008E7C66"/>
    <w:rsid w:val="008F08A6"/>
    <w:rsid w:val="008F0E75"/>
    <w:rsid w:val="008F16B4"/>
    <w:rsid w:val="008F16BC"/>
    <w:rsid w:val="008F1E50"/>
    <w:rsid w:val="008F3179"/>
    <w:rsid w:val="008F4576"/>
    <w:rsid w:val="008F466E"/>
    <w:rsid w:val="008F46F4"/>
    <w:rsid w:val="008F5368"/>
    <w:rsid w:val="008F6451"/>
    <w:rsid w:val="008F7250"/>
    <w:rsid w:val="008F76AE"/>
    <w:rsid w:val="0090187D"/>
    <w:rsid w:val="00901F0B"/>
    <w:rsid w:val="0090240E"/>
    <w:rsid w:val="00903FC9"/>
    <w:rsid w:val="00904B35"/>
    <w:rsid w:val="00905733"/>
    <w:rsid w:val="00905E30"/>
    <w:rsid w:val="009072B3"/>
    <w:rsid w:val="00907A1C"/>
    <w:rsid w:val="00907F99"/>
    <w:rsid w:val="00910BB3"/>
    <w:rsid w:val="00914526"/>
    <w:rsid w:val="00914C08"/>
    <w:rsid w:val="00916055"/>
    <w:rsid w:val="00916744"/>
    <w:rsid w:val="00916ECB"/>
    <w:rsid w:val="0091766A"/>
    <w:rsid w:val="0092141B"/>
    <w:rsid w:val="00921CE5"/>
    <w:rsid w:val="00922E60"/>
    <w:rsid w:val="009231E0"/>
    <w:rsid w:val="009244CC"/>
    <w:rsid w:val="00925C8E"/>
    <w:rsid w:val="0092618D"/>
    <w:rsid w:val="00926BD6"/>
    <w:rsid w:val="00930045"/>
    <w:rsid w:val="00931350"/>
    <w:rsid w:val="00931880"/>
    <w:rsid w:val="00931E1D"/>
    <w:rsid w:val="00933193"/>
    <w:rsid w:val="00934030"/>
    <w:rsid w:val="00934594"/>
    <w:rsid w:val="009348DC"/>
    <w:rsid w:val="00935465"/>
    <w:rsid w:val="009355A7"/>
    <w:rsid w:val="00935FBD"/>
    <w:rsid w:val="0093621E"/>
    <w:rsid w:val="009402FD"/>
    <w:rsid w:val="00943399"/>
    <w:rsid w:val="009435DF"/>
    <w:rsid w:val="00944D04"/>
    <w:rsid w:val="0094515B"/>
    <w:rsid w:val="00945DB5"/>
    <w:rsid w:val="00945E4D"/>
    <w:rsid w:val="00952820"/>
    <w:rsid w:val="0095417F"/>
    <w:rsid w:val="009554C2"/>
    <w:rsid w:val="0095629F"/>
    <w:rsid w:val="009562D8"/>
    <w:rsid w:val="0095643D"/>
    <w:rsid w:val="00956CA8"/>
    <w:rsid w:val="00960069"/>
    <w:rsid w:val="00960DAC"/>
    <w:rsid w:val="009614E2"/>
    <w:rsid w:val="0096199F"/>
    <w:rsid w:val="00963C4A"/>
    <w:rsid w:val="00964B19"/>
    <w:rsid w:val="0096545E"/>
    <w:rsid w:val="00966353"/>
    <w:rsid w:val="00967372"/>
    <w:rsid w:val="00967B33"/>
    <w:rsid w:val="00970063"/>
    <w:rsid w:val="00970493"/>
    <w:rsid w:val="00970767"/>
    <w:rsid w:val="00971057"/>
    <w:rsid w:val="009719EC"/>
    <w:rsid w:val="00972916"/>
    <w:rsid w:val="00973A9A"/>
    <w:rsid w:val="00973FE2"/>
    <w:rsid w:val="00974653"/>
    <w:rsid w:val="009748C4"/>
    <w:rsid w:val="00975E51"/>
    <w:rsid w:val="009765B1"/>
    <w:rsid w:val="00976985"/>
    <w:rsid w:val="00976E25"/>
    <w:rsid w:val="00981264"/>
    <w:rsid w:val="00981358"/>
    <w:rsid w:val="009813E8"/>
    <w:rsid w:val="00981E0C"/>
    <w:rsid w:val="00982329"/>
    <w:rsid w:val="009845DB"/>
    <w:rsid w:val="00987CB4"/>
    <w:rsid w:val="00987EDE"/>
    <w:rsid w:val="00991202"/>
    <w:rsid w:val="009928A9"/>
    <w:rsid w:val="00995F4F"/>
    <w:rsid w:val="009A13CF"/>
    <w:rsid w:val="009A1681"/>
    <w:rsid w:val="009A26BD"/>
    <w:rsid w:val="009A2964"/>
    <w:rsid w:val="009A2B75"/>
    <w:rsid w:val="009A3664"/>
    <w:rsid w:val="009A419C"/>
    <w:rsid w:val="009A4FBF"/>
    <w:rsid w:val="009A5DE8"/>
    <w:rsid w:val="009A61C4"/>
    <w:rsid w:val="009A662F"/>
    <w:rsid w:val="009A6E40"/>
    <w:rsid w:val="009A7730"/>
    <w:rsid w:val="009A7AAE"/>
    <w:rsid w:val="009A7D16"/>
    <w:rsid w:val="009A7EF7"/>
    <w:rsid w:val="009B164A"/>
    <w:rsid w:val="009B2E10"/>
    <w:rsid w:val="009B3936"/>
    <w:rsid w:val="009B451B"/>
    <w:rsid w:val="009B5613"/>
    <w:rsid w:val="009B5899"/>
    <w:rsid w:val="009B6481"/>
    <w:rsid w:val="009B693B"/>
    <w:rsid w:val="009C01F2"/>
    <w:rsid w:val="009C1818"/>
    <w:rsid w:val="009C27F0"/>
    <w:rsid w:val="009C3806"/>
    <w:rsid w:val="009C3DE2"/>
    <w:rsid w:val="009C7D80"/>
    <w:rsid w:val="009D05E2"/>
    <w:rsid w:val="009D0C78"/>
    <w:rsid w:val="009D0EC2"/>
    <w:rsid w:val="009D333E"/>
    <w:rsid w:val="009D38FD"/>
    <w:rsid w:val="009D40C0"/>
    <w:rsid w:val="009D4B9E"/>
    <w:rsid w:val="009D7BB4"/>
    <w:rsid w:val="009E1452"/>
    <w:rsid w:val="009E1A02"/>
    <w:rsid w:val="009E224C"/>
    <w:rsid w:val="009E2EBE"/>
    <w:rsid w:val="009E3DF8"/>
    <w:rsid w:val="009E5565"/>
    <w:rsid w:val="009E5F7B"/>
    <w:rsid w:val="009E7925"/>
    <w:rsid w:val="009F192E"/>
    <w:rsid w:val="009F26A1"/>
    <w:rsid w:val="009F2EB6"/>
    <w:rsid w:val="009F2EF4"/>
    <w:rsid w:val="009F5623"/>
    <w:rsid w:val="009F5ADD"/>
    <w:rsid w:val="009F6482"/>
    <w:rsid w:val="009F6690"/>
    <w:rsid w:val="009F6822"/>
    <w:rsid w:val="009F72A3"/>
    <w:rsid w:val="00A008F2"/>
    <w:rsid w:val="00A0101B"/>
    <w:rsid w:val="00A040F4"/>
    <w:rsid w:val="00A04A9D"/>
    <w:rsid w:val="00A05B8D"/>
    <w:rsid w:val="00A0607C"/>
    <w:rsid w:val="00A07708"/>
    <w:rsid w:val="00A10A41"/>
    <w:rsid w:val="00A11138"/>
    <w:rsid w:val="00A11B66"/>
    <w:rsid w:val="00A11CD0"/>
    <w:rsid w:val="00A12725"/>
    <w:rsid w:val="00A12AB6"/>
    <w:rsid w:val="00A13303"/>
    <w:rsid w:val="00A13621"/>
    <w:rsid w:val="00A1488A"/>
    <w:rsid w:val="00A15130"/>
    <w:rsid w:val="00A15874"/>
    <w:rsid w:val="00A16D3D"/>
    <w:rsid w:val="00A16DF9"/>
    <w:rsid w:val="00A1701C"/>
    <w:rsid w:val="00A178A0"/>
    <w:rsid w:val="00A22390"/>
    <w:rsid w:val="00A234BB"/>
    <w:rsid w:val="00A23EB5"/>
    <w:rsid w:val="00A24034"/>
    <w:rsid w:val="00A24DAC"/>
    <w:rsid w:val="00A24DCE"/>
    <w:rsid w:val="00A25A7D"/>
    <w:rsid w:val="00A25D84"/>
    <w:rsid w:val="00A26F62"/>
    <w:rsid w:val="00A270DD"/>
    <w:rsid w:val="00A278C8"/>
    <w:rsid w:val="00A27E9A"/>
    <w:rsid w:val="00A30A04"/>
    <w:rsid w:val="00A31D9E"/>
    <w:rsid w:val="00A3360A"/>
    <w:rsid w:val="00A33BC3"/>
    <w:rsid w:val="00A33EE1"/>
    <w:rsid w:val="00A351CE"/>
    <w:rsid w:val="00A4028E"/>
    <w:rsid w:val="00A40F73"/>
    <w:rsid w:val="00A42790"/>
    <w:rsid w:val="00A427FA"/>
    <w:rsid w:val="00A4415D"/>
    <w:rsid w:val="00A45415"/>
    <w:rsid w:val="00A46268"/>
    <w:rsid w:val="00A46D60"/>
    <w:rsid w:val="00A50431"/>
    <w:rsid w:val="00A51639"/>
    <w:rsid w:val="00A52B73"/>
    <w:rsid w:val="00A52BAB"/>
    <w:rsid w:val="00A53D88"/>
    <w:rsid w:val="00A54228"/>
    <w:rsid w:val="00A54D0B"/>
    <w:rsid w:val="00A56824"/>
    <w:rsid w:val="00A56FFE"/>
    <w:rsid w:val="00A60161"/>
    <w:rsid w:val="00A60E35"/>
    <w:rsid w:val="00A634E3"/>
    <w:rsid w:val="00A63566"/>
    <w:rsid w:val="00A6432C"/>
    <w:rsid w:val="00A643E7"/>
    <w:rsid w:val="00A65FA5"/>
    <w:rsid w:val="00A660D0"/>
    <w:rsid w:val="00A66116"/>
    <w:rsid w:val="00A6792C"/>
    <w:rsid w:val="00A705D4"/>
    <w:rsid w:val="00A70C35"/>
    <w:rsid w:val="00A70C5A"/>
    <w:rsid w:val="00A71D78"/>
    <w:rsid w:val="00A73FC9"/>
    <w:rsid w:val="00A74052"/>
    <w:rsid w:val="00A74DF2"/>
    <w:rsid w:val="00A75339"/>
    <w:rsid w:val="00A75C92"/>
    <w:rsid w:val="00A76797"/>
    <w:rsid w:val="00A76DEF"/>
    <w:rsid w:val="00A7749A"/>
    <w:rsid w:val="00A7788B"/>
    <w:rsid w:val="00A80232"/>
    <w:rsid w:val="00A808DC"/>
    <w:rsid w:val="00A81729"/>
    <w:rsid w:val="00A8247B"/>
    <w:rsid w:val="00A841F2"/>
    <w:rsid w:val="00A84E6B"/>
    <w:rsid w:val="00A85382"/>
    <w:rsid w:val="00A85D24"/>
    <w:rsid w:val="00A86721"/>
    <w:rsid w:val="00A90B42"/>
    <w:rsid w:val="00A93632"/>
    <w:rsid w:val="00A945EF"/>
    <w:rsid w:val="00A94F64"/>
    <w:rsid w:val="00A9630C"/>
    <w:rsid w:val="00A97FDA"/>
    <w:rsid w:val="00AA11BD"/>
    <w:rsid w:val="00AA33A0"/>
    <w:rsid w:val="00AA3589"/>
    <w:rsid w:val="00AA4058"/>
    <w:rsid w:val="00AA5090"/>
    <w:rsid w:val="00AA701F"/>
    <w:rsid w:val="00AA71B7"/>
    <w:rsid w:val="00AA7B8F"/>
    <w:rsid w:val="00AB04DA"/>
    <w:rsid w:val="00AB0854"/>
    <w:rsid w:val="00AB144C"/>
    <w:rsid w:val="00AB1C2F"/>
    <w:rsid w:val="00AB2502"/>
    <w:rsid w:val="00AB251A"/>
    <w:rsid w:val="00AB2D74"/>
    <w:rsid w:val="00AB3239"/>
    <w:rsid w:val="00AB42B3"/>
    <w:rsid w:val="00AB48F8"/>
    <w:rsid w:val="00AC0593"/>
    <w:rsid w:val="00AC0EB0"/>
    <w:rsid w:val="00AC0F60"/>
    <w:rsid w:val="00AC1C80"/>
    <w:rsid w:val="00AC36DB"/>
    <w:rsid w:val="00AC3D59"/>
    <w:rsid w:val="00AC4489"/>
    <w:rsid w:val="00AC50C1"/>
    <w:rsid w:val="00AC5650"/>
    <w:rsid w:val="00AC6181"/>
    <w:rsid w:val="00AC791F"/>
    <w:rsid w:val="00AC7A5F"/>
    <w:rsid w:val="00AD020F"/>
    <w:rsid w:val="00AD168E"/>
    <w:rsid w:val="00AD1A1F"/>
    <w:rsid w:val="00AD22C0"/>
    <w:rsid w:val="00AD2C18"/>
    <w:rsid w:val="00AD3624"/>
    <w:rsid w:val="00AD4C0F"/>
    <w:rsid w:val="00AD646F"/>
    <w:rsid w:val="00AE1839"/>
    <w:rsid w:val="00AE1D87"/>
    <w:rsid w:val="00AE21E7"/>
    <w:rsid w:val="00AE447B"/>
    <w:rsid w:val="00AE48A5"/>
    <w:rsid w:val="00AE5D23"/>
    <w:rsid w:val="00AE78AE"/>
    <w:rsid w:val="00AF04F0"/>
    <w:rsid w:val="00AF0B1E"/>
    <w:rsid w:val="00AF1C8B"/>
    <w:rsid w:val="00AF1DB0"/>
    <w:rsid w:val="00AF27B5"/>
    <w:rsid w:val="00AF2F4D"/>
    <w:rsid w:val="00AF3A3F"/>
    <w:rsid w:val="00AF4726"/>
    <w:rsid w:val="00AF5932"/>
    <w:rsid w:val="00AF7402"/>
    <w:rsid w:val="00B01CBA"/>
    <w:rsid w:val="00B031F8"/>
    <w:rsid w:val="00B04CA5"/>
    <w:rsid w:val="00B058CF"/>
    <w:rsid w:val="00B05EF4"/>
    <w:rsid w:val="00B06091"/>
    <w:rsid w:val="00B061B0"/>
    <w:rsid w:val="00B0672C"/>
    <w:rsid w:val="00B06974"/>
    <w:rsid w:val="00B06E0F"/>
    <w:rsid w:val="00B071EC"/>
    <w:rsid w:val="00B10C5C"/>
    <w:rsid w:val="00B12AC8"/>
    <w:rsid w:val="00B17054"/>
    <w:rsid w:val="00B17A6F"/>
    <w:rsid w:val="00B21576"/>
    <w:rsid w:val="00B215F0"/>
    <w:rsid w:val="00B21A12"/>
    <w:rsid w:val="00B21D99"/>
    <w:rsid w:val="00B2241D"/>
    <w:rsid w:val="00B22540"/>
    <w:rsid w:val="00B225EF"/>
    <w:rsid w:val="00B22919"/>
    <w:rsid w:val="00B22D05"/>
    <w:rsid w:val="00B24E33"/>
    <w:rsid w:val="00B26143"/>
    <w:rsid w:val="00B30471"/>
    <w:rsid w:val="00B319C5"/>
    <w:rsid w:val="00B3329E"/>
    <w:rsid w:val="00B34421"/>
    <w:rsid w:val="00B35E6C"/>
    <w:rsid w:val="00B37C28"/>
    <w:rsid w:val="00B4004D"/>
    <w:rsid w:val="00B41EC8"/>
    <w:rsid w:val="00B4448B"/>
    <w:rsid w:val="00B45DDF"/>
    <w:rsid w:val="00B46D7F"/>
    <w:rsid w:val="00B5064D"/>
    <w:rsid w:val="00B53615"/>
    <w:rsid w:val="00B53E5E"/>
    <w:rsid w:val="00B53E6D"/>
    <w:rsid w:val="00B54447"/>
    <w:rsid w:val="00B545A6"/>
    <w:rsid w:val="00B57543"/>
    <w:rsid w:val="00B5771A"/>
    <w:rsid w:val="00B578EF"/>
    <w:rsid w:val="00B60B09"/>
    <w:rsid w:val="00B614CF"/>
    <w:rsid w:val="00B6194D"/>
    <w:rsid w:val="00B6256B"/>
    <w:rsid w:val="00B63CE1"/>
    <w:rsid w:val="00B63D4F"/>
    <w:rsid w:val="00B64B2D"/>
    <w:rsid w:val="00B65CA9"/>
    <w:rsid w:val="00B66A57"/>
    <w:rsid w:val="00B674F6"/>
    <w:rsid w:val="00B6796A"/>
    <w:rsid w:val="00B70575"/>
    <w:rsid w:val="00B709EC"/>
    <w:rsid w:val="00B70FAD"/>
    <w:rsid w:val="00B7165E"/>
    <w:rsid w:val="00B72DA4"/>
    <w:rsid w:val="00B7316C"/>
    <w:rsid w:val="00B7634B"/>
    <w:rsid w:val="00B76587"/>
    <w:rsid w:val="00B76C4C"/>
    <w:rsid w:val="00B81D59"/>
    <w:rsid w:val="00B8568C"/>
    <w:rsid w:val="00B8621A"/>
    <w:rsid w:val="00B90812"/>
    <w:rsid w:val="00B91416"/>
    <w:rsid w:val="00B91B26"/>
    <w:rsid w:val="00B91C65"/>
    <w:rsid w:val="00B94458"/>
    <w:rsid w:val="00B949DF"/>
    <w:rsid w:val="00B96400"/>
    <w:rsid w:val="00B971F8"/>
    <w:rsid w:val="00BA0E9B"/>
    <w:rsid w:val="00BA1003"/>
    <w:rsid w:val="00BA2294"/>
    <w:rsid w:val="00BA2BCE"/>
    <w:rsid w:val="00BA388C"/>
    <w:rsid w:val="00BA73F8"/>
    <w:rsid w:val="00BB1314"/>
    <w:rsid w:val="00BB142A"/>
    <w:rsid w:val="00BB161B"/>
    <w:rsid w:val="00BB2940"/>
    <w:rsid w:val="00BB2D5F"/>
    <w:rsid w:val="00BB34CA"/>
    <w:rsid w:val="00BB7F5F"/>
    <w:rsid w:val="00BC0B3D"/>
    <w:rsid w:val="00BC14A5"/>
    <w:rsid w:val="00BC1CCD"/>
    <w:rsid w:val="00BC264B"/>
    <w:rsid w:val="00BC479A"/>
    <w:rsid w:val="00BC52A6"/>
    <w:rsid w:val="00BC5B62"/>
    <w:rsid w:val="00BD016C"/>
    <w:rsid w:val="00BD110F"/>
    <w:rsid w:val="00BD2302"/>
    <w:rsid w:val="00BD36A9"/>
    <w:rsid w:val="00BD4339"/>
    <w:rsid w:val="00BD47D2"/>
    <w:rsid w:val="00BD60D5"/>
    <w:rsid w:val="00BD6C05"/>
    <w:rsid w:val="00BE2E6A"/>
    <w:rsid w:val="00BE354C"/>
    <w:rsid w:val="00BE4746"/>
    <w:rsid w:val="00BE6365"/>
    <w:rsid w:val="00BE7D01"/>
    <w:rsid w:val="00BE7DB7"/>
    <w:rsid w:val="00BF0515"/>
    <w:rsid w:val="00BF3282"/>
    <w:rsid w:val="00BF510A"/>
    <w:rsid w:val="00BF5B02"/>
    <w:rsid w:val="00BF6D7D"/>
    <w:rsid w:val="00C02C4A"/>
    <w:rsid w:val="00C03C29"/>
    <w:rsid w:val="00C03DB7"/>
    <w:rsid w:val="00C07673"/>
    <w:rsid w:val="00C077F7"/>
    <w:rsid w:val="00C11F65"/>
    <w:rsid w:val="00C130C9"/>
    <w:rsid w:val="00C15115"/>
    <w:rsid w:val="00C1607E"/>
    <w:rsid w:val="00C16817"/>
    <w:rsid w:val="00C205E4"/>
    <w:rsid w:val="00C2122C"/>
    <w:rsid w:val="00C223C1"/>
    <w:rsid w:val="00C23811"/>
    <w:rsid w:val="00C27CCE"/>
    <w:rsid w:val="00C27F89"/>
    <w:rsid w:val="00C33488"/>
    <w:rsid w:val="00C36006"/>
    <w:rsid w:val="00C400EB"/>
    <w:rsid w:val="00C40300"/>
    <w:rsid w:val="00C403AC"/>
    <w:rsid w:val="00C4048B"/>
    <w:rsid w:val="00C42E97"/>
    <w:rsid w:val="00C43556"/>
    <w:rsid w:val="00C43A68"/>
    <w:rsid w:val="00C44268"/>
    <w:rsid w:val="00C44364"/>
    <w:rsid w:val="00C463E8"/>
    <w:rsid w:val="00C465E1"/>
    <w:rsid w:val="00C50134"/>
    <w:rsid w:val="00C5131E"/>
    <w:rsid w:val="00C517B9"/>
    <w:rsid w:val="00C536A8"/>
    <w:rsid w:val="00C53FCB"/>
    <w:rsid w:val="00C55386"/>
    <w:rsid w:val="00C55A73"/>
    <w:rsid w:val="00C55AB5"/>
    <w:rsid w:val="00C55D4B"/>
    <w:rsid w:val="00C55EE6"/>
    <w:rsid w:val="00C5646E"/>
    <w:rsid w:val="00C575E3"/>
    <w:rsid w:val="00C57F9B"/>
    <w:rsid w:val="00C61204"/>
    <w:rsid w:val="00C615D2"/>
    <w:rsid w:val="00C617DF"/>
    <w:rsid w:val="00C61F68"/>
    <w:rsid w:val="00C62467"/>
    <w:rsid w:val="00C62FE5"/>
    <w:rsid w:val="00C63A2E"/>
    <w:rsid w:val="00C64249"/>
    <w:rsid w:val="00C65ED1"/>
    <w:rsid w:val="00C66632"/>
    <w:rsid w:val="00C66AED"/>
    <w:rsid w:val="00C678CD"/>
    <w:rsid w:val="00C67A1E"/>
    <w:rsid w:val="00C702A4"/>
    <w:rsid w:val="00C707F9"/>
    <w:rsid w:val="00C71D6E"/>
    <w:rsid w:val="00C72BE0"/>
    <w:rsid w:val="00C73B14"/>
    <w:rsid w:val="00C73D1D"/>
    <w:rsid w:val="00C74118"/>
    <w:rsid w:val="00C7780B"/>
    <w:rsid w:val="00C77860"/>
    <w:rsid w:val="00C81390"/>
    <w:rsid w:val="00C85211"/>
    <w:rsid w:val="00C86631"/>
    <w:rsid w:val="00C866FA"/>
    <w:rsid w:val="00C87574"/>
    <w:rsid w:val="00C87614"/>
    <w:rsid w:val="00C90BE4"/>
    <w:rsid w:val="00C91122"/>
    <w:rsid w:val="00C92671"/>
    <w:rsid w:val="00C928CB"/>
    <w:rsid w:val="00C929FD"/>
    <w:rsid w:val="00C92FE9"/>
    <w:rsid w:val="00C93652"/>
    <w:rsid w:val="00C94A4F"/>
    <w:rsid w:val="00C96395"/>
    <w:rsid w:val="00C9647A"/>
    <w:rsid w:val="00CA09AE"/>
    <w:rsid w:val="00CA0FA3"/>
    <w:rsid w:val="00CA169F"/>
    <w:rsid w:val="00CA453E"/>
    <w:rsid w:val="00CA743A"/>
    <w:rsid w:val="00CA77A5"/>
    <w:rsid w:val="00CA7AA0"/>
    <w:rsid w:val="00CA7CBE"/>
    <w:rsid w:val="00CA7EE6"/>
    <w:rsid w:val="00CB0627"/>
    <w:rsid w:val="00CB0F11"/>
    <w:rsid w:val="00CB1BF3"/>
    <w:rsid w:val="00CB2192"/>
    <w:rsid w:val="00CB226A"/>
    <w:rsid w:val="00CB4308"/>
    <w:rsid w:val="00CB517C"/>
    <w:rsid w:val="00CB51F9"/>
    <w:rsid w:val="00CC1D2B"/>
    <w:rsid w:val="00CC34F6"/>
    <w:rsid w:val="00CC5494"/>
    <w:rsid w:val="00CC769A"/>
    <w:rsid w:val="00CD114F"/>
    <w:rsid w:val="00CD178E"/>
    <w:rsid w:val="00CD1A12"/>
    <w:rsid w:val="00CD1BEC"/>
    <w:rsid w:val="00CD2490"/>
    <w:rsid w:val="00CD35CA"/>
    <w:rsid w:val="00CD453D"/>
    <w:rsid w:val="00CD6A2B"/>
    <w:rsid w:val="00CE054A"/>
    <w:rsid w:val="00CE058F"/>
    <w:rsid w:val="00CE2352"/>
    <w:rsid w:val="00CE3BEB"/>
    <w:rsid w:val="00CE4031"/>
    <w:rsid w:val="00CE492F"/>
    <w:rsid w:val="00CE617A"/>
    <w:rsid w:val="00CE6A3C"/>
    <w:rsid w:val="00CE6AE9"/>
    <w:rsid w:val="00CE6CFE"/>
    <w:rsid w:val="00CF01AA"/>
    <w:rsid w:val="00CF0F65"/>
    <w:rsid w:val="00CF169C"/>
    <w:rsid w:val="00CF17CF"/>
    <w:rsid w:val="00CF18FC"/>
    <w:rsid w:val="00CF193F"/>
    <w:rsid w:val="00CF2650"/>
    <w:rsid w:val="00CF5E09"/>
    <w:rsid w:val="00CF71B5"/>
    <w:rsid w:val="00CF72AF"/>
    <w:rsid w:val="00D000C7"/>
    <w:rsid w:val="00D009EC"/>
    <w:rsid w:val="00D02103"/>
    <w:rsid w:val="00D02C74"/>
    <w:rsid w:val="00D02D26"/>
    <w:rsid w:val="00D04E56"/>
    <w:rsid w:val="00D0502C"/>
    <w:rsid w:val="00D0570D"/>
    <w:rsid w:val="00D0574D"/>
    <w:rsid w:val="00D05BF8"/>
    <w:rsid w:val="00D05CDF"/>
    <w:rsid w:val="00D061DE"/>
    <w:rsid w:val="00D070F6"/>
    <w:rsid w:val="00D11BB0"/>
    <w:rsid w:val="00D129A5"/>
    <w:rsid w:val="00D16014"/>
    <w:rsid w:val="00D16923"/>
    <w:rsid w:val="00D16A7F"/>
    <w:rsid w:val="00D2091F"/>
    <w:rsid w:val="00D209F2"/>
    <w:rsid w:val="00D21094"/>
    <w:rsid w:val="00D22370"/>
    <w:rsid w:val="00D237FD"/>
    <w:rsid w:val="00D24E71"/>
    <w:rsid w:val="00D267A7"/>
    <w:rsid w:val="00D27154"/>
    <w:rsid w:val="00D273C4"/>
    <w:rsid w:val="00D27507"/>
    <w:rsid w:val="00D27980"/>
    <w:rsid w:val="00D3165A"/>
    <w:rsid w:val="00D3301F"/>
    <w:rsid w:val="00D33094"/>
    <w:rsid w:val="00D33819"/>
    <w:rsid w:val="00D33D6D"/>
    <w:rsid w:val="00D3519C"/>
    <w:rsid w:val="00D352CB"/>
    <w:rsid w:val="00D35453"/>
    <w:rsid w:val="00D35841"/>
    <w:rsid w:val="00D35C24"/>
    <w:rsid w:val="00D35CE2"/>
    <w:rsid w:val="00D35E77"/>
    <w:rsid w:val="00D36782"/>
    <w:rsid w:val="00D37A70"/>
    <w:rsid w:val="00D412A0"/>
    <w:rsid w:val="00D45039"/>
    <w:rsid w:val="00D475FA"/>
    <w:rsid w:val="00D53584"/>
    <w:rsid w:val="00D53BD0"/>
    <w:rsid w:val="00D541E0"/>
    <w:rsid w:val="00D54992"/>
    <w:rsid w:val="00D55F71"/>
    <w:rsid w:val="00D561A6"/>
    <w:rsid w:val="00D562C2"/>
    <w:rsid w:val="00D5782C"/>
    <w:rsid w:val="00D57C01"/>
    <w:rsid w:val="00D57EBF"/>
    <w:rsid w:val="00D60629"/>
    <w:rsid w:val="00D62B9B"/>
    <w:rsid w:val="00D64AF2"/>
    <w:rsid w:val="00D64F84"/>
    <w:rsid w:val="00D65DC4"/>
    <w:rsid w:val="00D664B5"/>
    <w:rsid w:val="00D7024C"/>
    <w:rsid w:val="00D71238"/>
    <w:rsid w:val="00D7155E"/>
    <w:rsid w:val="00D71B62"/>
    <w:rsid w:val="00D72A39"/>
    <w:rsid w:val="00D72A3A"/>
    <w:rsid w:val="00D72B2C"/>
    <w:rsid w:val="00D73357"/>
    <w:rsid w:val="00D73773"/>
    <w:rsid w:val="00D75444"/>
    <w:rsid w:val="00D760B2"/>
    <w:rsid w:val="00D7624B"/>
    <w:rsid w:val="00D76537"/>
    <w:rsid w:val="00D7689B"/>
    <w:rsid w:val="00D805C8"/>
    <w:rsid w:val="00D80A52"/>
    <w:rsid w:val="00D82A94"/>
    <w:rsid w:val="00D84B9E"/>
    <w:rsid w:val="00D86945"/>
    <w:rsid w:val="00D86A95"/>
    <w:rsid w:val="00D86CEE"/>
    <w:rsid w:val="00D90717"/>
    <w:rsid w:val="00D9255C"/>
    <w:rsid w:val="00D939F7"/>
    <w:rsid w:val="00D95B16"/>
    <w:rsid w:val="00D95B47"/>
    <w:rsid w:val="00D95C75"/>
    <w:rsid w:val="00D95EA4"/>
    <w:rsid w:val="00D97409"/>
    <w:rsid w:val="00DA04DB"/>
    <w:rsid w:val="00DA0D5C"/>
    <w:rsid w:val="00DA1614"/>
    <w:rsid w:val="00DA2113"/>
    <w:rsid w:val="00DA3BCA"/>
    <w:rsid w:val="00DA4589"/>
    <w:rsid w:val="00DA472D"/>
    <w:rsid w:val="00DA4782"/>
    <w:rsid w:val="00DA5978"/>
    <w:rsid w:val="00DA5A06"/>
    <w:rsid w:val="00DA685B"/>
    <w:rsid w:val="00DA68A3"/>
    <w:rsid w:val="00DA70F8"/>
    <w:rsid w:val="00DA7F25"/>
    <w:rsid w:val="00DB093E"/>
    <w:rsid w:val="00DB232B"/>
    <w:rsid w:val="00DB4EA7"/>
    <w:rsid w:val="00DB515C"/>
    <w:rsid w:val="00DB52B6"/>
    <w:rsid w:val="00DB5E57"/>
    <w:rsid w:val="00DC0900"/>
    <w:rsid w:val="00DC2105"/>
    <w:rsid w:val="00DC2623"/>
    <w:rsid w:val="00DC3C43"/>
    <w:rsid w:val="00DC4460"/>
    <w:rsid w:val="00DC6188"/>
    <w:rsid w:val="00DC6D20"/>
    <w:rsid w:val="00DD10AA"/>
    <w:rsid w:val="00DD1A21"/>
    <w:rsid w:val="00DD1B8E"/>
    <w:rsid w:val="00DD33AF"/>
    <w:rsid w:val="00DD3871"/>
    <w:rsid w:val="00DD43B6"/>
    <w:rsid w:val="00DD4642"/>
    <w:rsid w:val="00DD6438"/>
    <w:rsid w:val="00DD6AC0"/>
    <w:rsid w:val="00DE0109"/>
    <w:rsid w:val="00DE04B1"/>
    <w:rsid w:val="00DE0845"/>
    <w:rsid w:val="00DE090B"/>
    <w:rsid w:val="00DE20C1"/>
    <w:rsid w:val="00DE2A99"/>
    <w:rsid w:val="00DE54F7"/>
    <w:rsid w:val="00DE599D"/>
    <w:rsid w:val="00DF2445"/>
    <w:rsid w:val="00DF5D4E"/>
    <w:rsid w:val="00DF6B47"/>
    <w:rsid w:val="00DF7082"/>
    <w:rsid w:val="00E008A0"/>
    <w:rsid w:val="00E00AAF"/>
    <w:rsid w:val="00E00B99"/>
    <w:rsid w:val="00E00F9C"/>
    <w:rsid w:val="00E01332"/>
    <w:rsid w:val="00E037B1"/>
    <w:rsid w:val="00E042BA"/>
    <w:rsid w:val="00E04C33"/>
    <w:rsid w:val="00E04D0C"/>
    <w:rsid w:val="00E05538"/>
    <w:rsid w:val="00E05DFB"/>
    <w:rsid w:val="00E05E20"/>
    <w:rsid w:val="00E065FF"/>
    <w:rsid w:val="00E07278"/>
    <w:rsid w:val="00E07612"/>
    <w:rsid w:val="00E11E2B"/>
    <w:rsid w:val="00E12B56"/>
    <w:rsid w:val="00E12C4D"/>
    <w:rsid w:val="00E139CD"/>
    <w:rsid w:val="00E17117"/>
    <w:rsid w:val="00E17645"/>
    <w:rsid w:val="00E205D6"/>
    <w:rsid w:val="00E2069E"/>
    <w:rsid w:val="00E22C98"/>
    <w:rsid w:val="00E250F2"/>
    <w:rsid w:val="00E26DCF"/>
    <w:rsid w:val="00E2759C"/>
    <w:rsid w:val="00E3073B"/>
    <w:rsid w:val="00E30DA2"/>
    <w:rsid w:val="00E3170E"/>
    <w:rsid w:val="00E33CA4"/>
    <w:rsid w:val="00E3477D"/>
    <w:rsid w:val="00E36395"/>
    <w:rsid w:val="00E3649B"/>
    <w:rsid w:val="00E36C66"/>
    <w:rsid w:val="00E37A6C"/>
    <w:rsid w:val="00E4098D"/>
    <w:rsid w:val="00E413B7"/>
    <w:rsid w:val="00E416FC"/>
    <w:rsid w:val="00E438F8"/>
    <w:rsid w:val="00E44984"/>
    <w:rsid w:val="00E460E1"/>
    <w:rsid w:val="00E460E3"/>
    <w:rsid w:val="00E465DA"/>
    <w:rsid w:val="00E50D1D"/>
    <w:rsid w:val="00E5268F"/>
    <w:rsid w:val="00E53217"/>
    <w:rsid w:val="00E53713"/>
    <w:rsid w:val="00E540F2"/>
    <w:rsid w:val="00E54C3E"/>
    <w:rsid w:val="00E560BE"/>
    <w:rsid w:val="00E57AF7"/>
    <w:rsid w:val="00E57B25"/>
    <w:rsid w:val="00E57B86"/>
    <w:rsid w:val="00E622A4"/>
    <w:rsid w:val="00E6230F"/>
    <w:rsid w:val="00E6243F"/>
    <w:rsid w:val="00E62EC4"/>
    <w:rsid w:val="00E653C3"/>
    <w:rsid w:val="00E65BEA"/>
    <w:rsid w:val="00E65D20"/>
    <w:rsid w:val="00E66A63"/>
    <w:rsid w:val="00E67217"/>
    <w:rsid w:val="00E67234"/>
    <w:rsid w:val="00E711BF"/>
    <w:rsid w:val="00E712B0"/>
    <w:rsid w:val="00E71B89"/>
    <w:rsid w:val="00E720D4"/>
    <w:rsid w:val="00E729F4"/>
    <w:rsid w:val="00E73170"/>
    <w:rsid w:val="00E73CCE"/>
    <w:rsid w:val="00E74770"/>
    <w:rsid w:val="00E74A42"/>
    <w:rsid w:val="00E74F63"/>
    <w:rsid w:val="00E76DB6"/>
    <w:rsid w:val="00E817B7"/>
    <w:rsid w:val="00E81EE3"/>
    <w:rsid w:val="00E81F8A"/>
    <w:rsid w:val="00E82AA7"/>
    <w:rsid w:val="00E83251"/>
    <w:rsid w:val="00E83947"/>
    <w:rsid w:val="00E84BBD"/>
    <w:rsid w:val="00E8581B"/>
    <w:rsid w:val="00E85F46"/>
    <w:rsid w:val="00E86CDF"/>
    <w:rsid w:val="00E876FD"/>
    <w:rsid w:val="00E87EE6"/>
    <w:rsid w:val="00E906EB"/>
    <w:rsid w:val="00E9087A"/>
    <w:rsid w:val="00E921DC"/>
    <w:rsid w:val="00E92637"/>
    <w:rsid w:val="00E9290F"/>
    <w:rsid w:val="00E92B7E"/>
    <w:rsid w:val="00E96377"/>
    <w:rsid w:val="00E97BFC"/>
    <w:rsid w:val="00E97C39"/>
    <w:rsid w:val="00EA050B"/>
    <w:rsid w:val="00EA104C"/>
    <w:rsid w:val="00EA26F4"/>
    <w:rsid w:val="00EA27E3"/>
    <w:rsid w:val="00EA31A2"/>
    <w:rsid w:val="00EA41FE"/>
    <w:rsid w:val="00EA42F7"/>
    <w:rsid w:val="00EA496E"/>
    <w:rsid w:val="00EA6212"/>
    <w:rsid w:val="00EA7E75"/>
    <w:rsid w:val="00EB01C1"/>
    <w:rsid w:val="00EB032B"/>
    <w:rsid w:val="00EB0CF8"/>
    <w:rsid w:val="00EB1057"/>
    <w:rsid w:val="00EB1946"/>
    <w:rsid w:val="00EB211C"/>
    <w:rsid w:val="00EB2430"/>
    <w:rsid w:val="00EB2643"/>
    <w:rsid w:val="00EB48A4"/>
    <w:rsid w:val="00EB5F0C"/>
    <w:rsid w:val="00EC1082"/>
    <w:rsid w:val="00EC356E"/>
    <w:rsid w:val="00EC3980"/>
    <w:rsid w:val="00EC4259"/>
    <w:rsid w:val="00EC4395"/>
    <w:rsid w:val="00EC5F15"/>
    <w:rsid w:val="00EC6E0A"/>
    <w:rsid w:val="00EC76C1"/>
    <w:rsid w:val="00EC783E"/>
    <w:rsid w:val="00ED004F"/>
    <w:rsid w:val="00ED0D7B"/>
    <w:rsid w:val="00ED15CF"/>
    <w:rsid w:val="00ED1BAC"/>
    <w:rsid w:val="00ED2BED"/>
    <w:rsid w:val="00ED3DBC"/>
    <w:rsid w:val="00ED4467"/>
    <w:rsid w:val="00ED5F2E"/>
    <w:rsid w:val="00EE0974"/>
    <w:rsid w:val="00EE0A52"/>
    <w:rsid w:val="00EE1CB8"/>
    <w:rsid w:val="00EE1DA1"/>
    <w:rsid w:val="00EE2D86"/>
    <w:rsid w:val="00EE3131"/>
    <w:rsid w:val="00EE3D10"/>
    <w:rsid w:val="00EE5473"/>
    <w:rsid w:val="00EE54BE"/>
    <w:rsid w:val="00EE6EF4"/>
    <w:rsid w:val="00EE7054"/>
    <w:rsid w:val="00EF1CB4"/>
    <w:rsid w:val="00EF1CC2"/>
    <w:rsid w:val="00EF3197"/>
    <w:rsid w:val="00EF44F8"/>
    <w:rsid w:val="00EF5199"/>
    <w:rsid w:val="00EF7D8E"/>
    <w:rsid w:val="00F0105D"/>
    <w:rsid w:val="00F032A7"/>
    <w:rsid w:val="00F03CCA"/>
    <w:rsid w:val="00F048D3"/>
    <w:rsid w:val="00F04DD5"/>
    <w:rsid w:val="00F068BA"/>
    <w:rsid w:val="00F069BC"/>
    <w:rsid w:val="00F076C9"/>
    <w:rsid w:val="00F10437"/>
    <w:rsid w:val="00F125EE"/>
    <w:rsid w:val="00F129F6"/>
    <w:rsid w:val="00F12D5D"/>
    <w:rsid w:val="00F13B1E"/>
    <w:rsid w:val="00F144C3"/>
    <w:rsid w:val="00F16073"/>
    <w:rsid w:val="00F20765"/>
    <w:rsid w:val="00F210CF"/>
    <w:rsid w:val="00F21C97"/>
    <w:rsid w:val="00F21CC6"/>
    <w:rsid w:val="00F21E66"/>
    <w:rsid w:val="00F22CEB"/>
    <w:rsid w:val="00F231C8"/>
    <w:rsid w:val="00F24200"/>
    <w:rsid w:val="00F245AD"/>
    <w:rsid w:val="00F24927"/>
    <w:rsid w:val="00F250F3"/>
    <w:rsid w:val="00F25FFD"/>
    <w:rsid w:val="00F274C6"/>
    <w:rsid w:val="00F27587"/>
    <w:rsid w:val="00F2792B"/>
    <w:rsid w:val="00F31831"/>
    <w:rsid w:val="00F32D3D"/>
    <w:rsid w:val="00F33524"/>
    <w:rsid w:val="00F33D43"/>
    <w:rsid w:val="00F3472C"/>
    <w:rsid w:val="00F34F2A"/>
    <w:rsid w:val="00F3518A"/>
    <w:rsid w:val="00F40184"/>
    <w:rsid w:val="00F409D1"/>
    <w:rsid w:val="00F434AF"/>
    <w:rsid w:val="00F43FE8"/>
    <w:rsid w:val="00F456E5"/>
    <w:rsid w:val="00F45793"/>
    <w:rsid w:val="00F45858"/>
    <w:rsid w:val="00F46625"/>
    <w:rsid w:val="00F46B5F"/>
    <w:rsid w:val="00F471C8"/>
    <w:rsid w:val="00F47786"/>
    <w:rsid w:val="00F50398"/>
    <w:rsid w:val="00F50460"/>
    <w:rsid w:val="00F504F4"/>
    <w:rsid w:val="00F50712"/>
    <w:rsid w:val="00F537F3"/>
    <w:rsid w:val="00F55169"/>
    <w:rsid w:val="00F55849"/>
    <w:rsid w:val="00F5596D"/>
    <w:rsid w:val="00F559A4"/>
    <w:rsid w:val="00F56A3F"/>
    <w:rsid w:val="00F56C6F"/>
    <w:rsid w:val="00F6071C"/>
    <w:rsid w:val="00F60B4A"/>
    <w:rsid w:val="00F61145"/>
    <w:rsid w:val="00F62013"/>
    <w:rsid w:val="00F6483E"/>
    <w:rsid w:val="00F65736"/>
    <w:rsid w:val="00F67147"/>
    <w:rsid w:val="00F67B49"/>
    <w:rsid w:val="00F700AE"/>
    <w:rsid w:val="00F70B64"/>
    <w:rsid w:val="00F73A46"/>
    <w:rsid w:val="00F741AD"/>
    <w:rsid w:val="00F74312"/>
    <w:rsid w:val="00F76475"/>
    <w:rsid w:val="00F76CC1"/>
    <w:rsid w:val="00F8133E"/>
    <w:rsid w:val="00F82F18"/>
    <w:rsid w:val="00F831FB"/>
    <w:rsid w:val="00F83D58"/>
    <w:rsid w:val="00F845CE"/>
    <w:rsid w:val="00F84C62"/>
    <w:rsid w:val="00F852A1"/>
    <w:rsid w:val="00F873AD"/>
    <w:rsid w:val="00F879B3"/>
    <w:rsid w:val="00F87C02"/>
    <w:rsid w:val="00F9147C"/>
    <w:rsid w:val="00F9221B"/>
    <w:rsid w:val="00F9355D"/>
    <w:rsid w:val="00F93CC0"/>
    <w:rsid w:val="00F94DC9"/>
    <w:rsid w:val="00F95D61"/>
    <w:rsid w:val="00FA0AE3"/>
    <w:rsid w:val="00FA4406"/>
    <w:rsid w:val="00FA5327"/>
    <w:rsid w:val="00FA7676"/>
    <w:rsid w:val="00FB016D"/>
    <w:rsid w:val="00FB095A"/>
    <w:rsid w:val="00FB0C7F"/>
    <w:rsid w:val="00FB2F18"/>
    <w:rsid w:val="00FB4442"/>
    <w:rsid w:val="00FB4506"/>
    <w:rsid w:val="00FB523D"/>
    <w:rsid w:val="00FB70FB"/>
    <w:rsid w:val="00FC0E49"/>
    <w:rsid w:val="00FC19D4"/>
    <w:rsid w:val="00FC1EFB"/>
    <w:rsid w:val="00FC2A21"/>
    <w:rsid w:val="00FC2FA7"/>
    <w:rsid w:val="00FC4AB6"/>
    <w:rsid w:val="00FC6286"/>
    <w:rsid w:val="00FC6D9F"/>
    <w:rsid w:val="00FC7AAF"/>
    <w:rsid w:val="00FD09B1"/>
    <w:rsid w:val="00FD0A75"/>
    <w:rsid w:val="00FD1CE0"/>
    <w:rsid w:val="00FD206F"/>
    <w:rsid w:val="00FD253B"/>
    <w:rsid w:val="00FD2BCC"/>
    <w:rsid w:val="00FD46CD"/>
    <w:rsid w:val="00FD4974"/>
    <w:rsid w:val="00FD5EAD"/>
    <w:rsid w:val="00FD5FE4"/>
    <w:rsid w:val="00FD701D"/>
    <w:rsid w:val="00FD771D"/>
    <w:rsid w:val="00FD7D19"/>
    <w:rsid w:val="00FE088A"/>
    <w:rsid w:val="00FE183E"/>
    <w:rsid w:val="00FE1AE3"/>
    <w:rsid w:val="00FE439E"/>
    <w:rsid w:val="00FE4595"/>
    <w:rsid w:val="00FE6437"/>
    <w:rsid w:val="00FE7FFC"/>
    <w:rsid w:val="00FF1CBA"/>
    <w:rsid w:val="00FF217B"/>
    <w:rsid w:val="00FF3419"/>
    <w:rsid w:val="00FF3470"/>
    <w:rsid w:val="00FF3A75"/>
    <w:rsid w:val="00FF4238"/>
    <w:rsid w:val="00FF4613"/>
    <w:rsid w:val="00FF558C"/>
    <w:rsid w:val="00FF5E73"/>
    <w:rsid w:val="00FF60C8"/>
    <w:rsid w:val="0146180C"/>
    <w:rsid w:val="01D616BF"/>
    <w:rsid w:val="022F4BF0"/>
    <w:rsid w:val="0276412C"/>
    <w:rsid w:val="030159DE"/>
    <w:rsid w:val="03037527"/>
    <w:rsid w:val="03587B0E"/>
    <w:rsid w:val="03AC0546"/>
    <w:rsid w:val="04B3400A"/>
    <w:rsid w:val="04E3193E"/>
    <w:rsid w:val="0666649D"/>
    <w:rsid w:val="072C6ABF"/>
    <w:rsid w:val="07BE5442"/>
    <w:rsid w:val="080F56EC"/>
    <w:rsid w:val="09C62BF4"/>
    <w:rsid w:val="09FE75F3"/>
    <w:rsid w:val="0AE718B8"/>
    <w:rsid w:val="0BD051A1"/>
    <w:rsid w:val="0CE237CB"/>
    <w:rsid w:val="0D104F52"/>
    <w:rsid w:val="0D552B60"/>
    <w:rsid w:val="0D552F72"/>
    <w:rsid w:val="0DB558E3"/>
    <w:rsid w:val="0DDF2139"/>
    <w:rsid w:val="0E8F6A2B"/>
    <w:rsid w:val="0E9B39A1"/>
    <w:rsid w:val="0F1D05C7"/>
    <w:rsid w:val="0F441E25"/>
    <w:rsid w:val="0F7A485A"/>
    <w:rsid w:val="10731C91"/>
    <w:rsid w:val="11124A42"/>
    <w:rsid w:val="11F52B3F"/>
    <w:rsid w:val="123E441B"/>
    <w:rsid w:val="125E028E"/>
    <w:rsid w:val="12E40040"/>
    <w:rsid w:val="13E42C19"/>
    <w:rsid w:val="13F62915"/>
    <w:rsid w:val="140A7F2A"/>
    <w:rsid w:val="14E76CCE"/>
    <w:rsid w:val="152D1B5C"/>
    <w:rsid w:val="153C3957"/>
    <w:rsid w:val="154015A3"/>
    <w:rsid w:val="158963BC"/>
    <w:rsid w:val="16327DBB"/>
    <w:rsid w:val="183D082B"/>
    <w:rsid w:val="18D06E6E"/>
    <w:rsid w:val="198D747A"/>
    <w:rsid w:val="19902325"/>
    <w:rsid w:val="1A5B5321"/>
    <w:rsid w:val="1B5378D8"/>
    <w:rsid w:val="1BF03704"/>
    <w:rsid w:val="1BFB2A0D"/>
    <w:rsid w:val="1CB40707"/>
    <w:rsid w:val="1CD8204C"/>
    <w:rsid w:val="1D0D72F1"/>
    <w:rsid w:val="1D6E33F3"/>
    <w:rsid w:val="1E8C7D8E"/>
    <w:rsid w:val="1FB3332C"/>
    <w:rsid w:val="1FB90211"/>
    <w:rsid w:val="1FC35DD8"/>
    <w:rsid w:val="20595A65"/>
    <w:rsid w:val="220C033B"/>
    <w:rsid w:val="22616221"/>
    <w:rsid w:val="22D36F83"/>
    <w:rsid w:val="2329689A"/>
    <w:rsid w:val="23E42A20"/>
    <w:rsid w:val="24360237"/>
    <w:rsid w:val="2442513D"/>
    <w:rsid w:val="25225971"/>
    <w:rsid w:val="256B3A8D"/>
    <w:rsid w:val="262B2550"/>
    <w:rsid w:val="262F0779"/>
    <w:rsid w:val="263D6158"/>
    <w:rsid w:val="272A2BE1"/>
    <w:rsid w:val="27F01B2F"/>
    <w:rsid w:val="282D1C23"/>
    <w:rsid w:val="287233AB"/>
    <w:rsid w:val="299A678E"/>
    <w:rsid w:val="2A384761"/>
    <w:rsid w:val="2B381E33"/>
    <w:rsid w:val="2B840C1F"/>
    <w:rsid w:val="2BC43781"/>
    <w:rsid w:val="2C236922"/>
    <w:rsid w:val="2C42644E"/>
    <w:rsid w:val="2CBF7615"/>
    <w:rsid w:val="2D8460AA"/>
    <w:rsid w:val="2D876C10"/>
    <w:rsid w:val="2DA72D38"/>
    <w:rsid w:val="2EED222B"/>
    <w:rsid w:val="2F1808D1"/>
    <w:rsid w:val="2F4E2FA9"/>
    <w:rsid w:val="2F841B07"/>
    <w:rsid w:val="30064A82"/>
    <w:rsid w:val="301377D6"/>
    <w:rsid w:val="30453F1D"/>
    <w:rsid w:val="30486A45"/>
    <w:rsid w:val="30D72EF4"/>
    <w:rsid w:val="31C36714"/>
    <w:rsid w:val="31F001B5"/>
    <w:rsid w:val="32D5021E"/>
    <w:rsid w:val="334E0C89"/>
    <w:rsid w:val="34C301C5"/>
    <w:rsid w:val="35521C45"/>
    <w:rsid w:val="35C52C6C"/>
    <w:rsid w:val="35CC55AA"/>
    <w:rsid w:val="364D63A5"/>
    <w:rsid w:val="36F24A9F"/>
    <w:rsid w:val="37103EE5"/>
    <w:rsid w:val="37985EEB"/>
    <w:rsid w:val="37A12A4B"/>
    <w:rsid w:val="3937104C"/>
    <w:rsid w:val="39CB7823"/>
    <w:rsid w:val="39D30548"/>
    <w:rsid w:val="39DD52FC"/>
    <w:rsid w:val="3A347A86"/>
    <w:rsid w:val="3A36319F"/>
    <w:rsid w:val="3A4C482A"/>
    <w:rsid w:val="3AF41719"/>
    <w:rsid w:val="3AFC4083"/>
    <w:rsid w:val="3B6267E6"/>
    <w:rsid w:val="3BE4321C"/>
    <w:rsid w:val="3CDE1CA1"/>
    <w:rsid w:val="3E334043"/>
    <w:rsid w:val="3E993D62"/>
    <w:rsid w:val="3EE91128"/>
    <w:rsid w:val="3F12571F"/>
    <w:rsid w:val="3F2872C0"/>
    <w:rsid w:val="3FCC058B"/>
    <w:rsid w:val="3FD87B51"/>
    <w:rsid w:val="405A417D"/>
    <w:rsid w:val="40951F1D"/>
    <w:rsid w:val="410852A8"/>
    <w:rsid w:val="4113586F"/>
    <w:rsid w:val="418C52B7"/>
    <w:rsid w:val="42AF558A"/>
    <w:rsid w:val="42DE736D"/>
    <w:rsid w:val="43470E11"/>
    <w:rsid w:val="44265E55"/>
    <w:rsid w:val="44E3682B"/>
    <w:rsid w:val="46192DF9"/>
    <w:rsid w:val="46834FE1"/>
    <w:rsid w:val="468D15AB"/>
    <w:rsid w:val="47805C3A"/>
    <w:rsid w:val="47EF4E0C"/>
    <w:rsid w:val="48782854"/>
    <w:rsid w:val="49F415D1"/>
    <w:rsid w:val="4B432D32"/>
    <w:rsid w:val="4CE551E1"/>
    <w:rsid w:val="4D175FF1"/>
    <w:rsid w:val="4D40640B"/>
    <w:rsid w:val="4D987FF5"/>
    <w:rsid w:val="4D9B6DB6"/>
    <w:rsid w:val="4DD25591"/>
    <w:rsid w:val="4F1F07B0"/>
    <w:rsid w:val="50DB6048"/>
    <w:rsid w:val="51E35A87"/>
    <w:rsid w:val="51FC1C0F"/>
    <w:rsid w:val="53915F0E"/>
    <w:rsid w:val="54501E9D"/>
    <w:rsid w:val="54B36EB7"/>
    <w:rsid w:val="55116A48"/>
    <w:rsid w:val="56626DB6"/>
    <w:rsid w:val="56CE3351"/>
    <w:rsid w:val="56DC53F6"/>
    <w:rsid w:val="57670850"/>
    <w:rsid w:val="57BE713E"/>
    <w:rsid w:val="57E95358"/>
    <w:rsid w:val="57FC40E3"/>
    <w:rsid w:val="584860DD"/>
    <w:rsid w:val="58A81445"/>
    <w:rsid w:val="58AE02C6"/>
    <w:rsid w:val="58AE663A"/>
    <w:rsid w:val="59496701"/>
    <w:rsid w:val="595D3DAB"/>
    <w:rsid w:val="596A21A4"/>
    <w:rsid w:val="5A313694"/>
    <w:rsid w:val="5A99145D"/>
    <w:rsid w:val="5A9B691C"/>
    <w:rsid w:val="5AEB5F86"/>
    <w:rsid w:val="5B3524F6"/>
    <w:rsid w:val="5B9C77E3"/>
    <w:rsid w:val="5BFC463A"/>
    <w:rsid w:val="5CCB73F1"/>
    <w:rsid w:val="5DC82FA0"/>
    <w:rsid w:val="5DF822AD"/>
    <w:rsid w:val="5EB04FCE"/>
    <w:rsid w:val="5EEF79A8"/>
    <w:rsid w:val="5F395E10"/>
    <w:rsid w:val="5F7143BA"/>
    <w:rsid w:val="5FB6661B"/>
    <w:rsid w:val="610C73BA"/>
    <w:rsid w:val="615573BE"/>
    <w:rsid w:val="61981D3F"/>
    <w:rsid w:val="62991E3C"/>
    <w:rsid w:val="62CD6BC2"/>
    <w:rsid w:val="633E6FF1"/>
    <w:rsid w:val="635A4D5F"/>
    <w:rsid w:val="63933A05"/>
    <w:rsid w:val="64221843"/>
    <w:rsid w:val="64665D74"/>
    <w:rsid w:val="64926832"/>
    <w:rsid w:val="64D70FAB"/>
    <w:rsid w:val="65034BCE"/>
    <w:rsid w:val="650E738F"/>
    <w:rsid w:val="66776917"/>
    <w:rsid w:val="66DE48B1"/>
    <w:rsid w:val="67B91475"/>
    <w:rsid w:val="67F33BC6"/>
    <w:rsid w:val="68201705"/>
    <w:rsid w:val="6853072E"/>
    <w:rsid w:val="68973D8A"/>
    <w:rsid w:val="68BA257E"/>
    <w:rsid w:val="69AA5876"/>
    <w:rsid w:val="6A713A2E"/>
    <w:rsid w:val="6B5E5242"/>
    <w:rsid w:val="6BF83321"/>
    <w:rsid w:val="6F0A7F2C"/>
    <w:rsid w:val="6F282B2F"/>
    <w:rsid w:val="6FA063FE"/>
    <w:rsid w:val="70DA4E7A"/>
    <w:rsid w:val="710E0E4D"/>
    <w:rsid w:val="71AE6AF7"/>
    <w:rsid w:val="71D93070"/>
    <w:rsid w:val="7260675E"/>
    <w:rsid w:val="72EA6EF1"/>
    <w:rsid w:val="73133AF6"/>
    <w:rsid w:val="73294E10"/>
    <w:rsid w:val="73512D81"/>
    <w:rsid w:val="73C67BB7"/>
    <w:rsid w:val="73E61918"/>
    <w:rsid w:val="73FA1972"/>
    <w:rsid w:val="744B5663"/>
    <w:rsid w:val="74FF4DA6"/>
    <w:rsid w:val="7527349F"/>
    <w:rsid w:val="7558406D"/>
    <w:rsid w:val="757B0B3C"/>
    <w:rsid w:val="759E202F"/>
    <w:rsid w:val="75E64E11"/>
    <w:rsid w:val="76571277"/>
    <w:rsid w:val="76AC4226"/>
    <w:rsid w:val="778E363D"/>
    <w:rsid w:val="779B59B1"/>
    <w:rsid w:val="77DA7AEF"/>
    <w:rsid w:val="782F485B"/>
    <w:rsid w:val="78525538"/>
    <w:rsid w:val="78A105DB"/>
    <w:rsid w:val="7918648F"/>
    <w:rsid w:val="797A6515"/>
    <w:rsid w:val="79EA1B8A"/>
    <w:rsid w:val="7A193DAB"/>
    <w:rsid w:val="7A543598"/>
    <w:rsid w:val="7A5B3199"/>
    <w:rsid w:val="7A6D07A8"/>
    <w:rsid w:val="7AF97DF7"/>
    <w:rsid w:val="7B096184"/>
    <w:rsid w:val="7B341B7B"/>
    <w:rsid w:val="7BE4074F"/>
    <w:rsid w:val="7BE6455E"/>
    <w:rsid w:val="7C650864"/>
    <w:rsid w:val="7CF71D9B"/>
    <w:rsid w:val="7D771E73"/>
    <w:rsid w:val="7DE928FD"/>
    <w:rsid w:val="7E503316"/>
    <w:rsid w:val="7E5F606D"/>
    <w:rsid w:val="7E7857D0"/>
    <w:rsid w:val="7F0D1D41"/>
    <w:rsid w:val="7F7602EB"/>
    <w:rsid w:val="7FEC2FD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38"/>
    <w:qFormat/>
    <w:uiPriority w:val="0"/>
    <w:pPr>
      <w:keepNext/>
      <w:numPr>
        <w:ilvl w:val="0"/>
        <w:numId w:val="1"/>
      </w:numPr>
      <w:spacing w:line="400" w:lineRule="exact"/>
      <w:outlineLvl w:val="1"/>
    </w:pPr>
    <w:rPr>
      <w:rFonts w:ascii="宋体" w:hAnsi="宋体"/>
      <w:b/>
      <w:bCs/>
    </w:rPr>
  </w:style>
  <w:style w:type="paragraph" w:styleId="6">
    <w:name w:val="heading 3"/>
    <w:basedOn w:val="1"/>
    <w:next w:val="1"/>
    <w:link w:val="39"/>
    <w:qFormat/>
    <w:uiPriority w:val="0"/>
    <w:pPr>
      <w:keepNext/>
      <w:keepLines/>
      <w:numPr>
        <w:ilvl w:val="0"/>
        <w:numId w:val="2"/>
      </w:numPr>
      <w:tabs>
        <w:tab w:val="left" w:pos="5852"/>
        <w:tab w:val="clear" w:pos="1080"/>
      </w:tabs>
      <w:snapToGrid w:val="0"/>
      <w:spacing w:before="360" w:line="240" w:lineRule="exact"/>
      <w:outlineLvl w:val="2"/>
    </w:pPr>
    <w:rPr>
      <w:b/>
      <w:sz w:val="28"/>
      <w:szCs w:val="20"/>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qFormat/>
    <w:uiPriority w:val="0"/>
    <w:pPr>
      <w:keepNext/>
      <w:keepLines/>
      <w:spacing w:before="280" w:after="290" w:line="376" w:lineRule="auto"/>
      <w:outlineLvl w:val="4"/>
    </w:pPr>
    <w:rPr>
      <w:b/>
      <w:bCs/>
      <w:sz w:val="28"/>
      <w:szCs w:val="28"/>
    </w:rPr>
  </w:style>
  <w:style w:type="paragraph" w:styleId="9">
    <w:name w:val="heading 6"/>
    <w:basedOn w:val="1"/>
    <w:next w:val="10"/>
    <w:link w:val="40"/>
    <w:qFormat/>
    <w:uiPriority w:val="0"/>
    <w:pPr>
      <w:keepNext/>
      <w:keepLines/>
      <w:numPr>
        <w:ilvl w:val="5"/>
        <w:numId w:val="1"/>
      </w:numPr>
      <w:spacing w:before="240" w:after="64" w:line="320" w:lineRule="auto"/>
      <w:outlineLvl w:val="5"/>
    </w:pPr>
    <w:rPr>
      <w:rFonts w:ascii="Arial" w:hAnsi="Arial" w:eastAsia="黑体"/>
      <w:b/>
      <w:sz w:val="24"/>
      <w:szCs w:val="20"/>
    </w:rPr>
  </w:style>
  <w:style w:type="paragraph" w:styleId="12">
    <w:name w:val="heading 7"/>
    <w:basedOn w:val="1"/>
    <w:next w:val="10"/>
    <w:link w:val="43"/>
    <w:qFormat/>
    <w:uiPriority w:val="0"/>
    <w:pPr>
      <w:keepNext/>
      <w:keepLines/>
      <w:numPr>
        <w:ilvl w:val="6"/>
        <w:numId w:val="1"/>
      </w:numPr>
      <w:spacing w:before="240" w:after="64" w:line="320" w:lineRule="auto"/>
      <w:outlineLvl w:val="6"/>
    </w:pPr>
    <w:rPr>
      <w:b/>
      <w:sz w:val="24"/>
      <w:szCs w:val="20"/>
    </w:rPr>
  </w:style>
  <w:style w:type="paragraph" w:styleId="13">
    <w:name w:val="heading 8"/>
    <w:basedOn w:val="1"/>
    <w:next w:val="10"/>
    <w:link w:val="44"/>
    <w:qFormat/>
    <w:uiPriority w:val="0"/>
    <w:pPr>
      <w:keepNext/>
      <w:keepLines/>
      <w:numPr>
        <w:ilvl w:val="7"/>
        <w:numId w:val="1"/>
      </w:numPr>
      <w:spacing w:before="240" w:after="64" w:line="320" w:lineRule="auto"/>
      <w:outlineLvl w:val="7"/>
    </w:pPr>
    <w:rPr>
      <w:rFonts w:ascii="Arial" w:hAnsi="Arial" w:eastAsia="黑体"/>
      <w:sz w:val="24"/>
      <w:szCs w:val="20"/>
    </w:rPr>
  </w:style>
  <w:style w:type="paragraph" w:styleId="14">
    <w:name w:val="heading 9"/>
    <w:basedOn w:val="1"/>
    <w:next w:val="10"/>
    <w:link w:val="45"/>
    <w:qFormat/>
    <w:uiPriority w:val="0"/>
    <w:pPr>
      <w:keepNext/>
      <w:keepLines/>
      <w:numPr>
        <w:ilvl w:val="8"/>
        <w:numId w:val="1"/>
      </w:numPr>
      <w:spacing w:before="240" w:after="64" w:line="320" w:lineRule="auto"/>
      <w:outlineLvl w:val="8"/>
    </w:pPr>
    <w:rPr>
      <w:rFonts w:ascii="Arial" w:hAnsi="Arial" w:eastAsia="黑体"/>
      <w:szCs w:val="20"/>
    </w:rPr>
  </w:style>
  <w:style w:type="character" w:default="1" w:styleId="33">
    <w:name w:val="Default Paragraph Font"/>
    <w:semiHidden/>
    <w:qFormat/>
    <w:uiPriority w:val="0"/>
  </w:style>
  <w:style w:type="table" w:default="1" w:styleId="31">
    <w:name w:val="Normal Table"/>
    <w:semiHidden/>
    <w:qFormat/>
    <w:uiPriority w:val="0"/>
    <w:tblPr>
      <w:tblCellMar>
        <w:top w:w="0" w:type="dxa"/>
        <w:left w:w="108" w:type="dxa"/>
        <w:bottom w:w="0" w:type="dxa"/>
        <w:right w:w="108" w:type="dxa"/>
      </w:tblCellMar>
    </w:tblPr>
  </w:style>
  <w:style w:type="paragraph" w:styleId="2">
    <w:name w:val="Body Text 2"/>
    <w:basedOn w:val="1"/>
    <w:next w:val="3"/>
    <w:qFormat/>
    <w:uiPriority w:val="0"/>
    <w:pPr>
      <w:spacing w:after="120" w:line="480" w:lineRule="auto"/>
    </w:pPr>
    <w:rPr>
      <w:rFonts w:eastAsia="仿宋"/>
      <w:sz w:val="24"/>
    </w:rPr>
  </w:style>
  <w:style w:type="paragraph" w:styleId="3">
    <w:name w:val="Body Text"/>
    <w:basedOn w:val="1"/>
    <w:next w:val="2"/>
    <w:qFormat/>
    <w:uiPriority w:val="0"/>
    <w:pPr>
      <w:spacing w:line="320" w:lineRule="atLeast"/>
    </w:pPr>
    <w:rPr>
      <w:sz w:val="24"/>
    </w:rPr>
  </w:style>
  <w:style w:type="paragraph" w:styleId="10">
    <w:name w:val="Normal Indent"/>
    <w:basedOn w:val="1"/>
    <w:next w:val="11"/>
    <w:link w:val="41"/>
    <w:qFormat/>
    <w:uiPriority w:val="0"/>
    <w:pPr>
      <w:ind w:firstLine="420"/>
    </w:pPr>
    <w:rPr>
      <w:szCs w:val="20"/>
    </w:rPr>
  </w:style>
  <w:style w:type="paragraph" w:styleId="11">
    <w:name w:val="header"/>
    <w:basedOn w:val="1"/>
    <w:link w:val="42"/>
    <w:qFormat/>
    <w:uiPriority w:val="0"/>
    <w:pPr>
      <w:pBdr>
        <w:bottom w:val="single" w:color="auto" w:sz="6" w:space="1"/>
      </w:pBdr>
      <w:tabs>
        <w:tab w:val="center" w:pos="4153"/>
        <w:tab w:val="right" w:pos="8306"/>
      </w:tabs>
      <w:snapToGrid w:val="0"/>
      <w:jc w:val="center"/>
    </w:pPr>
    <w:rPr>
      <w:sz w:val="18"/>
      <w:szCs w:val="18"/>
    </w:rPr>
  </w:style>
  <w:style w:type="paragraph" w:styleId="15">
    <w:name w:val="Document Map"/>
    <w:basedOn w:val="1"/>
    <w:link w:val="46"/>
    <w:qFormat/>
    <w:uiPriority w:val="0"/>
    <w:pPr>
      <w:shd w:val="clear" w:color="auto" w:fill="000080"/>
    </w:pPr>
  </w:style>
  <w:style w:type="paragraph" w:styleId="16">
    <w:name w:val="annotation text"/>
    <w:basedOn w:val="1"/>
    <w:link w:val="47"/>
    <w:qFormat/>
    <w:uiPriority w:val="0"/>
    <w:pPr>
      <w:jc w:val="left"/>
    </w:pPr>
  </w:style>
  <w:style w:type="paragraph" w:styleId="17">
    <w:name w:val="Body Text Indent"/>
    <w:basedOn w:val="1"/>
    <w:link w:val="48"/>
    <w:qFormat/>
    <w:uiPriority w:val="0"/>
    <w:pPr>
      <w:ind w:firstLine="560" w:firstLineChars="200"/>
    </w:pPr>
    <w:rPr>
      <w:rFonts w:eastAsia="华文中宋"/>
      <w:sz w:val="28"/>
    </w:rPr>
  </w:style>
  <w:style w:type="paragraph" w:styleId="18">
    <w:name w:val="Plain Text"/>
    <w:basedOn w:val="1"/>
    <w:next w:val="1"/>
    <w:link w:val="49"/>
    <w:qFormat/>
    <w:uiPriority w:val="0"/>
    <w:rPr>
      <w:rFonts w:ascii="宋体" w:hAnsi="Courier New" w:cs="Courier New"/>
      <w:szCs w:val="21"/>
    </w:rPr>
  </w:style>
  <w:style w:type="paragraph" w:styleId="19">
    <w:name w:val="Date"/>
    <w:basedOn w:val="1"/>
    <w:next w:val="1"/>
    <w:qFormat/>
    <w:uiPriority w:val="0"/>
    <w:pPr>
      <w:ind w:left="100" w:leftChars="2500"/>
    </w:pPr>
    <w:rPr>
      <w:sz w:val="24"/>
    </w:rPr>
  </w:style>
  <w:style w:type="paragraph" w:styleId="20">
    <w:name w:val="Body Text Indent 2"/>
    <w:basedOn w:val="1"/>
    <w:qFormat/>
    <w:uiPriority w:val="0"/>
    <w:pPr>
      <w:spacing w:line="20" w:lineRule="atLeast"/>
      <w:ind w:firstLine="478" w:firstLineChars="199"/>
      <w:jc w:val="left"/>
    </w:pPr>
    <w:rPr>
      <w:rFonts w:ascii="宋体" w:hAnsi="宋体"/>
      <w:sz w:val="24"/>
    </w:rPr>
  </w:style>
  <w:style w:type="paragraph" w:styleId="21">
    <w:name w:val="Balloon Text"/>
    <w:basedOn w:val="1"/>
    <w:qFormat/>
    <w:uiPriority w:val="0"/>
    <w:rPr>
      <w:sz w:val="18"/>
      <w:szCs w:val="18"/>
    </w:rPr>
  </w:style>
  <w:style w:type="paragraph" w:styleId="22">
    <w:name w:val="footer"/>
    <w:basedOn w:val="1"/>
    <w:qFormat/>
    <w:uiPriority w:val="0"/>
    <w:pPr>
      <w:tabs>
        <w:tab w:val="center" w:pos="4153"/>
        <w:tab w:val="right" w:pos="8306"/>
      </w:tabs>
      <w:snapToGrid w:val="0"/>
      <w:jc w:val="left"/>
    </w:pPr>
    <w:rPr>
      <w:sz w:val="18"/>
      <w:szCs w:val="18"/>
    </w:rPr>
  </w:style>
  <w:style w:type="paragraph" w:styleId="23">
    <w:name w:val="toc 1"/>
    <w:basedOn w:val="1"/>
    <w:next w:val="1"/>
    <w:qFormat/>
    <w:uiPriority w:val="0"/>
  </w:style>
  <w:style w:type="paragraph" w:styleId="24">
    <w:name w:val="Body Text Indent 3"/>
    <w:basedOn w:val="1"/>
    <w:qFormat/>
    <w:uiPriority w:val="0"/>
    <w:pPr>
      <w:spacing w:line="20" w:lineRule="atLeast"/>
      <w:ind w:firstLine="718" w:firstLineChars="299"/>
      <w:jc w:val="left"/>
    </w:pPr>
    <w:rPr>
      <w:rFonts w:ascii="宋体" w:hAnsi="宋体"/>
      <w:sz w:val="24"/>
    </w:rPr>
  </w:style>
  <w:style w:type="paragraph" w:styleId="25">
    <w:name w:val="toc 2"/>
    <w:basedOn w:val="1"/>
    <w:next w:val="1"/>
    <w:qFormat/>
    <w:uiPriority w:val="0"/>
    <w:pPr>
      <w:ind w:left="420" w:leftChars="200"/>
    </w:pPr>
  </w:style>
  <w:style w:type="paragraph" w:styleId="26">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27">
    <w:name w:val="Title"/>
    <w:basedOn w:val="1"/>
    <w:next w:val="1"/>
    <w:link w:val="50"/>
    <w:qFormat/>
    <w:uiPriority w:val="0"/>
    <w:pPr>
      <w:spacing w:before="240" w:after="60"/>
      <w:jc w:val="center"/>
      <w:outlineLvl w:val="0"/>
    </w:pPr>
    <w:rPr>
      <w:rFonts w:ascii="Calibri Light" w:hAnsi="Calibri Light"/>
      <w:b/>
      <w:bCs/>
      <w:kern w:val="0"/>
      <w:sz w:val="32"/>
      <w:szCs w:val="32"/>
    </w:rPr>
  </w:style>
  <w:style w:type="paragraph" w:styleId="28">
    <w:name w:val="annotation subject"/>
    <w:basedOn w:val="16"/>
    <w:next w:val="16"/>
    <w:link w:val="51"/>
    <w:qFormat/>
    <w:uiPriority w:val="0"/>
    <w:rPr>
      <w:b/>
      <w:bCs/>
    </w:rPr>
  </w:style>
  <w:style w:type="paragraph" w:styleId="29">
    <w:name w:val="Body Text First Indent"/>
    <w:basedOn w:val="3"/>
    <w:qFormat/>
    <w:uiPriority w:val="0"/>
    <w:pPr>
      <w:spacing w:after="120" w:line="240" w:lineRule="auto"/>
      <w:ind w:firstLine="420" w:firstLineChars="100"/>
    </w:pPr>
    <w:rPr>
      <w:kern w:val="0"/>
      <w:sz w:val="20"/>
    </w:rPr>
  </w:style>
  <w:style w:type="paragraph" w:styleId="30">
    <w:name w:val="Body Text First Indent 2"/>
    <w:basedOn w:val="17"/>
    <w:qFormat/>
    <w:uiPriority w:val="0"/>
    <w:pPr>
      <w:ind w:firstLine="420" w:firstLineChars="200"/>
    </w:pPr>
  </w:style>
  <w:style w:type="table" w:styleId="32">
    <w:name w:val="Table Grid"/>
    <w:basedOn w:val="3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qFormat/>
    <w:uiPriority w:val="22"/>
    <w:rPr>
      <w:b/>
      <w:bCs/>
    </w:rPr>
  </w:style>
  <w:style w:type="character" w:styleId="35">
    <w:name w:val="page number"/>
    <w:qFormat/>
    <w:uiPriority w:val="0"/>
  </w:style>
  <w:style w:type="character" w:styleId="36">
    <w:name w:val="Hyperlink"/>
    <w:qFormat/>
    <w:uiPriority w:val="0"/>
    <w:rPr>
      <w:color w:val="0000FF"/>
      <w:u w:val="single"/>
    </w:rPr>
  </w:style>
  <w:style w:type="character" w:styleId="37">
    <w:name w:val="annotation reference"/>
    <w:qFormat/>
    <w:uiPriority w:val="0"/>
    <w:rPr>
      <w:sz w:val="21"/>
      <w:szCs w:val="21"/>
    </w:rPr>
  </w:style>
  <w:style w:type="character" w:customStyle="1" w:styleId="38">
    <w:name w:val="标题 2 Char"/>
    <w:link w:val="5"/>
    <w:qFormat/>
    <w:uiPriority w:val="0"/>
    <w:rPr>
      <w:rFonts w:ascii="宋体" w:hAnsi="宋体"/>
      <w:b/>
      <w:bCs/>
      <w:kern w:val="2"/>
      <w:sz w:val="21"/>
      <w:szCs w:val="24"/>
    </w:rPr>
  </w:style>
  <w:style w:type="character" w:customStyle="1" w:styleId="39">
    <w:name w:val="标题 3 Char"/>
    <w:link w:val="6"/>
    <w:qFormat/>
    <w:uiPriority w:val="0"/>
    <w:rPr>
      <w:b/>
      <w:kern w:val="2"/>
      <w:sz w:val="28"/>
    </w:rPr>
  </w:style>
  <w:style w:type="character" w:customStyle="1" w:styleId="40">
    <w:name w:val="标题 6 Char"/>
    <w:link w:val="9"/>
    <w:qFormat/>
    <w:uiPriority w:val="0"/>
    <w:rPr>
      <w:rFonts w:ascii="Arial" w:hAnsi="Arial" w:eastAsia="黑体"/>
      <w:b/>
      <w:kern w:val="2"/>
      <w:sz w:val="24"/>
    </w:rPr>
  </w:style>
  <w:style w:type="character" w:customStyle="1" w:styleId="41">
    <w:name w:val="正文缩进 Char"/>
    <w:link w:val="10"/>
    <w:qFormat/>
    <w:uiPriority w:val="0"/>
    <w:rPr>
      <w:rFonts w:eastAsia="宋体"/>
      <w:kern w:val="2"/>
      <w:sz w:val="21"/>
      <w:lang w:val="en-US" w:eastAsia="zh-CN" w:bidi="ar-SA"/>
    </w:rPr>
  </w:style>
  <w:style w:type="character" w:customStyle="1" w:styleId="42">
    <w:name w:val="页眉 Char"/>
    <w:link w:val="11"/>
    <w:qFormat/>
    <w:locked/>
    <w:uiPriority w:val="0"/>
    <w:rPr>
      <w:rFonts w:eastAsia="宋体"/>
      <w:kern w:val="2"/>
      <w:sz w:val="18"/>
      <w:szCs w:val="18"/>
      <w:lang w:val="en-US" w:eastAsia="zh-CN" w:bidi="ar-SA"/>
    </w:rPr>
  </w:style>
  <w:style w:type="character" w:customStyle="1" w:styleId="43">
    <w:name w:val="标题 7 Char"/>
    <w:link w:val="12"/>
    <w:qFormat/>
    <w:uiPriority w:val="0"/>
    <w:rPr>
      <w:b/>
      <w:kern w:val="2"/>
      <w:sz w:val="24"/>
    </w:rPr>
  </w:style>
  <w:style w:type="character" w:customStyle="1" w:styleId="44">
    <w:name w:val="标题 8 Char"/>
    <w:link w:val="13"/>
    <w:qFormat/>
    <w:uiPriority w:val="0"/>
    <w:rPr>
      <w:rFonts w:ascii="Arial" w:hAnsi="Arial" w:eastAsia="黑体"/>
      <w:kern w:val="2"/>
      <w:sz w:val="24"/>
    </w:rPr>
  </w:style>
  <w:style w:type="character" w:customStyle="1" w:styleId="45">
    <w:name w:val="标题 9 Char"/>
    <w:link w:val="14"/>
    <w:qFormat/>
    <w:uiPriority w:val="0"/>
    <w:rPr>
      <w:rFonts w:ascii="Arial" w:hAnsi="Arial" w:eastAsia="黑体"/>
      <w:kern w:val="2"/>
      <w:sz w:val="21"/>
    </w:rPr>
  </w:style>
  <w:style w:type="character" w:customStyle="1" w:styleId="46">
    <w:name w:val="文档结构图 Char"/>
    <w:link w:val="15"/>
    <w:qFormat/>
    <w:uiPriority w:val="0"/>
    <w:rPr>
      <w:kern w:val="2"/>
      <w:sz w:val="21"/>
      <w:szCs w:val="24"/>
      <w:shd w:val="clear" w:color="auto" w:fill="000080"/>
    </w:rPr>
  </w:style>
  <w:style w:type="character" w:customStyle="1" w:styleId="47">
    <w:name w:val="批注文字 Char"/>
    <w:link w:val="16"/>
    <w:qFormat/>
    <w:uiPriority w:val="0"/>
    <w:rPr>
      <w:kern w:val="2"/>
      <w:sz w:val="21"/>
      <w:szCs w:val="24"/>
    </w:rPr>
  </w:style>
  <w:style w:type="character" w:customStyle="1" w:styleId="48">
    <w:name w:val="正文文本缩进 Char"/>
    <w:link w:val="17"/>
    <w:qFormat/>
    <w:uiPriority w:val="0"/>
    <w:rPr>
      <w:rFonts w:eastAsia="华文中宋"/>
      <w:kern w:val="2"/>
      <w:sz w:val="28"/>
      <w:szCs w:val="24"/>
    </w:rPr>
  </w:style>
  <w:style w:type="character" w:customStyle="1" w:styleId="49">
    <w:name w:val="纯文本 Char"/>
    <w:link w:val="18"/>
    <w:qFormat/>
    <w:uiPriority w:val="0"/>
    <w:rPr>
      <w:rFonts w:ascii="宋体" w:hAnsi="Courier New" w:eastAsia="宋体" w:cs="Courier New"/>
      <w:kern w:val="2"/>
      <w:sz w:val="21"/>
      <w:szCs w:val="21"/>
      <w:lang w:val="en-US" w:eastAsia="zh-CN" w:bidi="ar-SA"/>
    </w:rPr>
  </w:style>
  <w:style w:type="character" w:customStyle="1" w:styleId="50">
    <w:name w:val="标题 Char"/>
    <w:link w:val="27"/>
    <w:qFormat/>
    <w:uiPriority w:val="0"/>
    <w:rPr>
      <w:rFonts w:ascii="Calibri Light" w:hAnsi="Calibri Light"/>
      <w:b/>
      <w:bCs/>
      <w:sz w:val="32"/>
      <w:szCs w:val="32"/>
    </w:rPr>
  </w:style>
  <w:style w:type="character" w:customStyle="1" w:styleId="51">
    <w:name w:val="批注主题 Char"/>
    <w:link w:val="28"/>
    <w:qFormat/>
    <w:uiPriority w:val="0"/>
    <w:rPr>
      <w:b/>
      <w:bCs/>
      <w:kern w:val="2"/>
      <w:sz w:val="21"/>
      <w:szCs w:val="24"/>
    </w:rPr>
  </w:style>
  <w:style w:type="paragraph" w:customStyle="1" w:styleId="52">
    <w:name w:val="表格文字"/>
    <w:basedOn w:val="1"/>
    <w:qFormat/>
    <w:uiPriority w:val="0"/>
    <w:pPr>
      <w:spacing w:before="25" w:after="25" w:line="300" w:lineRule="auto"/>
    </w:pPr>
    <w:rPr>
      <w:rFonts w:ascii="Times" w:hAnsi="Times"/>
      <w:spacing w:val="10"/>
      <w:kern w:val="0"/>
      <w:sz w:val="24"/>
    </w:rPr>
  </w:style>
  <w:style w:type="character" w:customStyle="1" w:styleId="53">
    <w:name w:val="纯文本 Char Char2"/>
    <w:qFormat/>
    <w:uiPriority w:val="0"/>
    <w:rPr>
      <w:rFonts w:ascii="宋体" w:hAnsi="Courier New" w:eastAsia="宋体"/>
      <w:kern w:val="2"/>
      <w:sz w:val="21"/>
      <w:lang w:val="en-US" w:eastAsia="zh-CN" w:bidi="ar-SA"/>
    </w:rPr>
  </w:style>
  <w:style w:type="character" w:customStyle="1" w:styleId="54">
    <w:name w:val="param-value"/>
    <w:qFormat/>
    <w:uiPriority w:val="0"/>
  </w:style>
  <w:style w:type="character" w:customStyle="1" w:styleId="55">
    <w:name w:val="apple-converted-space"/>
    <w:qFormat/>
    <w:uiPriority w:val="0"/>
  </w:style>
  <w:style w:type="character" w:customStyle="1" w:styleId="56">
    <w:name w:val="标题 Char1"/>
    <w:qFormat/>
    <w:uiPriority w:val="0"/>
    <w:rPr>
      <w:rFonts w:ascii="Cambria" w:hAnsi="Cambria" w:cs="Times New Roman"/>
      <w:b/>
      <w:bCs/>
      <w:kern w:val="2"/>
      <w:sz w:val="32"/>
      <w:szCs w:val="32"/>
    </w:rPr>
  </w:style>
  <w:style w:type="character" w:customStyle="1" w:styleId="57">
    <w:name w:val=" Char Char5"/>
    <w:qFormat/>
    <w:uiPriority w:val="0"/>
    <w:rPr>
      <w:rFonts w:ascii="宋体" w:hAnsi="Courier New" w:eastAsia="宋体"/>
      <w:kern w:val="2"/>
      <w:sz w:val="21"/>
      <w:lang w:val="en-US" w:eastAsia="zh-CN" w:bidi="ar-SA"/>
    </w:rPr>
  </w:style>
  <w:style w:type="character" w:customStyle="1" w:styleId="58">
    <w:name w:val=" Char Char9"/>
    <w:qFormat/>
    <w:uiPriority w:val="0"/>
    <w:rPr>
      <w:rFonts w:eastAsia="宋体"/>
      <w:kern w:val="2"/>
      <w:sz w:val="21"/>
      <w:lang w:val="en-US" w:eastAsia="zh-CN" w:bidi="ar-SA"/>
    </w:rPr>
  </w:style>
  <w:style w:type="character" w:customStyle="1" w:styleId="59">
    <w:name w:val="Plain Text Char"/>
    <w:qFormat/>
    <w:locked/>
    <w:uiPriority w:val="0"/>
    <w:rPr>
      <w:rFonts w:ascii="宋体" w:hAnsi="Courier New" w:eastAsia="宋体"/>
      <w:kern w:val="2"/>
      <w:sz w:val="21"/>
      <w:lang w:val="en-US" w:eastAsia="zh-CN"/>
    </w:rPr>
  </w:style>
  <w:style w:type="character" w:customStyle="1" w:styleId="60">
    <w:name w:val=" Char Char6"/>
    <w:qFormat/>
    <w:uiPriority w:val="0"/>
    <w:rPr>
      <w:rFonts w:eastAsia="宋体"/>
      <w:kern w:val="2"/>
      <w:sz w:val="21"/>
      <w:lang w:val="en-US" w:eastAsia="zh-CN" w:bidi="ar-SA"/>
    </w:rPr>
  </w:style>
  <w:style w:type="character" w:customStyle="1" w:styleId="61">
    <w:name w:val="正文3 Char"/>
    <w:link w:val="62"/>
    <w:qFormat/>
    <w:uiPriority w:val="0"/>
    <w:rPr>
      <w:kern w:val="2"/>
      <w:sz w:val="24"/>
      <w:szCs w:val="24"/>
      <w:lang w:bidi="ar-SA"/>
    </w:rPr>
  </w:style>
  <w:style w:type="paragraph" w:customStyle="1" w:styleId="62">
    <w:name w:val="正文3"/>
    <w:basedOn w:val="1"/>
    <w:link w:val="61"/>
    <w:qFormat/>
    <w:uiPriority w:val="0"/>
    <w:pPr>
      <w:spacing w:line="360" w:lineRule="auto"/>
      <w:ind w:firstLine="200" w:firstLineChars="200"/>
    </w:pPr>
    <w:rPr>
      <w:sz w:val="24"/>
    </w:rPr>
  </w:style>
  <w:style w:type="paragraph" w:customStyle="1" w:styleId="63">
    <w:name w:val="标3"/>
    <w:basedOn w:val="1"/>
    <w:qFormat/>
    <w:uiPriority w:val="0"/>
    <w:pPr>
      <w:numPr>
        <w:ilvl w:val="2"/>
        <w:numId w:val="3"/>
      </w:numPr>
      <w:tabs>
        <w:tab w:val="left" w:pos="1740"/>
        <w:tab w:val="clear" w:pos="1560"/>
      </w:tabs>
      <w:adjustRightInd w:val="0"/>
      <w:snapToGrid w:val="0"/>
      <w:spacing w:before="50"/>
      <w:outlineLvl w:val="2"/>
    </w:pPr>
    <w:rPr>
      <w:rFonts w:ascii="Arial Narrow" w:hAnsi="Arial Narrow" w:eastAsia="仿宋_GB2312"/>
      <w:sz w:val="28"/>
      <w:szCs w:val="20"/>
    </w:rPr>
  </w:style>
  <w:style w:type="paragraph" w:customStyle="1" w:styleId="64">
    <w:name w:val=" Char1"/>
    <w:basedOn w:val="1"/>
    <w:qFormat/>
    <w:uiPriority w:val="0"/>
    <w:rPr>
      <w:rFonts w:ascii="Tahoma" w:hAnsi="Tahoma"/>
      <w:sz w:val="24"/>
      <w:szCs w:val="20"/>
    </w:rPr>
  </w:style>
  <w:style w:type="paragraph" w:customStyle="1" w:styleId="65">
    <w:name w:val="p15"/>
    <w:basedOn w:val="1"/>
    <w:qFormat/>
    <w:uiPriority w:val="0"/>
    <w:pPr>
      <w:widowControl/>
      <w:ind w:firstLine="540"/>
    </w:pPr>
    <w:rPr>
      <w:kern w:val="0"/>
      <w:sz w:val="28"/>
      <w:szCs w:val="28"/>
    </w:rPr>
  </w:style>
  <w:style w:type="paragraph" w:customStyle="1" w:styleId="66">
    <w:name w:val="正文1"/>
    <w:qFormat/>
    <w:uiPriority w:val="0"/>
    <w:pPr>
      <w:widowControl w:val="0"/>
      <w:adjustRightInd w:val="0"/>
      <w:spacing w:line="360" w:lineRule="atLeast"/>
      <w:textAlignment w:val="baseline"/>
    </w:pPr>
    <w:rPr>
      <w:rFonts w:ascii="宋体" w:hAnsi="Calibri" w:eastAsia="宋体" w:cs="Times New Roman"/>
      <w:b/>
      <w:position w:val="-10"/>
      <w:sz w:val="24"/>
      <w:szCs w:val="22"/>
      <w:lang w:val="en-US" w:eastAsia="zh-CN" w:bidi="ar-SA"/>
    </w:rPr>
  </w:style>
  <w:style w:type="paragraph" w:customStyle="1" w:styleId="67">
    <w:name w:val="样式1"/>
    <w:basedOn w:val="8"/>
    <w:qFormat/>
    <w:uiPriority w:val="0"/>
    <w:pPr>
      <w:spacing w:before="120" w:after="120" w:line="360" w:lineRule="auto"/>
    </w:pPr>
    <w:rPr>
      <w:rFonts w:eastAsia="黑体"/>
      <w:b w:val="0"/>
      <w:sz w:val="24"/>
    </w:rPr>
  </w:style>
  <w:style w:type="paragraph" w:customStyle="1" w:styleId="68">
    <w:name w:val="_Style 1"/>
    <w:basedOn w:val="1"/>
    <w:qFormat/>
    <w:uiPriority w:val="0"/>
    <w:pPr>
      <w:spacing w:line="360" w:lineRule="auto"/>
      <w:ind w:firstLine="420" w:firstLineChars="200"/>
    </w:pPr>
    <w:rPr>
      <w:rFonts w:ascii="Calibri" w:hAnsi="Calibri"/>
      <w:szCs w:val="20"/>
    </w:rPr>
  </w:style>
  <w:style w:type="paragraph" w:customStyle="1" w:styleId="69">
    <w:name w:val="WPSOffice手动目录 2"/>
    <w:qFormat/>
    <w:uiPriority w:val="0"/>
    <w:pPr>
      <w:ind w:leftChars="200"/>
    </w:pPr>
    <w:rPr>
      <w:rFonts w:ascii="Times New Roman" w:hAnsi="Times New Roman" w:eastAsia="宋体" w:cs="Times New Roman"/>
      <w:lang w:val="en-US" w:eastAsia="zh-CN" w:bidi="ar-SA"/>
    </w:rPr>
  </w:style>
  <w:style w:type="paragraph" w:customStyle="1" w:styleId="70">
    <w:name w:val="_Style 4"/>
    <w:basedOn w:val="1"/>
    <w:qFormat/>
    <w:uiPriority w:val="0"/>
    <w:pPr>
      <w:ind w:firstLine="420" w:firstLineChars="200"/>
    </w:pPr>
    <w:rPr>
      <w:rFonts w:ascii="Calibri" w:hAnsi="Calibri" w:eastAsia="宋体" w:cs="Times New Roman"/>
      <w:szCs w:val="22"/>
    </w:rPr>
  </w:style>
  <w:style w:type="paragraph" w:customStyle="1" w:styleId="71">
    <w:name w:val="Default Paragraph Font Para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72">
    <w:name w:val="列出段落1"/>
    <w:basedOn w:val="1"/>
    <w:qFormat/>
    <w:uiPriority w:val="34"/>
    <w:pPr>
      <w:ind w:firstLine="420" w:firstLineChars="200"/>
    </w:pPr>
    <w:rPr>
      <w:rFonts w:ascii="Calibri" w:hAnsi="Calibri"/>
    </w:rPr>
  </w:style>
  <w:style w:type="paragraph" w:customStyle="1" w:styleId="73">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74">
    <w:name w:val="Char"/>
    <w:basedOn w:val="1"/>
    <w:qFormat/>
    <w:uiPriority w:val="0"/>
    <w:rPr>
      <w:rFonts w:ascii="Tahoma" w:hAnsi="Tahoma"/>
      <w:sz w:val="24"/>
      <w:szCs w:val="20"/>
    </w:rPr>
  </w:style>
  <w:style w:type="paragraph" w:styleId="75">
    <w:name w:val="List Paragraph"/>
    <w:basedOn w:val="1"/>
    <w:qFormat/>
    <w:uiPriority w:val="34"/>
    <w:pPr>
      <w:ind w:firstLine="420" w:firstLineChars="200"/>
    </w:pPr>
    <w:rPr>
      <w:rFonts w:ascii="Calibri" w:hAnsi="Calibri"/>
      <w:szCs w:val="22"/>
    </w:rPr>
  </w:style>
  <w:style w:type="paragraph" w:customStyle="1" w:styleId="76">
    <w:name w:val="1"/>
    <w:basedOn w:val="1"/>
    <w:qFormat/>
    <w:uiPriority w:val="0"/>
    <w:rPr>
      <w:rFonts w:ascii="Tahoma" w:hAnsi="Tahoma"/>
      <w:sz w:val="24"/>
      <w:szCs w:val="20"/>
    </w:rPr>
  </w:style>
  <w:style w:type="paragraph" w:customStyle="1" w:styleId="77">
    <w:name w:val=" Char4"/>
    <w:basedOn w:val="1"/>
    <w:qFormat/>
    <w:uiPriority w:val="0"/>
    <w:rPr>
      <w:rFonts w:ascii="Dotum" w:hAnsi="Dotum" w:cs="HYg2gj"/>
      <w:sz w:val="24"/>
      <w:szCs w:val="20"/>
    </w:rPr>
  </w:style>
  <w:style w:type="paragraph" w:customStyle="1" w:styleId="78">
    <w:name w:val="p0"/>
    <w:basedOn w:val="1"/>
    <w:qFormat/>
    <w:uiPriority w:val="0"/>
    <w:pPr>
      <w:widowControl/>
    </w:pPr>
    <w:rPr>
      <w:kern w:val="0"/>
      <w:szCs w:val="21"/>
    </w:rPr>
  </w:style>
  <w:style w:type="paragraph" w:customStyle="1" w:styleId="79">
    <w:name w:val="Char Char Char Char Char Char Char Char Char Char"/>
    <w:basedOn w:val="1"/>
    <w:qFormat/>
    <w:uiPriority w:val="0"/>
    <w:pPr>
      <w:widowControl/>
      <w:spacing w:after="160" w:line="240" w:lineRule="exact"/>
      <w:jc w:val="left"/>
    </w:pPr>
  </w:style>
  <w:style w:type="paragraph" w:customStyle="1" w:styleId="80">
    <w:name w:val="标准中文版式_正文"/>
    <w:basedOn w:val="1"/>
    <w:qFormat/>
    <w:uiPriority w:val="0"/>
    <w:pPr>
      <w:spacing w:before="30" w:line="360" w:lineRule="auto"/>
      <w:ind w:firstLineChars="200"/>
    </w:pPr>
    <w:rPr>
      <w:rFonts w:ascii="Arial" w:hAnsi="Arial"/>
      <w:sz w:val="24"/>
      <w:szCs w:val="20"/>
    </w:rPr>
  </w:style>
  <w:style w:type="paragraph" w:customStyle="1" w:styleId="81">
    <w:name w:val="WPSOffice手动目录 1"/>
    <w:qFormat/>
    <w:uiPriority w:val="0"/>
    <w:rPr>
      <w:rFonts w:ascii="Times New Roman" w:hAnsi="Times New Roman" w:eastAsia="宋体" w:cs="Times New Roman"/>
      <w:lang w:val="en-US" w:eastAsia="zh-CN" w:bidi="ar-SA"/>
    </w:rPr>
  </w:style>
  <w:style w:type="paragraph" w:customStyle="1" w:styleId="82">
    <w:name w:val=" Char Char Char Char Char Char Char"/>
    <w:basedOn w:val="1"/>
    <w:qFormat/>
    <w:uiPriority w:val="0"/>
    <w:rPr>
      <w:rFonts w:ascii="仿宋_GB2312" w:eastAsia="仿宋_GB2312"/>
      <w:b/>
      <w:sz w:val="32"/>
      <w:szCs w:val="32"/>
    </w:rPr>
  </w:style>
  <w:style w:type="paragraph" w:customStyle="1" w:styleId="83">
    <w:name w:val=" Char Char1 Char Char Char"/>
    <w:basedOn w:val="1"/>
    <w:qFormat/>
    <w:uiPriority w:val="0"/>
    <w:rPr>
      <w:kern w:val="0"/>
      <w:sz w:val="20"/>
      <w:szCs w:val="20"/>
    </w:rPr>
  </w:style>
  <w:style w:type="paragraph" w:customStyle="1" w:styleId="84">
    <w:name w:val="样式2"/>
    <w:basedOn w:val="3"/>
    <w:qFormat/>
    <w:uiPriority w:val="0"/>
    <w:pPr>
      <w:jc w:val="center"/>
    </w:pPr>
    <w:rPr>
      <w:rFonts w:ascii="宋体" w:hAnsi="宋体"/>
      <w:bCs/>
      <w:color w:val="FF6600"/>
      <w:kern w:val="44"/>
    </w:rPr>
  </w:style>
  <w:style w:type="paragraph" w:customStyle="1" w:styleId="85">
    <w:name w:val="Char Char Char"/>
    <w:basedOn w:val="1"/>
    <w:qFormat/>
    <w:uiPriority w:val="0"/>
    <w:rPr>
      <w:szCs w:val="20"/>
    </w:rPr>
  </w:style>
  <w:style w:type="paragraph" w:customStyle="1" w:styleId="86">
    <w:name w:val="样式3"/>
    <w:basedOn w:val="18"/>
    <w:qFormat/>
    <w:uiPriority w:val="0"/>
    <w:pPr>
      <w:spacing w:line="0" w:lineRule="atLeast"/>
      <w:outlineLvl w:val="0"/>
    </w:pPr>
    <w:rPr>
      <w:rFonts w:cs="Times New Roman"/>
      <w:sz w:val="28"/>
      <w:szCs w:val="20"/>
    </w:rPr>
  </w:style>
  <w:style w:type="paragraph" w:customStyle="1" w:styleId="87">
    <w:name w:val=" Char Char Char Char Char Char Char Char Char Char"/>
    <w:basedOn w:val="1"/>
    <w:qFormat/>
    <w:uiPriority w:val="0"/>
    <w:pPr>
      <w:adjustRightInd w:val="0"/>
      <w:spacing w:line="360" w:lineRule="auto"/>
    </w:pPr>
    <w:rPr>
      <w:kern w:val="0"/>
      <w:sz w:val="24"/>
      <w:szCs w:val="20"/>
    </w:rPr>
  </w:style>
  <w:style w:type="paragraph" w:customStyle="1" w:styleId="88">
    <w:name w:val="正文0"/>
    <w:basedOn w:val="1"/>
    <w:qFormat/>
    <w:uiPriority w:val="0"/>
    <w:pPr>
      <w:autoSpaceDE w:val="0"/>
      <w:autoSpaceDN w:val="0"/>
      <w:adjustRightInd w:val="0"/>
      <w:spacing w:before="240" w:after="60" w:line="360" w:lineRule="atLeast"/>
    </w:pPr>
    <w:rPr>
      <w:rFonts w:ascii="黑体" w:hAnsi="黑体"/>
      <w:b/>
      <w:kern w:val="0"/>
      <w:sz w:val="24"/>
      <w:szCs w:val="20"/>
    </w:rPr>
  </w:style>
  <w:style w:type="paragraph" w:customStyle="1" w:styleId="89">
    <w:name w:val="Fließtext"/>
    <w:basedOn w:val="1"/>
    <w:qFormat/>
    <w:uiPriority w:val="99"/>
    <w:pPr>
      <w:overflowPunct w:val="0"/>
      <w:autoSpaceDE w:val="0"/>
      <w:autoSpaceDN w:val="0"/>
      <w:adjustRightInd w:val="0"/>
      <w:spacing w:line="360" w:lineRule="auto"/>
      <w:ind w:firstLine="200" w:firstLineChars="200"/>
      <w:textAlignment w:val="baseline"/>
    </w:pPr>
    <w:rPr>
      <w:rFonts w:ascii="Times New Roman" w:hAnsi="Times New Roman"/>
      <w:kern w:val="28"/>
      <w:sz w:val="24"/>
    </w:rPr>
  </w:style>
  <w:style w:type="paragraph" w:customStyle="1" w:styleId="90">
    <w:name w:val="纯文本_5"/>
    <w:basedOn w:val="1"/>
    <w:qFormat/>
    <w:uiPriority w:val="0"/>
    <w:rPr>
      <w:rFonts w:ascii="宋体" w:hAnsi="Courier New"/>
    </w:rPr>
  </w:style>
  <w:style w:type="paragraph" w:customStyle="1" w:styleId="91">
    <w:name w:val="Normal Indent1"/>
    <w:basedOn w:val="1"/>
    <w:qFormat/>
    <w:uiPriority w:val="0"/>
    <w:rPr>
      <w:rFonts w:ascii="Calibri" w:hAnsi="Calibri" w:eastAsia="宋体" w:cs="Times New Roman"/>
      <w:kern w:val="2"/>
      <w:sz w:val="21"/>
      <w:szCs w:val="24"/>
    </w:rPr>
  </w:style>
  <w:style w:type="paragraph" w:customStyle="1" w:styleId="92">
    <w:name w:val="null3"/>
    <w:qFormat/>
    <w:uiPriority w:val="0"/>
    <w:rPr>
      <w:rFonts w:hint="eastAsia" w:ascii="Calibri" w:hAnsi="Calibri" w:eastAsia="宋体" w:cs="Times New Roman"/>
      <w:lang w:val="en-US" w:eastAsia="zh-CN" w:bidi="ar-SA"/>
    </w:rPr>
  </w:style>
  <w:style w:type="paragraph" w:customStyle="1" w:styleId="93">
    <w:name w:val="正文首行缩进2字符"/>
    <w:basedOn w:val="1"/>
    <w:qFormat/>
    <w:uiPriority w:val="0"/>
    <w:pPr>
      <w:spacing w:line="360" w:lineRule="auto"/>
      <w:ind w:firstLine="560" w:firstLineChars="200"/>
    </w:pPr>
    <w:rPr>
      <w:rFonts w:ascii="Times New Roman" w:hAnsi="Times New Roman" w:eastAsia="仿宋" w:cs="Times New Roman"/>
      <w:sz w:val="28"/>
      <w:szCs w:val="20"/>
    </w:rPr>
  </w:style>
  <w:style w:type="paragraph" w:customStyle="1" w:styleId="94">
    <w:name w:val="Table Text"/>
    <w:basedOn w:val="1"/>
    <w:semiHidden/>
    <w:qFormat/>
    <w:uiPriority w:val="0"/>
    <w:rPr>
      <w:rFonts w:ascii="宋体" w:hAnsi="宋体" w:eastAsia="宋体" w:cs="宋体"/>
      <w:sz w:val="39"/>
      <w:szCs w:val="39"/>
      <w:lang w:val="en-US" w:eastAsia="en-US" w:bidi="ar-SA"/>
    </w:rPr>
  </w:style>
  <w:style w:type="table" w:customStyle="1" w:styleId="95">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37</Pages>
  <Words>16921</Words>
  <Characters>17729</Characters>
  <Lines>231</Lines>
  <Paragraphs>65</Paragraphs>
  <TotalTime>72</TotalTime>
  <ScaleCrop>false</ScaleCrop>
  <LinksUpToDate>false</LinksUpToDate>
  <CharactersWithSpaces>18357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2019-05-08T08:25:00Z</dcterms:created>
  <dc:creator>微软用户</dc:creator>
  <cp:lastModifiedBy>林佳凌</cp:lastModifiedBy>
  <cp:lastPrinted>2024-08-20T12:32:00Z</cp:lastPrinted>
  <dcterms:modified xsi:type="dcterms:W3CDTF">2025-10-16T08:39:32Z</dcterms:modified>
  <dc:title>第一部分    竞争性谈判邀请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9D40C6827E3649C89B9BB1D289AA6AD5_13</vt:lpwstr>
  </property>
  <property fmtid="{D5CDD505-2E9C-101B-9397-08002B2CF9AE}" pid="4" name="KSOTemplateDocerSaveRecord">
    <vt:lpwstr>eyJoZGlkIjoiYTkyYzhhNjdhMDgwOGJkYzJmMTMwZTVjNmE3M2I2ODUiLCJ1c2VySWQiOiI1Mzc4MTc2MTIifQ==</vt:lpwstr>
  </property>
</Properties>
</file>