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5EF5766">
      <w:pPr>
        <w:pStyle w:val="27"/>
        <w:rPr>
          <w:rFonts w:hAnsi="宋体" w:cs="宋体"/>
          <w:b/>
          <w:sz w:val="44"/>
          <w:szCs w:val="44"/>
        </w:rPr>
      </w:pPr>
    </w:p>
    <w:p w14:paraId="545DAB20">
      <w:pPr>
        <w:pStyle w:val="27"/>
        <w:jc w:val="center"/>
        <w:rPr>
          <w:rFonts w:hAnsi="宋体" w:cs="宋体"/>
          <w:b/>
          <w:sz w:val="72"/>
          <w:szCs w:val="72"/>
        </w:rPr>
      </w:pPr>
    </w:p>
    <w:p w14:paraId="1347A339">
      <w:pPr>
        <w:pStyle w:val="27"/>
        <w:spacing w:line="360" w:lineRule="auto"/>
        <w:jc w:val="center"/>
        <w:rPr>
          <w:rFonts w:hAnsi="宋体" w:cs="宋体"/>
          <w:b/>
          <w:sz w:val="72"/>
          <w:szCs w:val="72"/>
        </w:rPr>
      </w:pPr>
      <w:r>
        <w:rPr>
          <w:rFonts w:hint="eastAsia" w:hAnsi="宋体" w:cs="宋体"/>
          <w:b/>
          <w:sz w:val="72"/>
          <w:szCs w:val="72"/>
        </w:rPr>
        <w:t>竞争性磋商文件</w:t>
      </w:r>
    </w:p>
    <w:p w14:paraId="2F429BA9">
      <w:pPr>
        <w:pStyle w:val="27"/>
        <w:spacing w:line="360" w:lineRule="auto"/>
        <w:jc w:val="center"/>
        <w:rPr>
          <w:rFonts w:hAnsi="宋体" w:cs="宋体"/>
          <w:b/>
          <w:sz w:val="24"/>
        </w:rPr>
      </w:pPr>
    </w:p>
    <w:p w14:paraId="00299D6C">
      <w:pPr>
        <w:pStyle w:val="27"/>
        <w:spacing w:line="360" w:lineRule="auto"/>
        <w:jc w:val="center"/>
        <w:rPr>
          <w:rFonts w:hAnsi="宋体" w:cs="宋体"/>
          <w:b/>
          <w:sz w:val="24"/>
        </w:rPr>
      </w:pPr>
    </w:p>
    <w:p w14:paraId="492261E1">
      <w:pPr>
        <w:pStyle w:val="27"/>
        <w:spacing w:line="360" w:lineRule="auto"/>
        <w:rPr>
          <w:rFonts w:hAnsi="宋体" w:cs="宋体"/>
          <w:b/>
          <w:sz w:val="44"/>
          <w:szCs w:val="44"/>
        </w:rPr>
      </w:pPr>
    </w:p>
    <w:p w14:paraId="59313CD3">
      <w:pPr>
        <w:pStyle w:val="27"/>
        <w:spacing w:line="360" w:lineRule="auto"/>
        <w:ind w:firstLine="1285" w:firstLineChars="400"/>
        <w:jc w:val="center"/>
        <w:rPr>
          <w:rFonts w:hAnsi="宋体" w:cs="宋体"/>
          <w:b/>
          <w:sz w:val="32"/>
          <w:highlight w:val="yellow"/>
        </w:rPr>
      </w:pPr>
      <w:r>
        <w:rPr>
          <w:rFonts w:hint="eastAsia" w:hAnsi="宋体" w:cs="宋体"/>
          <w:b/>
          <w:sz w:val="32"/>
        </w:rPr>
        <w:t>项目编号：FJYS2025-448</w:t>
      </w:r>
    </w:p>
    <w:p w14:paraId="75B20604">
      <w:pPr>
        <w:snapToGrid w:val="0"/>
        <w:spacing w:line="400" w:lineRule="exact"/>
        <w:ind w:firstLine="643" w:firstLineChars="200"/>
        <w:jc w:val="center"/>
        <w:outlineLvl w:val="1"/>
        <w:rPr>
          <w:rFonts w:ascii="宋体" w:hAnsi="宋体" w:cs="宋体"/>
          <w:bCs/>
          <w:sz w:val="24"/>
          <w:szCs w:val="24"/>
        </w:rPr>
      </w:pPr>
      <w:r>
        <w:rPr>
          <w:rFonts w:hint="eastAsia" w:hAnsi="宋体" w:cs="宋体"/>
          <w:b/>
          <w:sz w:val="32"/>
        </w:rPr>
        <w:t>项目名称：</w:t>
      </w:r>
      <w:r>
        <w:rPr>
          <w:rFonts w:hint="eastAsia" w:ascii="宋体" w:hAnsi="宋体" w:cs="宋体"/>
          <w:b/>
          <w:sz w:val="32"/>
        </w:rPr>
        <w:t>漳州新园轻工实业有限责任公司安全生产应急指挥中心升级改造（基建部分）采购项目</w:t>
      </w:r>
    </w:p>
    <w:p w14:paraId="0AE3904F">
      <w:pPr>
        <w:pStyle w:val="27"/>
        <w:spacing w:line="360" w:lineRule="auto"/>
        <w:ind w:left="2883" w:leftChars="608" w:hanging="1606" w:hangingChars="500"/>
        <w:jc w:val="center"/>
        <w:rPr>
          <w:rFonts w:hAnsi="宋体" w:cs="宋体"/>
          <w:b/>
          <w:sz w:val="32"/>
        </w:rPr>
      </w:pPr>
    </w:p>
    <w:p w14:paraId="43C0DBD3">
      <w:pPr>
        <w:pStyle w:val="27"/>
        <w:spacing w:line="360" w:lineRule="auto"/>
        <w:ind w:firstLine="1285" w:firstLineChars="400"/>
        <w:rPr>
          <w:rFonts w:hAnsi="宋体" w:cs="宋体"/>
          <w:b/>
          <w:sz w:val="32"/>
        </w:rPr>
      </w:pPr>
    </w:p>
    <w:p w14:paraId="405DC6B4">
      <w:pPr>
        <w:pStyle w:val="27"/>
        <w:spacing w:line="360" w:lineRule="auto"/>
        <w:ind w:firstLine="1285" w:firstLineChars="400"/>
        <w:jc w:val="center"/>
        <w:rPr>
          <w:rFonts w:hAnsi="宋体" w:cs="宋体"/>
          <w:b/>
          <w:sz w:val="32"/>
        </w:rPr>
      </w:pPr>
    </w:p>
    <w:p w14:paraId="4F8A371A">
      <w:pPr>
        <w:pStyle w:val="27"/>
        <w:spacing w:line="360" w:lineRule="auto"/>
        <w:ind w:firstLine="1285" w:firstLineChars="400"/>
        <w:jc w:val="center"/>
        <w:rPr>
          <w:rFonts w:hAnsi="宋体" w:cs="宋体"/>
          <w:b/>
          <w:sz w:val="32"/>
        </w:rPr>
      </w:pPr>
    </w:p>
    <w:p w14:paraId="0F8285C2">
      <w:pPr>
        <w:pStyle w:val="27"/>
        <w:spacing w:line="360" w:lineRule="auto"/>
        <w:ind w:firstLine="1285" w:firstLineChars="400"/>
        <w:jc w:val="center"/>
        <w:rPr>
          <w:rFonts w:hAnsi="宋体" w:cs="宋体"/>
          <w:b/>
          <w:sz w:val="32"/>
        </w:rPr>
      </w:pPr>
      <w:r>
        <w:rPr>
          <w:rFonts w:hint="eastAsia" w:hAnsi="宋体" w:cs="宋体"/>
          <w:b/>
          <w:sz w:val="32"/>
        </w:rPr>
        <w:t>采购人：漳州新园轻工实业有限责任公司</w:t>
      </w:r>
    </w:p>
    <w:p w14:paraId="7926F544">
      <w:pPr>
        <w:pStyle w:val="27"/>
        <w:spacing w:line="360" w:lineRule="auto"/>
        <w:ind w:firstLine="1285" w:firstLineChars="400"/>
        <w:jc w:val="center"/>
        <w:rPr>
          <w:rFonts w:hAnsi="宋体" w:cs="宋体"/>
          <w:b/>
          <w:sz w:val="32"/>
        </w:rPr>
      </w:pPr>
      <w:r>
        <w:rPr>
          <w:rFonts w:hint="eastAsia" w:hAnsi="宋体" w:cs="宋体"/>
          <w:b/>
          <w:sz w:val="32"/>
        </w:rPr>
        <w:t>采购代理机构：福建优胜招标项目管理集团有限公司</w:t>
      </w:r>
    </w:p>
    <w:p w14:paraId="283E431D">
      <w:pPr>
        <w:spacing w:line="360" w:lineRule="auto"/>
        <w:rPr>
          <w:rFonts w:ascii="宋体" w:hAnsi="宋体" w:cs="宋体"/>
          <w:b/>
          <w:sz w:val="32"/>
        </w:rPr>
      </w:pPr>
    </w:p>
    <w:p w14:paraId="1B083145">
      <w:pPr>
        <w:spacing w:line="360" w:lineRule="auto"/>
        <w:jc w:val="center"/>
        <w:rPr>
          <w:rFonts w:ascii="宋体" w:hAnsi="宋体" w:cs="宋体"/>
          <w:b/>
          <w:bCs/>
          <w:sz w:val="32"/>
          <w:szCs w:val="32"/>
        </w:rPr>
      </w:pPr>
      <w:r>
        <w:rPr>
          <w:rFonts w:hint="eastAsia" w:ascii="宋体" w:hAnsi="宋体" w:cs="宋体"/>
          <w:b/>
          <w:sz w:val="32"/>
        </w:rPr>
        <w:t>二〇二五年十二月</w:t>
      </w:r>
    </w:p>
    <w:p w14:paraId="68700CA7">
      <w:pPr>
        <w:spacing w:line="500" w:lineRule="exact"/>
        <w:rPr>
          <w:rFonts w:ascii="宋体" w:hAnsi="宋体" w:cs="宋体"/>
          <w:b/>
          <w:sz w:val="32"/>
          <w:szCs w:val="32"/>
          <w:u w:val="thick"/>
        </w:rPr>
      </w:pPr>
    </w:p>
    <w:p w14:paraId="5EBC9951">
      <w:pPr>
        <w:jc w:val="center"/>
        <w:rPr>
          <w:rFonts w:ascii="宋体" w:hAnsi="宋体" w:cs="宋体"/>
          <w:sz w:val="32"/>
          <w:szCs w:val="32"/>
        </w:rPr>
      </w:pPr>
    </w:p>
    <w:p w14:paraId="45EF8003">
      <w:pPr>
        <w:pageBreakBefore/>
        <w:jc w:val="center"/>
        <w:rPr>
          <w:rFonts w:ascii="宋体" w:hAnsi="宋体" w:cs="宋体"/>
          <w:sz w:val="32"/>
          <w:szCs w:val="32"/>
        </w:rPr>
      </w:pPr>
      <w:r>
        <w:rPr>
          <w:rFonts w:hint="eastAsia" w:ascii="宋体" w:hAnsi="宋体" w:cs="宋体"/>
          <w:sz w:val="32"/>
          <w:szCs w:val="32"/>
        </w:rPr>
        <w:t>目录</w:t>
      </w:r>
    </w:p>
    <w:p w14:paraId="16FCF0A4">
      <w:pPr>
        <w:pStyle w:val="328"/>
        <w:tabs>
          <w:tab w:val="right" w:leader="dot" w:pos="8313"/>
        </w:tabs>
        <w:spacing w:line="360" w:lineRule="auto"/>
        <w:jc w:val="center"/>
        <w:rPr>
          <w:rFonts w:ascii="宋体" w:hAnsi="宋体" w:cs="宋体"/>
          <w:sz w:val="24"/>
          <w:szCs w:val="24"/>
        </w:rPr>
      </w:pPr>
      <w:r>
        <w:rPr>
          <w:rFonts w:hint="eastAsia" w:ascii="宋体" w:hAnsi="宋体" w:cs="宋体"/>
        </w:rPr>
        <w:fldChar w:fldCharType="begin"/>
      </w:r>
      <w:r>
        <w:rPr>
          <w:rFonts w:hint="eastAsia" w:ascii="宋体" w:hAnsi="宋体" w:cs="宋体"/>
        </w:rPr>
        <w:instrText xml:space="preserve">TOC \o "1-3" \h \u </w:instrText>
      </w:r>
      <w:r>
        <w:rPr>
          <w:rFonts w:hint="eastAsia" w:ascii="宋体" w:hAnsi="宋体" w:cs="宋体"/>
        </w:rPr>
        <w:fldChar w:fldCharType="separate"/>
      </w:r>
      <w:r>
        <w:fldChar w:fldCharType="begin"/>
      </w:r>
      <w:r>
        <w:instrText xml:space="preserve"> HYPERLINK \l "_Toc15976" </w:instrText>
      </w:r>
      <w:r>
        <w:fldChar w:fldCharType="separate"/>
      </w:r>
      <w:r>
        <w:rPr>
          <w:rFonts w:hint="eastAsia" w:ascii="宋体" w:hAnsi="宋体" w:cs="宋体"/>
          <w:sz w:val="24"/>
          <w:szCs w:val="24"/>
        </w:rPr>
        <w:t>第一章  磋商邀请</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_Toc15976 </w:instrText>
      </w:r>
      <w:r>
        <w:rPr>
          <w:rFonts w:hint="eastAsia" w:ascii="宋体" w:hAnsi="宋体" w:cs="宋体"/>
          <w:sz w:val="24"/>
          <w:szCs w:val="24"/>
        </w:rPr>
        <w:fldChar w:fldCharType="separate"/>
      </w:r>
      <w:r>
        <w:rPr>
          <w:rFonts w:hint="eastAsia" w:ascii="宋体" w:hAnsi="宋体" w:cs="宋体"/>
          <w:sz w:val="24"/>
          <w:szCs w:val="24"/>
        </w:rPr>
        <w:t>3</w:t>
      </w:r>
      <w:r>
        <w:rPr>
          <w:rFonts w:hint="eastAsia" w:ascii="宋体" w:hAnsi="宋体" w:cs="宋体"/>
          <w:sz w:val="24"/>
          <w:szCs w:val="24"/>
        </w:rPr>
        <w:fldChar w:fldCharType="end"/>
      </w:r>
      <w:r>
        <w:rPr>
          <w:rFonts w:hint="eastAsia" w:ascii="宋体" w:hAnsi="宋体" w:cs="宋体"/>
          <w:sz w:val="24"/>
          <w:szCs w:val="24"/>
        </w:rPr>
        <w:fldChar w:fldCharType="end"/>
      </w:r>
    </w:p>
    <w:p w14:paraId="0821BA13">
      <w:pPr>
        <w:pStyle w:val="328"/>
        <w:tabs>
          <w:tab w:val="right" w:leader="dot" w:pos="8313"/>
        </w:tabs>
        <w:spacing w:line="360" w:lineRule="auto"/>
        <w:jc w:val="center"/>
        <w:rPr>
          <w:rFonts w:ascii="宋体" w:hAnsi="宋体" w:cs="宋体"/>
          <w:sz w:val="24"/>
          <w:szCs w:val="24"/>
        </w:rPr>
      </w:pPr>
      <w:r>
        <w:fldChar w:fldCharType="begin"/>
      </w:r>
      <w:r>
        <w:instrText xml:space="preserve"> HYPERLINK \l "_Toc11465" </w:instrText>
      </w:r>
      <w:r>
        <w:fldChar w:fldCharType="separate"/>
      </w:r>
      <w:r>
        <w:rPr>
          <w:rFonts w:hint="eastAsia" w:ascii="宋体" w:hAnsi="宋体" w:cs="宋体"/>
          <w:sz w:val="24"/>
          <w:szCs w:val="24"/>
        </w:rPr>
        <w:t>第二章  供应商须知</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_Toc11465 </w:instrText>
      </w:r>
      <w:r>
        <w:rPr>
          <w:rFonts w:hint="eastAsia" w:ascii="宋体" w:hAnsi="宋体" w:cs="宋体"/>
          <w:sz w:val="24"/>
          <w:szCs w:val="24"/>
        </w:rPr>
        <w:fldChar w:fldCharType="separate"/>
      </w:r>
      <w:r>
        <w:rPr>
          <w:rFonts w:hint="eastAsia" w:ascii="宋体" w:hAnsi="宋体" w:cs="宋体"/>
          <w:sz w:val="24"/>
          <w:szCs w:val="24"/>
        </w:rPr>
        <w:t>6</w:t>
      </w:r>
      <w:r>
        <w:rPr>
          <w:rFonts w:hint="eastAsia" w:ascii="宋体" w:hAnsi="宋体" w:cs="宋体"/>
          <w:sz w:val="24"/>
          <w:szCs w:val="24"/>
        </w:rPr>
        <w:fldChar w:fldCharType="end"/>
      </w:r>
      <w:r>
        <w:rPr>
          <w:rFonts w:hint="eastAsia" w:ascii="宋体" w:hAnsi="宋体" w:cs="宋体"/>
          <w:sz w:val="24"/>
          <w:szCs w:val="24"/>
        </w:rPr>
        <w:fldChar w:fldCharType="end"/>
      </w:r>
    </w:p>
    <w:p w14:paraId="24591BB6">
      <w:pPr>
        <w:pStyle w:val="177"/>
        <w:tabs>
          <w:tab w:val="right" w:leader="dot" w:pos="8313"/>
        </w:tabs>
        <w:spacing w:line="360" w:lineRule="auto"/>
        <w:ind w:left="420"/>
        <w:jc w:val="center"/>
        <w:rPr>
          <w:rFonts w:ascii="宋体" w:hAnsi="宋体" w:cs="宋体"/>
          <w:sz w:val="24"/>
          <w:szCs w:val="24"/>
        </w:rPr>
      </w:pPr>
      <w:r>
        <w:fldChar w:fldCharType="begin"/>
      </w:r>
      <w:r>
        <w:instrText xml:space="preserve"> HYPERLINK \l "_Toc6163" </w:instrText>
      </w:r>
      <w:r>
        <w:fldChar w:fldCharType="separate"/>
      </w:r>
      <w:r>
        <w:rPr>
          <w:rFonts w:hint="eastAsia" w:ascii="宋体" w:hAnsi="宋体" w:cs="宋体"/>
          <w:sz w:val="24"/>
          <w:szCs w:val="24"/>
        </w:rPr>
        <w:t>供应商须知前附表</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_Toc6163 </w:instrText>
      </w:r>
      <w:r>
        <w:rPr>
          <w:rFonts w:hint="eastAsia" w:ascii="宋体" w:hAnsi="宋体" w:cs="宋体"/>
          <w:sz w:val="24"/>
          <w:szCs w:val="24"/>
        </w:rPr>
        <w:fldChar w:fldCharType="separate"/>
      </w:r>
      <w:r>
        <w:rPr>
          <w:rFonts w:hint="eastAsia" w:ascii="宋体" w:hAnsi="宋体" w:cs="宋体"/>
          <w:sz w:val="24"/>
          <w:szCs w:val="24"/>
        </w:rPr>
        <w:t>6</w:t>
      </w:r>
      <w:r>
        <w:rPr>
          <w:rFonts w:hint="eastAsia" w:ascii="宋体" w:hAnsi="宋体" w:cs="宋体"/>
          <w:sz w:val="24"/>
          <w:szCs w:val="24"/>
        </w:rPr>
        <w:fldChar w:fldCharType="end"/>
      </w:r>
      <w:r>
        <w:rPr>
          <w:rFonts w:hint="eastAsia" w:ascii="宋体" w:hAnsi="宋体" w:cs="宋体"/>
          <w:sz w:val="24"/>
          <w:szCs w:val="24"/>
        </w:rPr>
        <w:fldChar w:fldCharType="end"/>
      </w:r>
    </w:p>
    <w:p w14:paraId="6DF23316">
      <w:pPr>
        <w:pStyle w:val="177"/>
        <w:tabs>
          <w:tab w:val="right" w:leader="dot" w:pos="8313"/>
        </w:tabs>
        <w:spacing w:line="360" w:lineRule="auto"/>
        <w:ind w:left="420"/>
        <w:jc w:val="center"/>
        <w:rPr>
          <w:rFonts w:ascii="宋体" w:hAnsi="宋体" w:cs="宋体"/>
          <w:sz w:val="24"/>
          <w:szCs w:val="24"/>
        </w:rPr>
      </w:pPr>
      <w:r>
        <w:fldChar w:fldCharType="begin"/>
      </w:r>
      <w:r>
        <w:instrText xml:space="preserve"> HYPERLINK \l "_Toc21122" </w:instrText>
      </w:r>
      <w:r>
        <w:fldChar w:fldCharType="separate"/>
      </w:r>
      <w:r>
        <w:rPr>
          <w:rFonts w:hint="eastAsia" w:ascii="宋体" w:hAnsi="宋体" w:cs="宋体"/>
          <w:sz w:val="24"/>
          <w:szCs w:val="24"/>
        </w:rPr>
        <w:t>一、说明</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_Toc21122 </w:instrText>
      </w:r>
      <w:r>
        <w:rPr>
          <w:rFonts w:hint="eastAsia" w:ascii="宋体" w:hAnsi="宋体" w:cs="宋体"/>
          <w:sz w:val="24"/>
          <w:szCs w:val="24"/>
        </w:rPr>
        <w:fldChar w:fldCharType="separate"/>
      </w:r>
      <w:r>
        <w:rPr>
          <w:rFonts w:hint="eastAsia" w:ascii="宋体" w:hAnsi="宋体" w:cs="宋体"/>
          <w:sz w:val="24"/>
          <w:szCs w:val="24"/>
        </w:rPr>
        <w:t>10</w:t>
      </w:r>
      <w:r>
        <w:rPr>
          <w:rFonts w:hint="eastAsia" w:ascii="宋体" w:hAnsi="宋体" w:cs="宋体"/>
          <w:sz w:val="24"/>
          <w:szCs w:val="24"/>
        </w:rPr>
        <w:fldChar w:fldCharType="end"/>
      </w:r>
      <w:r>
        <w:rPr>
          <w:rFonts w:hint="eastAsia" w:ascii="宋体" w:hAnsi="宋体" w:cs="宋体"/>
          <w:sz w:val="24"/>
          <w:szCs w:val="24"/>
        </w:rPr>
        <w:fldChar w:fldCharType="end"/>
      </w:r>
    </w:p>
    <w:p w14:paraId="55FE60ED">
      <w:pPr>
        <w:pStyle w:val="177"/>
        <w:tabs>
          <w:tab w:val="right" w:leader="dot" w:pos="8313"/>
        </w:tabs>
        <w:spacing w:line="360" w:lineRule="auto"/>
        <w:ind w:left="420"/>
        <w:jc w:val="center"/>
        <w:rPr>
          <w:rFonts w:ascii="宋体" w:hAnsi="宋体" w:cs="宋体"/>
          <w:sz w:val="24"/>
          <w:szCs w:val="24"/>
        </w:rPr>
      </w:pPr>
      <w:r>
        <w:fldChar w:fldCharType="begin"/>
      </w:r>
      <w:r>
        <w:instrText xml:space="preserve"> HYPERLINK \l "_Toc15484" </w:instrText>
      </w:r>
      <w:r>
        <w:fldChar w:fldCharType="separate"/>
      </w:r>
      <w:r>
        <w:rPr>
          <w:rFonts w:hint="eastAsia" w:ascii="宋体" w:hAnsi="宋体" w:cs="宋体"/>
          <w:sz w:val="24"/>
          <w:szCs w:val="24"/>
        </w:rPr>
        <w:t>二、竞争性磋商文件</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_Toc15484 </w:instrText>
      </w:r>
      <w:r>
        <w:rPr>
          <w:rFonts w:hint="eastAsia" w:ascii="宋体" w:hAnsi="宋体" w:cs="宋体"/>
          <w:sz w:val="24"/>
          <w:szCs w:val="24"/>
        </w:rPr>
        <w:fldChar w:fldCharType="separate"/>
      </w:r>
      <w:r>
        <w:rPr>
          <w:rFonts w:hint="eastAsia" w:ascii="宋体" w:hAnsi="宋体" w:cs="宋体"/>
          <w:sz w:val="24"/>
          <w:szCs w:val="24"/>
        </w:rPr>
        <w:t>17</w:t>
      </w:r>
      <w:r>
        <w:rPr>
          <w:rFonts w:hint="eastAsia" w:ascii="宋体" w:hAnsi="宋体" w:cs="宋体"/>
          <w:sz w:val="24"/>
          <w:szCs w:val="24"/>
        </w:rPr>
        <w:fldChar w:fldCharType="end"/>
      </w:r>
      <w:r>
        <w:rPr>
          <w:rFonts w:hint="eastAsia" w:ascii="宋体" w:hAnsi="宋体" w:cs="宋体"/>
          <w:sz w:val="24"/>
          <w:szCs w:val="24"/>
        </w:rPr>
        <w:fldChar w:fldCharType="end"/>
      </w:r>
    </w:p>
    <w:p w14:paraId="42FC1B28">
      <w:pPr>
        <w:pStyle w:val="177"/>
        <w:tabs>
          <w:tab w:val="right" w:leader="dot" w:pos="8313"/>
        </w:tabs>
        <w:spacing w:line="360" w:lineRule="auto"/>
        <w:ind w:left="420"/>
        <w:jc w:val="center"/>
        <w:rPr>
          <w:rFonts w:ascii="宋体" w:hAnsi="宋体" w:cs="宋体"/>
          <w:sz w:val="24"/>
          <w:szCs w:val="24"/>
        </w:rPr>
      </w:pPr>
      <w:r>
        <w:fldChar w:fldCharType="begin"/>
      </w:r>
      <w:r>
        <w:instrText xml:space="preserve"> HYPERLINK \l "_Toc18475" </w:instrText>
      </w:r>
      <w:r>
        <w:fldChar w:fldCharType="separate"/>
      </w:r>
      <w:r>
        <w:rPr>
          <w:rFonts w:hint="eastAsia" w:ascii="宋体" w:hAnsi="宋体" w:cs="宋体"/>
          <w:sz w:val="24"/>
          <w:szCs w:val="24"/>
        </w:rPr>
        <w:t>三、响应文件的编写</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_Toc18475 </w:instrText>
      </w:r>
      <w:r>
        <w:rPr>
          <w:rFonts w:hint="eastAsia" w:ascii="宋体" w:hAnsi="宋体" w:cs="宋体"/>
          <w:sz w:val="24"/>
          <w:szCs w:val="24"/>
        </w:rPr>
        <w:fldChar w:fldCharType="separate"/>
      </w:r>
      <w:r>
        <w:rPr>
          <w:rFonts w:hint="eastAsia" w:ascii="宋体" w:hAnsi="宋体" w:cs="宋体"/>
          <w:sz w:val="24"/>
          <w:szCs w:val="24"/>
        </w:rPr>
        <w:t>18</w:t>
      </w:r>
      <w:r>
        <w:rPr>
          <w:rFonts w:hint="eastAsia" w:ascii="宋体" w:hAnsi="宋体" w:cs="宋体"/>
          <w:sz w:val="24"/>
          <w:szCs w:val="24"/>
        </w:rPr>
        <w:fldChar w:fldCharType="end"/>
      </w:r>
      <w:r>
        <w:rPr>
          <w:rFonts w:hint="eastAsia" w:ascii="宋体" w:hAnsi="宋体" w:cs="宋体"/>
          <w:sz w:val="24"/>
          <w:szCs w:val="24"/>
        </w:rPr>
        <w:fldChar w:fldCharType="end"/>
      </w:r>
    </w:p>
    <w:p w14:paraId="438C556F">
      <w:pPr>
        <w:pStyle w:val="177"/>
        <w:tabs>
          <w:tab w:val="right" w:leader="dot" w:pos="8313"/>
        </w:tabs>
        <w:spacing w:line="360" w:lineRule="auto"/>
        <w:ind w:left="420"/>
        <w:jc w:val="center"/>
        <w:rPr>
          <w:rFonts w:ascii="宋体" w:hAnsi="宋体" w:cs="宋体"/>
          <w:sz w:val="24"/>
          <w:szCs w:val="24"/>
        </w:rPr>
      </w:pPr>
      <w:r>
        <w:fldChar w:fldCharType="begin"/>
      </w:r>
      <w:r>
        <w:instrText xml:space="preserve"> HYPERLINK \l "_Toc18424" </w:instrText>
      </w:r>
      <w:r>
        <w:fldChar w:fldCharType="separate"/>
      </w:r>
      <w:r>
        <w:rPr>
          <w:rFonts w:hint="eastAsia" w:ascii="宋体" w:hAnsi="宋体" w:cs="宋体"/>
          <w:sz w:val="24"/>
          <w:szCs w:val="24"/>
        </w:rPr>
        <w:t>四、响应文件的提交</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_Toc18424 </w:instrText>
      </w:r>
      <w:r>
        <w:rPr>
          <w:rFonts w:hint="eastAsia" w:ascii="宋体" w:hAnsi="宋体" w:cs="宋体"/>
          <w:sz w:val="24"/>
          <w:szCs w:val="24"/>
        </w:rPr>
        <w:fldChar w:fldCharType="separate"/>
      </w:r>
      <w:r>
        <w:rPr>
          <w:rFonts w:hint="eastAsia" w:ascii="宋体" w:hAnsi="宋体" w:cs="宋体"/>
          <w:sz w:val="24"/>
          <w:szCs w:val="24"/>
        </w:rPr>
        <w:t>21</w:t>
      </w:r>
      <w:r>
        <w:rPr>
          <w:rFonts w:hint="eastAsia" w:ascii="宋体" w:hAnsi="宋体" w:cs="宋体"/>
          <w:sz w:val="24"/>
          <w:szCs w:val="24"/>
        </w:rPr>
        <w:fldChar w:fldCharType="end"/>
      </w:r>
      <w:r>
        <w:rPr>
          <w:rFonts w:hint="eastAsia" w:ascii="宋体" w:hAnsi="宋体" w:cs="宋体"/>
          <w:sz w:val="24"/>
          <w:szCs w:val="24"/>
        </w:rPr>
        <w:fldChar w:fldCharType="end"/>
      </w:r>
    </w:p>
    <w:p w14:paraId="12B4369D">
      <w:pPr>
        <w:pStyle w:val="177"/>
        <w:tabs>
          <w:tab w:val="right" w:leader="dot" w:pos="8313"/>
        </w:tabs>
        <w:spacing w:line="360" w:lineRule="auto"/>
        <w:ind w:left="420"/>
        <w:jc w:val="center"/>
        <w:rPr>
          <w:rFonts w:ascii="宋体" w:hAnsi="宋体" w:cs="宋体"/>
          <w:sz w:val="24"/>
          <w:szCs w:val="24"/>
        </w:rPr>
      </w:pPr>
      <w:r>
        <w:fldChar w:fldCharType="begin"/>
      </w:r>
      <w:r>
        <w:instrText xml:space="preserve"> HYPERLINK \l "_Toc8432" </w:instrText>
      </w:r>
      <w:r>
        <w:fldChar w:fldCharType="separate"/>
      </w:r>
      <w:r>
        <w:rPr>
          <w:rFonts w:hint="eastAsia" w:ascii="宋体" w:hAnsi="宋体" w:cs="宋体"/>
          <w:sz w:val="24"/>
          <w:szCs w:val="24"/>
        </w:rPr>
        <w:t>五、响应文件的评估和比较</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_Toc8432 </w:instrText>
      </w:r>
      <w:r>
        <w:rPr>
          <w:rFonts w:hint="eastAsia" w:ascii="宋体" w:hAnsi="宋体" w:cs="宋体"/>
          <w:sz w:val="24"/>
          <w:szCs w:val="24"/>
        </w:rPr>
        <w:fldChar w:fldCharType="separate"/>
      </w:r>
      <w:r>
        <w:rPr>
          <w:rFonts w:hint="eastAsia" w:ascii="宋体" w:hAnsi="宋体" w:cs="宋体"/>
          <w:sz w:val="24"/>
          <w:szCs w:val="24"/>
        </w:rPr>
        <w:t>22</w:t>
      </w:r>
      <w:r>
        <w:rPr>
          <w:rFonts w:hint="eastAsia" w:ascii="宋体" w:hAnsi="宋体" w:cs="宋体"/>
          <w:sz w:val="24"/>
          <w:szCs w:val="24"/>
        </w:rPr>
        <w:fldChar w:fldCharType="end"/>
      </w:r>
      <w:r>
        <w:rPr>
          <w:rFonts w:hint="eastAsia" w:ascii="宋体" w:hAnsi="宋体" w:cs="宋体"/>
          <w:sz w:val="24"/>
          <w:szCs w:val="24"/>
        </w:rPr>
        <w:fldChar w:fldCharType="end"/>
      </w:r>
    </w:p>
    <w:p w14:paraId="6CD72A16">
      <w:pPr>
        <w:pStyle w:val="177"/>
        <w:tabs>
          <w:tab w:val="right" w:leader="dot" w:pos="8313"/>
        </w:tabs>
        <w:spacing w:line="360" w:lineRule="auto"/>
        <w:ind w:left="420"/>
        <w:jc w:val="center"/>
        <w:rPr>
          <w:rFonts w:ascii="宋体" w:hAnsi="宋体" w:cs="宋体"/>
          <w:sz w:val="24"/>
          <w:szCs w:val="24"/>
        </w:rPr>
      </w:pPr>
      <w:r>
        <w:fldChar w:fldCharType="begin"/>
      </w:r>
      <w:r>
        <w:instrText xml:space="preserve"> HYPERLINK \l "_Toc2591" </w:instrText>
      </w:r>
      <w:r>
        <w:fldChar w:fldCharType="separate"/>
      </w:r>
      <w:r>
        <w:rPr>
          <w:rFonts w:hint="eastAsia" w:ascii="宋体" w:hAnsi="宋体" w:cs="宋体"/>
          <w:sz w:val="24"/>
          <w:szCs w:val="24"/>
        </w:rPr>
        <w:t>六、定标与签订合同</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_Toc2591 </w:instrText>
      </w:r>
      <w:r>
        <w:rPr>
          <w:rFonts w:hint="eastAsia" w:ascii="宋体" w:hAnsi="宋体" w:cs="宋体"/>
          <w:sz w:val="24"/>
          <w:szCs w:val="24"/>
        </w:rPr>
        <w:fldChar w:fldCharType="separate"/>
      </w:r>
      <w:r>
        <w:rPr>
          <w:rFonts w:hint="eastAsia" w:ascii="宋体" w:hAnsi="宋体" w:cs="宋体"/>
          <w:sz w:val="24"/>
          <w:szCs w:val="24"/>
        </w:rPr>
        <w:t>25</w:t>
      </w:r>
      <w:r>
        <w:rPr>
          <w:rFonts w:hint="eastAsia" w:ascii="宋体" w:hAnsi="宋体" w:cs="宋体"/>
          <w:sz w:val="24"/>
          <w:szCs w:val="24"/>
        </w:rPr>
        <w:fldChar w:fldCharType="end"/>
      </w:r>
      <w:r>
        <w:rPr>
          <w:rFonts w:hint="eastAsia" w:ascii="宋体" w:hAnsi="宋体" w:cs="宋体"/>
          <w:sz w:val="24"/>
          <w:szCs w:val="24"/>
        </w:rPr>
        <w:fldChar w:fldCharType="end"/>
      </w:r>
    </w:p>
    <w:p w14:paraId="4A69414F">
      <w:pPr>
        <w:pStyle w:val="328"/>
        <w:tabs>
          <w:tab w:val="right" w:leader="dot" w:pos="8313"/>
        </w:tabs>
        <w:spacing w:line="360" w:lineRule="auto"/>
        <w:jc w:val="center"/>
        <w:rPr>
          <w:rFonts w:ascii="宋体" w:hAnsi="宋体" w:cs="宋体"/>
          <w:sz w:val="24"/>
          <w:szCs w:val="24"/>
        </w:rPr>
      </w:pPr>
      <w:r>
        <w:fldChar w:fldCharType="begin"/>
      </w:r>
      <w:r>
        <w:instrText xml:space="preserve"> HYPERLINK \l "_Toc15035" </w:instrText>
      </w:r>
      <w:r>
        <w:fldChar w:fldCharType="separate"/>
      </w:r>
      <w:r>
        <w:rPr>
          <w:rFonts w:hint="eastAsia" w:ascii="宋体" w:hAnsi="宋体" w:cs="宋体"/>
          <w:sz w:val="24"/>
          <w:szCs w:val="24"/>
        </w:rPr>
        <w:t>第三章 采购内容及要求</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_Toc15035 </w:instrText>
      </w:r>
      <w:r>
        <w:rPr>
          <w:rFonts w:hint="eastAsia" w:ascii="宋体" w:hAnsi="宋体" w:cs="宋体"/>
          <w:sz w:val="24"/>
          <w:szCs w:val="24"/>
        </w:rPr>
        <w:fldChar w:fldCharType="separate"/>
      </w:r>
      <w:r>
        <w:rPr>
          <w:rFonts w:hint="eastAsia" w:ascii="宋体" w:hAnsi="宋体" w:cs="宋体"/>
          <w:sz w:val="24"/>
          <w:szCs w:val="24"/>
        </w:rPr>
        <w:t>28</w:t>
      </w:r>
      <w:r>
        <w:rPr>
          <w:rFonts w:hint="eastAsia" w:ascii="宋体" w:hAnsi="宋体" w:cs="宋体"/>
          <w:sz w:val="24"/>
          <w:szCs w:val="24"/>
        </w:rPr>
        <w:fldChar w:fldCharType="end"/>
      </w:r>
      <w:r>
        <w:rPr>
          <w:rFonts w:hint="eastAsia" w:ascii="宋体" w:hAnsi="宋体" w:cs="宋体"/>
          <w:sz w:val="24"/>
          <w:szCs w:val="24"/>
        </w:rPr>
        <w:fldChar w:fldCharType="end"/>
      </w:r>
    </w:p>
    <w:p w14:paraId="353B4E00">
      <w:pPr>
        <w:pStyle w:val="328"/>
        <w:tabs>
          <w:tab w:val="right" w:leader="dot" w:pos="8313"/>
        </w:tabs>
        <w:spacing w:line="360" w:lineRule="auto"/>
        <w:jc w:val="center"/>
        <w:rPr>
          <w:rFonts w:ascii="宋体" w:hAnsi="宋体" w:cs="宋体"/>
          <w:sz w:val="24"/>
          <w:szCs w:val="24"/>
        </w:rPr>
      </w:pPr>
      <w:r>
        <w:fldChar w:fldCharType="begin"/>
      </w:r>
      <w:r>
        <w:instrText xml:space="preserve"> HYPERLINK \l "_Toc16217" </w:instrText>
      </w:r>
      <w:r>
        <w:fldChar w:fldCharType="separate"/>
      </w:r>
      <w:r>
        <w:rPr>
          <w:rFonts w:hint="eastAsia" w:ascii="宋体" w:hAnsi="宋体" w:cs="宋体"/>
          <w:sz w:val="24"/>
          <w:szCs w:val="24"/>
        </w:rPr>
        <w:t>第四章 采购合同</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_Toc16217 </w:instrText>
      </w:r>
      <w:r>
        <w:rPr>
          <w:rFonts w:hint="eastAsia" w:ascii="宋体" w:hAnsi="宋体" w:cs="宋体"/>
          <w:sz w:val="24"/>
          <w:szCs w:val="24"/>
        </w:rPr>
        <w:fldChar w:fldCharType="separate"/>
      </w:r>
      <w:r>
        <w:rPr>
          <w:rFonts w:hint="eastAsia" w:ascii="宋体" w:hAnsi="宋体" w:cs="宋体"/>
          <w:sz w:val="24"/>
          <w:szCs w:val="24"/>
        </w:rPr>
        <w:t>33</w:t>
      </w:r>
      <w:r>
        <w:rPr>
          <w:rFonts w:hint="eastAsia" w:ascii="宋体" w:hAnsi="宋体" w:cs="宋体"/>
          <w:sz w:val="24"/>
          <w:szCs w:val="24"/>
        </w:rPr>
        <w:fldChar w:fldCharType="end"/>
      </w:r>
      <w:r>
        <w:rPr>
          <w:rFonts w:hint="eastAsia" w:ascii="宋体" w:hAnsi="宋体" w:cs="宋体"/>
          <w:sz w:val="24"/>
          <w:szCs w:val="24"/>
        </w:rPr>
        <w:fldChar w:fldCharType="end"/>
      </w:r>
    </w:p>
    <w:p w14:paraId="09EB0E96">
      <w:pPr>
        <w:pStyle w:val="328"/>
        <w:tabs>
          <w:tab w:val="right" w:leader="dot" w:pos="8313"/>
        </w:tabs>
        <w:spacing w:line="360" w:lineRule="auto"/>
        <w:jc w:val="center"/>
        <w:rPr>
          <w:rFonts w:ascii="宋体" w:hAnsi="宋体" w:cs="宋体"/>
        </w:rPr>
      </w:pPr>
      <w:r>
        <w:fldChar w:fldCharType="begin"/>
      </w:r>
      <w:r>
        <w:instrText xml:space="preserve"> HYPERLINK \l "_Toc12704" </w:instrText>
      </w:r>
      <w:r>
        <w:fldChar w:fldCharType="separate"/>
      </w:r>
      <w:r>
        <w:rPr>
          <w:rFonts w:hint="eastAsia" w:ascii="宋体" w:hAnsi="宋体" w:cs="宋体"/>
          <w:sz w:val="24"/>
          <w:szCs w:val="24"/>
        </w:rPr>
        <w:t>第五章 响应文件格式</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_Toc12704 </w:instrText>
      </w:r>
      <w:r>
        <w:rPr>
          <w:rFonts w:hint="eastAsia" w:ascii="宋体" w:hAnsi="宋体" w:cs="宋体"/>
          <w:sz w:val="24"/>
          <w:szCs w:val="24"/>
        </w:rPr>
        <w:fldChar w:fldCharType="separate"/>
      </w:r>
      <w:r>
        <w:rPr>
          <w:rFonts w:hint="eastAsia" w:ascii="宋体" w:hAnsi="宋体" w:cs="宋体"/>
          <w:sz w:val="24"/>
          <w:szCs w:val="24"/>
        </w:rPr>
        <w:t>40</w:t>
      </w:r>
      <w:r>
        <w:rPr>
          <w:rFonts w:hint="eastAsia" w:ascii="宋体" w:hAnsi="宋体" w:cs="宋体"/>
          <w:sz w:val="24"/>
          <w:szCs w:val="24"/>
        </w:rPr>
        <w:fldChar w:fldCharType="end"/>
      </w:r>
      <w:r>
        <w:rPr>
          <w:rFonts w:hint="eastAsia" w:ascii="宋体" w:hAnsi="宋体" w:cs="宋体"/>
          <w:sz w:val="24"/>
          <w:szCs w:val="24"/>
        </w:rPr>
        <w:fldChar w:fldCharType="end"/>
      </w:r>
    </w:p>
    <w:p w14:paraId="5655F574">
      <w:pPr>
        <w:pStyle w:val="328"/>
        <w:tabs>
          <w:tab w:val="right" w:leader="dot" w:pos="8313"/>
        </w:tabs>
        <w:rPr>
          <w:rFonts w:ascii="宋体" w:hAnsi="宋体" w:cs="宋体"/>
        </w:rPr>
      </w:pPr>
    </w:p>
    <w:p w14:paraId="050CBFF5">
      <w:pPr>
        <w:rPr>
          <w:rFonts w:ascii="宋体" w:hAnsi="宋体" w:cs="宋体"/>
        </w:rPr>
      </w:pPr>
      <w:r>
        <w:rPr>
          <w:rFonts w:hint="eastAsia" w:ascii="宋体" w:hAnsi="宋体" w:cs="宋体"/>
        </w:rPr>
        <w:fldChar w:fldCharType="end"/>
      </w:r>
    </w:p>
    <w:p w14:paraId="435E2C2F">
      <w:pPr>
        <w:pStyle w:val="289"/>
        <w:ind w:firstLine="422"/>
        <w:rPr>
          <w:rFonts w:ascii="宋体" w:hAnsi="宋体" w:cs="宋体"/>
        </w:rPr>
      </w:pPr>
      <w:r>
        <w:rPr>
          <w:rFonts w:hint="eastAsia" w:ascii="宋体" w:hAnsi="宋体" w:cs="宋体"/>
          <w:b/>
          <w:szCs w:val="21"/>
        </w:rPr>
        <w:t>注：本竞争性磋商文件共6</w:t>
      </w:r>
      <w:r>
        <w:rPr>
          <w:rFonts w:hint="eastAsia" w:ascii="宋体" w:hAnsi="宋体" w:cs="宋体"/>
          <w:b/>
          <w:szCs w:val="21"/>
          <w:lang w:val="en-US" w:eastAsia="zh-CN"/>
        </w:rPr>
        <w:t>3</w:t>
      </w:r>
      <w:r>
        <w:rPr>
          <w:rFonts w:hint="eastAsia" w:ascii="宋体" w:hAnsi="宋体" w:cs="宋体"/>
          <w:b/>
          <w:szCs w:val="21"/>
        </w:rPr>
        <w:t>页（含封面），请供应商领取竞争性磋商文件时自行核对，如发现缺、损等情况，自领取竞争性磋商文件之日起二日内向福建优胜招标项目管理集团有限公司提出，否则，由此造成的一切后果由供应商自负。</w:t>
      </w:r>
    </w:p>
    <w:p w14:paraId="06980289">
      <w:pPr>
        <w:pStyle w:val="27"/>
        <w:snapToGrid w:val="0"/>
        <w:spacing w:line="360" w:lineRule="auto"/>
        <w:jc w:val="center"/>
        <w:outlineLvl w:val="0"/>
        <w:rPr>
          <w:rFonts w:hAnsi="宋体" w:cs="宋体"/>
          <w:b/>
          <w:sz w:val="36"/>
        </w:rPr>
        <w:sectPr>
          <w:headerReference r:id="rId3" w:type="default"/>
          <w:footerReference r:id="rId4" w:type="default"/>
          <w:pgSz w:w="11907" w:h="16840"/>
          <w:pgMar w:top="1440" w:right="1080" w:bottom="1440" w:left="1080" w:header="851" w:footer="992" w:gutter="0"/>
          <w:pgNumType w:start="1"/>
          <w:cols w:space="720" w:num="1"/>
          <w:docGrid w:linePitch="312" w:charSpace="0"/>
        </w:sectPr>
      </w:pPr>
      <w:bookmarkStart w:id="0" w:name="投标邀请"/>
      <w:bookmarkEnd w:id="0"/>
      <w:bookmarkStart w:id="1" w:name="_Toc15976"/>
      <w:bookmarkStart w:id="2" w:name="_Toc9374_WPSOffice_Level1"/>
      <w:bookmarkStart w:id="3" w:name="_Toc23427_WPSOffice_Level1"/>
      <w:bookmarkStart w:id="4" w:name="_Toc18833_WPSOffice_Level1"/>
    </w:p>
    <w:p w14:paraId="59980D3F">
      <w:pPr>
        <w:pStyle w:val="27"/>
        <w:snapToGrid w:val="0"/>
        <w:spacing w:line="360" w:lineRule="auto"/>
        <w:jc w:val="center"/>
        <w:outlineLvl w:val="0"/>
        <w:rPr>
          <w:rFonts w:hAnsi="宋体" w:cs="宋体"/>
          <w:b/>
          <w:sz w:val="36"/>
        </w:rPr>
      </w:pPr>
      <w:r>
        <w:rPr>
          <w:rFonts w:hint="eastAsia" w:hAnsi="宋体" w:cs="宋体"/>
          <w:b/>
          <w:sz w:val="36"/>
        </w:rPr>
        <w:t>第一章  磋商邀请</w:t>
      </w:r>
      <w:bookmarkEnd w:id="1"/>
      <w:bookmarkEnd w:id="2"/>
      <w:bookmarkEnd w:id="3"/>
      <w:bookmarkEnd w:id="4"/>
    </w:p>
    <w:p w14:paraId="42A42E36">
      <w:pPr>
        <w:snapToGrid w:val="0"/>
        <w:spacing w:line="400" w:lineRule="exact"/>
        <w:ind w:firstLine="480" w:firstLineChars="200"/>
        <w:rPr>
          <w:rFonts w:ascii="宋体" w:hAnsi="宋体" w:cs="宋体"/>
          <w:sz w:val="24"/>
        </w:rPr>
      </w:pPr>
      <w:r>
        <w:rPr>
          <w:rFonts w:hint="eastAsia" w:ascii="宋体" w:hAnsi="宋体" w:cs="宋体"/>
          <w:sz w:val="24"/>
        </w:rPr>
        <w:t>福建优胜招标项目管理集团有限公司受</w:t>
      </w:r>
      <w:r>
        <w:rPr>
          <w:rFonts w:hint="eastAsia" w:ascii="宋体" w:hAnsi="宋体" w:cs="宋体"/>
          <w:sz w:val="24"/>
          <w:szCs w:val="22"/>
          <w:u w:val="single"/>
        </w:rPr>
        <w:t>漳州新园轻工实业有限责任公司</w:t>
      </w:r>
      <w:r>
        <w:rPr>
          <w:rFonts w:hint="eastAsia" w:ascii="宋体" w:hAnsi="宋体" w:cs="宋体"/>
          <w:sz w:val="24"/>
        </w:rPr>
        <w:t>委托，对下述项目进行国内竞争性磋商，现欢迎国内合格的</w:t>
      </w:r>
      <w:r>
        <w:rPr>
          <w:rFonts w:hint="eastAsia" w:ascii="宋体" w:hAnsi="宋体" w:cs="宋体"/>
          <w:sz w:val="24"/>
          <w:szCs w:val="24"/>
        </w:rPr>
        <w:t>供应商</w:t>
      </w:r>
      <w:r>
        <w:rPr>
          <w:rFonts w:hint="eastAsia" w:ascii="宋体" w:hAnsi="宋体" w:cs="宋体"/>
          <w:sz w:val="24"/>
        </w:rPr>
        <w:t>前来提交密封的响应文件。</w:t>
      </w:r>
    </w:p>
    <w:p w14:paraId="11E48A41">
      <w:pPr>
        <w:snapToGrid w:val="0"/>
        <w:spacing w:line="400" w:lineRule="exact"/>
        <w:rPr>
          <w:rFonts w:ascii="宋体" w:hAnsi="宋体" w:cs="宋体"/>
          <w:b/>
          <w:sz w:val="24"/>
          <w:szCs w:val="22"/>
        </w:rPr>
      </w:pPr>
      <w:r>
        <w:rPr>
          <w:rFonts w:hint="eastAsia" w:ascii="宋体" w:hAnsi="宋体" w:cs="宋体"/>
          <w:b/>
          <w:sz w:val="24"/>
        </w:rPr>
        <w:t>1.项目编号</w:t>
      </w:r>
      <w:r>
        <w:rPr>
          <w:rFonts w:hint="eastAsia" w:ascii="宋体" w:hAnsi="宋体" w:cs="宋体"/>
          <w:b/>
          <w:sz w:val="24"/>
          <w:szCs w:val="22"/>
        </w:rPr>
        <w:t>：FJYS2025-448</w:t>
      </w:r>
    </w:p>
    <w:p w14:paraId="199E0870">
      <w:pPr>
        <w:spacing w:line="400" w:lineRule="exact"/>
        <w:ind w:firstLine="360" w:firstLineChars="150"/>
        <w:rPr>
          <w:rFonts w:ascii="宋体" w:hAnsi="宋体" w:cs="宋体"/>
          <w:sz w:val="24"/>
          <w:szCs w:val="22"/>
        </w:rPr>
      </w:pPr>
      <w:r>
        <w:rPr>
          <w:rFonts w:hint="eastAsia" w:ascii="宋体" w:hAnsi="宋体" w:cs="宋体"/>
          <w:sz w:val="24"/>
          <w:szCs w:val="22"/>
        </w:rPr>
        <w:t>采购人：漳州新园轻工实业有限责任公司</w:t>
      </w:r>
    </w:p>
    <w:p w14:paraId="2AEE5419">
      <w:pPr>
        <w:spacing w:line="400" w:lineRule="exact"/>
        <w:ind w:firstLine="360" w:firstLineChars="150"/>
        <w:rPr>
          <w:rFonts w:ascii="宋体" w:hAnsi="宋体" w:cs="宋体"/>
          <w:sz w:val="24"/>
          <w:szCs w:val="22"/>
        </w:rPr>
      </w:pPr>
      <w:r>
        <w:rPr>
          <w:rFonts w:hint="eastAsia" w:ascii="宋体" w:hAnsi="宋体" w:cs="宋体"/>
          <w:sz w:val="24"/>
          <w:szCs w:val="22"/>
        </w:rPr>
        <w:t>联系人：吴先生</w:t>
      </w:r>
    </w:p>
    <w:p w14:paraId="32C08A3A">
      <w:pPr>
        <w:spacing w:line="400" w:lineRule="exact"/>
        <w:ind w:firstLine="360" w:firstLineChars="150"/>
        <w:rPr>
          <w:rFonts w:ascii="宋体" w:hAnsi="宋体" w:cs="宋体"/>
          <w:sz w:val="24"/>
          <w:szCs w:val="22"/>
        </w:rPr>
      </w:pPr>
      <w:r>
        <w:rPr>
          <w:rFonts w:hint="eastAsia" w:ascii="宋体" w:hAnsi="宋体" w:cs="宋体"/>
          <w:sz w:val="24"/>
          <w:szCs w:val="22"/>
        </w:rPr>
        <w:t>联系电话：0596-2627720</w:t>
      </w:r>
    </w:p>
    <w:p w14:paraId="6080B868">
      <w:pPr>
        <w:spacing w:line="400" w:lineRule="exact"/>
        <w:ind w:firstLine="360" w:firstLineChars="150"/>
        <w:rPr>
          <w:rFonts w:ascii="宋体" w:hAnsi="宋体" w:cs="宋体"/>
          <w:sz w:val="24"/>
          <w:szCs w:val="22"/>
        </w:rPr>
      </w:pPr>
      <w:r>
        <w:rPr>
          <w:rFonts w:hint="eastAsia" w:ascii="宋体" w:hAnsi="宋体" w:cs="宋体"/>
          <w:sz w:val="24"/>
          <w:szCs w:val="22"/>
        </w:rPr>
        <w:t xml:space="preserve">地  址：漳州市芗城区南坑北路66号 </w:t>
      </w:r>
    </w:p>
    <w:p w14:paraId="63E99851">
      <w:pPr>
        <w:snapToGrid w:val="0"/>
        <w:spacing w:line="400" w:lineRule="exact"/>
        <w:rPr>
          <w:rFonts w:ascii="宋体" w:hAnsi="宋体" w:cs="宋体"/>
          <w:b/>
          <w:spacing w:val="-14"/>
          <w:sz w:val="24"/>
        </w:rPr>
      </w:pPr>
      <w:r>
        <w:rPr>
          <w:rFonts w:hint="eastAsia" w:ascii="宋体" w:hAnsi="宋体" w:cs="宋体"/>
          <w:b/>
          <w:spacing w:val="-14"/>
          <w:sz w:val="24"/>
        </w:rPr>
        <w:t>2.采购服务名称、数量及主要技术规格</w:t>
      </w:r>
      <w:r>
        <w:rPr>
          <w:rFonts w:hint="eastAsia" w:ascii="宋体" w:hAnsi="宋体" w:cs="宋体"/>
          <w:spacing w:val="-14"/>
          <w:sz w:val="24"/>
        </w:rPr>
        <w:t>：见后</w:t>
      </w:r>
      <w:r>
        <w:rPr>
          <w:rFonts w:hint="eastAsia" w:ascii="宋体" w:hAnsi="宋体" w:cs="宋体"/>
          <w:sz w:val="24"/>
        </w:rPr>
        <w:t>附“采购标的一览表”。</w:t>
      </w:r>
    </w:p>
    <w:p w14:paraId="7F8E04E9">
      <w:pPr>
        <w:snapToGrid w:val="0"/>
        <w:spacing w:line="400" w:lineRule="exact"/>
        <w:rPr>
          <w:rFonts w:ascii="宋体" w:hAnsi="宋体" w:cs="宋体"/>
          <w:sz w:val="24"/>
        </w:rPr>
      </w:pPr>
      <w:r>
        <w:rPr>
          <w:rFonts w:hint="eastAsia" w:ascii="宋体" w:hAnsi="宋体" w:cs="宋体"/>
          <w:b/>
          <w:spacing w:val="-14"/>
          <w:sz w:val="24"/>
        </w:rPr>
        <w:t>3.竞争性磋商文件</w:t>
      </w:r>
      <w:r>
        <w:rPr>
          <w:rFonts w:hint="eastAsia" w:ascii="宋体" w:hAnsi="宋体" w:cs="宋体"/>
          <w:b/>
          <w:sz w:val="24"/>
        </w:rPr>
        <w:t>报名时间：</w:t>
      </w:r>
      <w:r>
        <w:rPr>
          <w:rFonts w:hint="eastAsia" w:ascii="宋体" w:hAnsi="宋体" w:cs="宋体"/>
          <w:b w:val="0"/>
          <w:bCs/>
          <w:sz w:val="24"/>
        </w:rPr>
        <w:t>2026年1月20日至2026年1月27日</w:t>
      </w:r>
      <w:r>
        <w:rPr>
          <w:rFonts w:hint="eastAsia" w:ascii="宋体" w:hAnsi="宋体" w:cs="宋体"/>
          <w:sz w:val="24"/>
          <w:u w:val="none"/>
        </w:rPr>
        <w:t>（</w:t>
      </w:r>
      <w:r>
        <w:rPr>
          <w:rFonts w:hint="eastAsia" w:ascii="宋体" w:hAnsi="宋体" w:cs="宋体"/>
          <w:sz w:val="24"/>
        </w:rPr>
        <w:t>公休、法定节假日除外），每天上午</w:t>
      </w:r>
      <w:r>
        <w:rPr>
          <w:rFonts w:hint="eastAsia" w:ascii="宋体" w:hAnsi="宋体" w:cs="宋体"/>
          <w:sz w:val="24"/>
          <w:u w:val="single"/>
        </w:rPr>
        <w:t>8:30～12:00</w:t>
      </w:r>
      <w:r>
        <w:rPr>
          <w:rFonts w:hint="eastAsia" w:ascii="宋体" w:hAnsi="宋体" w:cs="宋体"/>
          <w:sz w:val="24"/>
        </w:rPr>
        <w:t>，下午</w:t>
      </w:r>
      <w:r>
        <w:rPr>
          <w:rFonts w:hint="eastAsia" w:ascii="宋体" w:hAnsi="宋体" w:cs="宋体"/>
          <w:sz w:val="24"/>
          <w:u w:val="single"/>
        </w:rPr>
        <w:t>14:30～</w:t>
      </w:r>
      <w:r>
        <w:rPr>
          <w:rFonts w:hint="eastAsia" w:ascii="宋体" w:hAnsi="宋体" w:cs="宋体"/>
          <w:sz w:val="24"/>
          <w:szCs w:val="24"/>
          <w:u w:val="single"/>
        </w:rPr>
        <w:t>17</w:t>
      </w:r>
      <w:r>
        <w:rPr>
          <w:rFonts w:ascii="宋体" w:hAnsi="宋体" w:cs="宋体"/>
          <w:sz w:val="24"/>
          <w:szCs w:val="24"/>
          <w:u w:val="single"/>
        </w:rPr>
        <w:t>:</w:t>
      </w:r>
      <w:r>
        <w:rPr>
          <w:rFonts w:hint="eastAsia" w:ascii="宋体" w:hAnsi="宋体" w:cs="宋体"/>
          <w:sz w:val="24"/>
          <w:szCs w:val="24"/>
          <w:u w:val="single"/>
        </w:rPr>
        <w:t>30</w:t>
      </w:r>
      <w:r>
        <w:rPr>
          <w:rFonts w:hint="eastAsia" w:ascii="宋体" w:hAnsi="宋体" w:cs="宋体"/>
          <w:sz w:val="24"/>
          <w:u w:val="single"/>
        </w:rPr>
        <w:t>（北京时间）。</w:t>
      </w:r>
      <w:r>
        <w:rPr>
          <w:rFonts w:hint="eastAsia" w:ascii="宋体" w:hAnsi="宋体" w:cs="宋体"/>
          <w:sz w:val="24"/>
        </w:rPr>
        <w:t>未购买竞争性磋商文件的潜在供应商无资格参加报价。递交响应文件时供应商名称与报名登记的名称不一致的，须提供工商管理部门出具的单位名称变更证明，否则代理机构将拒绝接收响应文件。</w:t>
      </w:r>
    </w:p>
    <w:p w14:paraId="18F426A4">
      <w:pPr>
        <w:snapToGrid w:val="0"/>
        <w:spacing w:line="400" w:lineRule="exact"/>
        <w:rPr>
          <w:rFonts w:ascii="宋体" w:hAnsi="宋体" w:cs="宋体"/>
          <w:sz w:val="24"/>
        </w:rPr>
      </w:pPr>
      <w:r>
        <w:rPr>
          <w:rFonts w:hint="eastAsia" w:ascii="宋体" w:hAnsi="宋体" w:cs="宋体"/>
          <w:b/>
          <w:sz w:val="24"/>
        </w:rPr>
        <w:t>4.竞争性磋商文件售价：</w:t>
      </w:r>
      <w:r>
        <w:rPr>
          <w:rFonts w:hint="eastAsia" w:ascii="宋体" w:hAnsi="宋体" w:cs="宋体"/>
          <w:kern w:val="0"/>
          <w:sz w:val="24"/>
          <w:szCs w:val="24"/>
        </w:rPr>
        <w:t>本次竞争性磋商文件（电子版）售价为0元</w:t>
      </w:r>
      <w:r>
        <w:rPr>
          <w:rFonts w:hint="eastAsia" w:ascii="宋体" w:hAnsi="宋体" w:cs="宋体"/>
          <w:sz w:val="24"/>
          <w:szCs w:val="22"/>
        </w:rPr>
        <w:t>。</w:t>
      </w:r>
    </w:p>
    <w:p w14:paraId="16BAB0BF">
      <w:pPr>
        <w:pStyle w:val="301"/>
        <w:widowControl w:val="0"/>
        <w:wordWrap w:val="0"/>
        <w:spacing w:line="400" w:lineRule="exact"/>
        <w:outlineLvl w:val="2"/>
        <w:rPr>
          <w:rFonts w:hint="default" w:ascii="宋体" w:hAnsi="宋体" w:cs="宋体"/>
          <w:b/>
          <w:sz w:val="24"/>
          <w:szCs w:val="24"/>
        </w:rPr>
      </w:pPr>
      <w:r>
        <w:rPr>
          <w:rFonts w:ascii="宋体" w:hAnsi="宋体" w:cs="宋体"/>
          <w:b/>
          <w:sz w:val="24"/>
          <w:szCs w:val="24"/>
        </w:rPr>
        <w:t>5.竞争性磋商文件获取期限：</w:t>
      </w:r>
    </w:p>
    <w:p w14:paraId="75C80990">
      <w:pPr>
        <w:pStyle w:val="301"/>
        <w:widowControl w:val="0"/>
        <w:wordWrap w:val="0"/>
        <w:spacing w:line="400" w:lineRule="exact"/>
        <w:rPr>
          <w:rFonts w:hint="default" w:ascii="宋体" w:hAnsi="宋体" w:cs="宋体"/>
          <w:sz w:val="24"/>
          <w:szCs w:val="24"/>
        </w:rPr>
      </w:pPr>
      <w:r>
        <w:rPr>
          <w:rFonts w:ascii="宋体" w:hAnsi="宋体" w:cs="宋体"/>
          <w:b/>
          <w:bCs/>
          <w:sz w:val="24"/>
          <w:szCs w:val="24"/>
        </w:rPr>
        <w:t>5.1获取时间：</w:t>
      </w:r>
      <w:r>
        <w:rPr>
          <w:rFonts w:hint="eastAsia" w:ascii="宋体" w:hAnsi="宋体" w:cs="宋体"/>
          <w:b w:val="0"/>
          <w:bCs w:val="0"/>
          <w:sz w:val="24"/>
          <w:szCs w:val="24"/>
        </w:rPr>
        <w:t>2026年1月20日至2026年1月27日</w:t>
      </w:r>
      <w:r>
        <w:rPr>
          <w:rFonts w:ascii="宋体" w:hAnsi="宋体" w:cs="宋体"/>
          <w:sz w:val="24"/>
          <w:szCs w:val="24"/>
        </w:rPr>
        <w:t>，每天上午08:30:00至12:00:00，下午14:30:00至17:30:00（北京时间，法定节假日除外）。</w:t>
      </w:r>
    </w:p>
    <w:p w14:paraId="7E882E12">
      <w:pPr>
        <w:pStyle w:val="301"/>
        <w:widowControl w:val="0"/>
        <w:wordWrap w:val="0"/>
        <w:spacing w:line="400" w:lineRule="exact"/>
        <w:rPr>
          <w:rFonts w:hint="default" w:ascii="宋体" w:hAnsi="宋体" w:cs="宋体"/>
          <w:sz w:val="24"/>
          <w:szCs w:val="24"/>
        </w:rPr>
      </w:pPr>
      <w:r>
        <w:rPr>
          <w:rFonts w:ascii="宋体" w:hAnsi="宋体" w:cs="宋体"/>
          <w:sz w:val="24"/>
          <w:szCs w:val="24"/>
        </w:rPr>
        <w:t>5.2获取方式：进入福建优胜招标项目管理集团有限公司官网（http://www.fjyszb.com/）注册，线上报名获取文件。</w:t>
      </w:r>
    </w:p>
    <w:p w14:paraId="716C57B9">
      <w:pPr>
        <w:tabs>
          <w:tab w:val="left" w:pos="142"/>
          <w:tab w:val="left" w:pos="284"/>
          <w:tab w:val="left" w:pos="426"/>
        </w:tabs>
        <w:snapToGrid w:val="0"/>
        <w:spacing w:line="400" w:lineRule="exact"/>
        <w:rPr>
          <w:rFonts w:ascii="宋体" w:hAnsi="宋体" w:cs="宋体"/>
          <w:sz w:val="24"/>
          <w:u w:val="single"/>
        </w:rPr>
      </w:pPr>
      <w:r>
        <w:rPr>
          <w:rFonts w:hint="eastAsia" w:ascii="宋体" w:hAnsi="宋体" w:cs="宋体"/>
          <w:sz w:val="24"/>
          <w:szCs w:val="24"/>
        </w:rPr>
        <w:t>注：未按以上规定获取竞争性磋商文件的其报价响应将被拒绝。如果采购过程中有发出更正公告，采购人将根据实际情况确定是否延长文件获取期限，则文件获取截止时间以更正公告中的约定为准。</w:t>
      </w:r>
    </w:p>
    <w:p w14:paraId="25A17C69">
      <w:pPr>
        <w:snapToGrid w:val="0"/>
        <w:spacing w:line="400" w:lineRule="exact"/>
        <w:rPr>
          <w:rFonts w:ascii="宋体" w:hAnsi="宋体" w:cs="宋体"/>
          <w:sz w:val="24"/>
        </w:rPr>
      </w:pPr>
      <w:r>
        <w:rPr>
          <w:rFonts w:hint="eastAsia" w:ascii="宋体" w:hAnsi="宋体" w:cs="宋体"/>
          <w:b/>
          <w:sz w:val="24"/>
        </w:rPr>
        <w:t>6.</w:t>
      </w:r>
      <w:r>
        <w:rPr>
          <w:rFonts w:hint="eastAsia" w:ascii="宋体" w:hAnsi="宋体" w:cs="宋体"/>
          <w:b/>
          <w:sz w:val="24"/>
          <w:szCs w:val="24"/>
        </w:rPr>
        <w:t>首次</w:t>
      </w:r>
      <w:r>
        <w:rPr>
          <w:rFonts w:hint="eastAsia" w:ascii="宋体" w:hAnsi="宋体" w:cs="宋体"/>
          <w:b/>
          <w:sz w:val="24"/>
        </w:rPr>
        <w:t>响应文件递交截止时间：</w:t>
      </w:r>
      <w:r>
        <w:rPr>
          <w:rFonts w:hint="eastAsia" w:ascii="宋体" w:hAnsi="宋体" w:cs="宋体"/>
          <w:b/>
          <w:sz w:val="24"/>
          <w:u w:val="single"/>
        </w:rPr>
        <w:t>2026年2月2日14:30</w:t>
      </w:r>
      <w:r>
        <w:rPr>
          <w:rFonts w:hint="eastAsia" w:ascii="宋体" w:hAnsi="宋体" w:cs="宋体"/>
          <w:b/>
          <w:bCs/>
          <w:sz w:val="24"/>
          <w:u w:val="single"/>
        </w:rPr>
        <w:t>（北京时间）</w:t>
      </w:r>
      <w:r>
        <w:rPr>
          <w:rFonts w:hint="eastAsia" w:ascii="宋体" w:hAnsi="宋体" w:cs="宋体"/>
          <w:sz w:val="24"/>
        </w:rPr>
        <w:t>。供应商应在此之前将密封的响应文件送达，逾期送达的或不符合规定的响应文件将被拒绝接受。</w:t>
      </w:r>
    </w:p>
    <w:p w14:paraId="7EE5A07E">
      <w:pPr>
        <w:snapToGrid w:val="0"/>
        <w:spacing w:line="400" w:lineRule="exact"/>
        <w:rPr>
          <w:rFonts w:ascii="宋体" w:hAnsi="宋体" w:cs="宋体"/>
          <w:b/>
          <w:sz w:val="24"/>
        </w:rPr>
      </w:pPr>
      <w:r>
        <w:rPr>
          <w:rFonts w:hint="eastAsia" w:ascii="宋体" w:hAnsi="宋体" w:cs="宋体"/>
          <w:b/>
          <w:sz w:val="24"/>
        </w:rPr>
        <w:t>7.磋商截止时间：</w:t>
      </w:r>
      <w:r>
        <w:rPr>
          <w:rFonts w:hint="eastAsia" w:ascii="宋体" w:hAnsi="宋体" w:cs="宋体"/>
          <w:b/>
          <w:sz w:val="24"/>
          <w:u w:val="single"/>
        </w:rPr>
        <w:t>2026年2月2日14:30</w:t>
      </w:r>
      <w:r>
        <w:rPr>
          <w:rFonts w:hint="eastAsia" w:ascii="宋体" w:hAnsi="宋体" w:cs="宋体"/>
          <w:b/>
          <w:bCs/>
          <w:sz w:val="24"/>
          <w:u w:val="single"/>
        </w:rPr>
        <w:t>（北京时间）</w:t>
      </w:r>
      <w:r>
        <w:rPr>
          <w:rFonts w:hint="eastAsia" w:ascii="宋体" w:hAnsi="宋体" w:cs="宋体"/>
          <w:sz w:val="24"/>
        </w:rPr>
        <w:t>。</w:t>
      </w:r>
    </w:p>
    <w:p w14:paraId="56443F99">
      <w:pPr>
        <w:snapToGrid w:val="0"/>
        <w:spacing w:line="400" w:lineRule="exact"/>
        <w:rPr>
          <w:rFonts w:ascii="宋体" w:hAnsi="宋体" w:cs="宋体"/>
          <w:sz w:val="24"/>
        </w:rPr>
      </w:pPr>
      <w:r>
        <w:rPr>
          <w:rFonts w:hint="eastAsia" w:ascii="宋体" w:hAnsi="宋体" w:cs="宋体"/>
          <w:b/>
          <w:sz w:val="24"/>
        </w:rPr>
        <w:t>8.响应文件递交地点：</w:t>
      </w:r>
      <w:r>
        <w:rPr>
          <w:rFonts w:hint="eastAsia" w:ascii="宋体" w:hAnsi="宋体" w:cs="宋体"/>
          <w:b/>
          <w:sz w:val="24"/>
          <w:szCs w:val="24"/>
          <w:u w:val="single"/>
        </w:rPr>
        <w:t>福州市鼓楼区福三路20号华润万象城一期S2#楼4层</w:t>
      </w:r>
      <w:r>
        <w:rPr>
          <w:rFonts w:hint="eastAsia" w:ascii="宋体" w:hAnsi="宋体" w:cs="宋体"/>
          <w:sz w:val="24"/>
        </w:rPr>
        <w:t>。</w:t>
      </w:r>
    </w:p>
    <w:p w14:paraId="6A08D22E">
      <w:pPr>
        <w:snapToGrid w:val="0"/>
        <w:spacing w:line="400" w:lineRule="exact"/>
        <w:rPr>
          <w:rFonts w:ascii="宋体" w:hAnsi="宋体" w:cs="宋体"/>
          <w:bCs/>
          <w:sz w:val="24"/>
        </w:rPr>
      </w:pPr>
      <w:r>
        <w:rPr>
          <w:rFonts w:hint="eastAsia" w:ascii="宋体" w:hAnsi="宋体" w:cs="宋体"/>
          <w:sz w:val="24"/>
        </w:rPr>
        <w:t>9.供应商对本次采购活动事项提出疑问的，应在报名竞争性磋商文件之日起7个工作日内及国家规定的时限前，按照规定的格式，将问题以书面形式与本采购代理机构联系（逾期或不按规定格式呈送的将不予受理）。</w:t>
      </w:r>
    </w:p>
    <w:p w14:paraId="79EDE0AE">
      <w:pPr>
        <w:snapToGrid w:val="0"/>
        <w:spacing w:line="400" w:lineRule="exact"/>
        <w:rPr>
          <w:rFonts w:ascii="宋体" w:hAnsi="宋体" w:cs="宋体"/>
          <w:sz w:val="24"/>
        </w:rPr>
      </w:pPr>
      <w:r>
        <w:rPr>
          <w:rFonts w:hint="eastAsia" w:ascii="宋体" w:hAnsi="宋体" w:cs="宋体"/>
          <w:sz w:val="24"/>
        </w:rPr>
        <w:t>10.以上如有变更，我公司将通过下列媒体通知，请各潜在供应商及时关注：</w:t>
      </w:r>
    </w:p>
    <w:p w14:paraId="1278D007">
      <w:pPr>
        <w:numPr>
          <w:ilvl w:val="1"/>
          <w:numId w:val="9"/>
        </w:numPr>
        <w:snapToGrid w:val="0"/>
        <w:spacing w:line="400" w:lineRule="exact"/>
        <w:rPr>
          <w:rFonts w:ascii="宋体" w:hAnsi="宋体" w:cs="宋体"/>
          <w:sz w:val="24"/>
        </w:rPr>
      </w:pPr>
      <w:r>
        <w:rPr>
          <w:rFonts w:hint="eastAsia" w:ascii="宋体" w:hAnsi="宋体" w:cs="宋体"/>
          <w:sz w:val="24"/>
        </w:rPr>
        <w:t>福建省国资采购平台：</w:t>
      </w:r>
      <w:r>
        <w:rPr>
          <w:rStyle w:val="57"/>
          <w:rFonts w:hint="eastAsia" w:ascii="宋体" w:hAnsi="宋体" w:cs="宋体"/>
          <w:color w:val="auto"/>
          <w:sz w:val="24"/>
        </w:rPr>
        <w:t>https://ygcg.fjcqjy.com/</w:t>
      </w:r>
    </w:p>
    <w:p w14:paraId="4381B335">
      <w:pPr>
        <w:numPr>
          <w:ilvl w:val="1"/>
          <w:numId w:val="9"/>
        </w:numPr>
        <w:snapToGrid w:val="0"/>
        <w:spacing w:line="400" w:lineRule="exact"/>
        <w:rPr>
          <w:rFonts w:ascii="宋体" w:hAnsi="宋体" w:cs="宋体"/>
        </w:rPr>
      </w:pPr>
      <w:r>
        <w:rPr>
          <w:rFonts w:ascii="宋体" w:hAnsi="宋体" w:cs="宋体"/>
          <w:bCs/>
          <w:sz w:val="24"/>
          <w:szCs w:val="24"/>
        </w:rPr>
        <w:t>福建优胜招标项目管理集团有限公司</w:t>
      </w:r>
      <w:r>
        <w:rPr>
          <w:rFonts w:hint="eastAsia" w:ascii="宋体" w:hAnsi="宋体" w:cs="宋体"/>
          <w:sz w:val="24"/>
        </w:rPr>
        <w:t>：</w:t>
      </w:r>
      <w:r>
        <w:rPr>
          <w:rFonts w:ascii="宋体" w:hAnsi="宋体" w:cs="宋体"/>
          <w:bCs/>
          <w:sz w:val="24"/>
          <w:szCs w:val="24"/>
        </w:rPr>
        <w:t>http://www.fjyszb.com</w:t>
      </w:r>
    </w:p>
    <w:p w14:paraId="1ED6A364">
      <w:pPr>
        <w:snapToGrid w:val="0"/>
        <w:spacing w:line="400" w:lineRule="exact"/>
        <w:rPr>
          <w:rFonts w:ascii="宋体" w:hAnsi="宋体" w:cs="宋体"/>
          <w:sz w:val="24"/>
          <w:szCs w:val="24"/>
        </w:rPr>
      </w:pPr>
      <w:r>
        <w:rPr>
          <w:rFonts w:hint="eastAsia" w:ascii="宋体" w:hAnsi="宋体" w:cs="宋体"/>
          <w:sz w:val="24"/>
          <w:szCs w:val="24"/>
        </w:rPr>
        <w:t>11.相关联系人及联系方式</w:t>
      </w:r>
    </w:p>
    <w:p w14:paraId="01E9E6E3">
      <w:pPr>
        <w:snapToGrid w:val="0"/>
        <w:spacing w:line="400" w:lineRule="exact"/>
        <w:ind w:firstLine="480"/>
        <w:rPr>
          <w:rFonts w:ascii="宋体" w:hAnsi="宋体" w:cs="宋体"/>
          <w:sz w:val="24"/>
          <w:szCs w:val="24"/>
        </w:rPr>
      </w:pPr>
      <w:r>
        <w:rPr>
          <w:rFonts w:hint="eastAsia" w:ascii="宋体" w:hAnsi="宋体" w:cs="宋体"/>
          <w:sz w:val="24"/>
          <w:szCs w:val="24"/>
        </w:rPr>
        <w:t>代理机构：福建优胜招标项目管理集团有限公司</w:t>
      </w:r>
    </w:p>
    <w:p w14:paraId="63EFD6AB">
      <w:pPr>
        <w:snapToGrid w:val="0"/>
        <w:spacing w:line="400" w:lineRule="exact"/>
        <w:ind w:firstLine="480"/>
        <w:rPr>
          <w:rFonts w:ascii="宋体" w:hAnsi="宋体" w:cs="宋体"/>
          <w:sz w:val="24"/>
          <w:szCs w:val="24"/>
        </w:rPr>
      </w:pPr>
      <w:r>
        <w:rPr>
          <w:rFonts w:hint="eastAsia" w:ascii="宋体" w:hAnsi="宋体" w:cs="宋体"/>
          <w:sz w:val="24"/>
          <w:szCs w:val="24"/>
        </w:rPr>
        <w:t>地址：福州市鼓楼区华润万象城一期S2号四层</w:t>
      </w:r>
    </w:p>
    <w:p w14:paraId="4398CF4D">
      <w:pPr>
        <w:snapToGrid w:val="0"/>
        <w:spacing w:line="400" w:lineRule="exact"/>
        <w:ind w:firstLine="480"/>
        <w:rPr>
          <w:rFonts w:ascii="宋体" w:hAnsi="宋体" w:cs="宋体"/>
          <w:sz w:val="24"/>
          <w:szCs w:val="24"/>
        </w:rPr>
      </w:pPr>
      <w:r>
        <w:rPr>
          <w:rFonts w:hint="eastAsia" w:ascii="宋体" w:hAnsi="宋体" w:cs="宋体"/>
          <w:sz w:val="24"/>
          <w:szCs w:val="24"/>
        </w:rPr>
        <w:t>联系人：林榕华、周翔、马光锦</w:t>
      </w:r>
    </w:p>
    <w:p w14:paraId="0271CEDD">
      <w:pPr>
        <w:snapToGrid w:val="0"/>
        <w:spacing w:line="400" w:lineRule="exact"/>
        <w:ind w:firstLine="480"/>
        <w:rPr>
          <w:rFonts w:ascii="宋体" w:hAnsi="宋体" w:cs="宋体"/>
          <w:sz w:val="24"/>
        </w:rPr>
      </w:pPr>
      <w:r>
        <w:rPr>
          <w:rFonts w:hint="eastAsia" w:ascii="宋体" w:hAnsi="宋体" w:cs="宋体"/>
          <w:sz w:val="24"/>
          <w:szCs w:val="24"/>
        </w:rPr>
        <w:t>联系电话：0591-87679372、87679352</w:t>
      </w:r>
    </w:p>
    <w:p w14:paraId="611B61B6">
      <w:pPr>
        <w:pStyle w:val="301"/>
        <w:widowControl w:val="0"/>
        <w:wordWrap w:val="0"/>
        <w:spacing w:line="400" w:lineRule="exact"/>
        <w:rPr>
          <w:rFonts w:hint="default" w:ascii="宋体" w:hAnsi="宋体" w:cs="宋体"/>
          <w:sz w:val="24"/>
          <w:szCs w:val="24"/>
        </w:rPr>
      </w:pPr>
      <w:r>
        <w:rPr>
          <w:rFonts w:ascii="宋体" w:hAnsi="宋体" w:cs="宋体"/>
          <w:b/>
          <w:sz w:val="24"/>
          <w:szCs w:val="24"/>
        </w:rPr>
        <w:t>附1：提交磋商保证金及代理服务费的银行账户信息</w:t>
      </w:r>
    </w:p>
    <w:tbl>
      <w:tblPr>
        <w:tblStyle w:val="49"/>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9220"/>
      </w:tblGrid>
      <w:tr w14:paraId="47C290B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43" w:hRule="atLeast"/>
        </w:trPr>
        <w:tc>
          <w:tcPr>
            <w:tcW w:w="9220" w:type="dxa"/>
          </w:tcPr>
          <w:p w14:paraId="6B49179C">
            <w:pPr>
              <w:pStyle w:val="301"/>
              <w:widowControl w:val="0"/>
              <w:wordWrap w:val="0"/>
              <w:spacing w:line="440" w:lineRule="exact"/>
              <w:jc w:val="center"/>
              <w:rPr>
                <w:rFonts w:hint="default" w:ascii="宋体" w:hAnsi="宋体" w:cs="宋体"/>
                <w:sz w:val="24"/>
                <w:szCs w:val="24"/>
              </w:rPr>
            </w:pPr>
            <w:r>
              <w:rPr>
                <w:rFonts w:ascii="宋体" w:hAnsi="宋体" w:cs="宋体"/>
                <w:b/>
                <w:sz w:val="24"/>
                <w:szCs w:val="24"/>
              </w:rPr>
              <w:t>银行账户</w:t>
            </w:r>
          </w:p>
        </w:tc>
      </w:tr>
      <w:tr w14:paraId="54F303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43" w:hRule="atLeast"/>
        </w:trPr>
        <w:tc>
          <w:tcPr>
            <w:tcW w:w="9220" w:type="dxa"/>
          </w:tcPr>
          <w:p w14:paraId="233555ED">
            <w:pPr>
              <w:pStyle w:val="301"/>
              <w:widowControl w:val="0"/>
              <w:wordWrap w:val="0"/>
              <w:spacing w:line="440" w:lineRule="exact"/>
              <w:rPr>
                <w:rFonts w:hint="default" w:ascii="宋体" w:hAnsi="宋体" w:cs="宋体"/>
                <w:bCs/>
                <w:sz w:val="24"/>
                <w:szCs w:val="24"/>
              </w:rPr>
            </w:pPr>
            <w:r>
              <w:rPr>
                <w:rFonts w:ascii="宋体" w:hAnsi="宋体" w:cs="宋体"/>
                <w:bCs/>
                <w:sz w:val="24"/>
                <w:szCs w:val="24"/>
              </w:rPr>
              <w:t>开户名称：福建优胜招标项目管理集团有限公司</w:t>
            </w:r>
          </w:p>
          <w:p w14:paraId="69DADF0F">
            <w:pPr>
              <w:pStyle w:val="301"/>
              <w:widowControl w:val="0"/>
              <w:wordWrap w:val="0"/>
              <w:spacing w:line="440" w:lineRule="exact"/>
              <w:rPr>
                <w:rFonts w:hint="default" w:ascii="宋体" w:hAnsi="宋体" w:cs="宋体"/>
                <w:bCs/>
                <w:sz w:val="24"/>
                <w:szCs w:val="24"/>
              </w:rPr>
            </w:pPr>
            <w:r>
              <w:rPr>
                <w:rFonts w:ascii="宋体" w:hAnsi="宋体" w:cs="宋体"/>
                <w:bCs/>
                <w:sz w:val="24"/>
                <w:szCs w:val="24"/>
              </w:rPr>
              <w:t>开户银行：兴业银行福州华林支行</w:t>
            </w:r>
          </w:p>
          <w:p w14:paraId="39FD3808">
            <w:pPr>
              <w:pStyle w:val="301"/>
              <w:widowControl w:val="0"/>
              <w:wordWrap w:val="0"/>
              <w:spacing w:line="440" w:lineRule="exact"/>
              <w:rPr>
                <w:rFonts w:hint="default" w:ascii="宋体" w:hAnsi="宋体" w:cs="宋体"/>
                <w:sz w:val="24"/>
                <w:szCs w:val="24"/>
              </w:rPr>
            </w:pPr>
            <w:r>
              <w:rPr>
                <w:rFonts w:ascii="宋体" w:hAnsi="宋体" w:cs="宋体"/>
                <w:bCs/>
                <w:sz w:val="24"/>
                <w:szCs w:val="24"/>
              </w:rPr>
              <w:t>账    号：11713 01001 000 37952</w:t>
            </w:r>
          </w:p>
        </w:tc>
      </w:tr>
      <w:tr w14:paraId="16401BC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43" w:hRule="atLeast"/>
        </w:trPr>
        <w:tc>
          <w:tcPr>
            <w:tcW w:w="9220" w:type="dxa"/>
          </w:tcPr>
          <w:p w14:paraId="6A47B6DE">
            <w:pPr>
              <w:pStyle w:val="301"/>
              <w:widowControl w:val="0"/>
              <w:wordWrap w:val="0"/>
              <w:spacing w:line="440" w:lineRule="exact"/>
              <w:jc w:val="center"/>
              <w:rPr>
                <w:rFonts w:hint="default" w:ascii="宋体" w:hAnsi="宋体" w:cs="宋体"/>
                <w:sz w:val="24"/>
                <w:szCs w:val="24"/>
              </w:rPr>
            </w:pPr>
            <w:r>
              <w:rPr>
                <w:rFonts w:ascii="宋体" w:hAnsi="宋体" w:cs="宋体"/>
                <w:b/>
                <w:sz w:val="24"/>
                <w:szCs w:val="24"/>
              </w:rPr>
              <w:t>特别提示</w:t>
            </w:r>
          </w:p>
        </w:tc>
      </w:tr>
      <w:tr w14:paraId="7792AB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762" w:hRule="atLeast"/>
        </w:trPr>
        <w:tc>
          <w:tcPr>
            <w:tcW w:w="9220" w:type="dxa"/>
          </w:tcPr>
          <w:p w14:paraId="56280996">
            <w:pPr>
              <w:pStyle w:val="301"/>
              <w:widowControl w:val="0"/>
              <w:wordWrap w:val="0"/>
              <w:spacing w:line="440" w:lineRule="exact"/>
              <w:rPr>
                <w:rFonts w:hint="default" w:ascii="宋体" w:hAnsi="宋体" w:cs="宋体"/>
                <w:bCs/>
                <w:sz w:val="24"/>
                <w:szCs w:val="24"/>
              </w:rPr>
            </w:pPr>
            <w:r>
              <w:rPr>
                <w:rFonts w:ascii="宋体" w:hAnsi="宋体" w:cs="宋体"/>
                <w:bCs/>
                <w:sz w:val="24"/>
                <w:szCs w:val="24"/>
              </w:rPr>
              <w:t>1.请供应商务必认真核对账户信息，将磋商保证金或代理服务费款项汇入对应账户，并自行承担因款项汇错而产生的一切后果。</w:t>
            </w:r>
          </w:p>
          <w:p w14:paraId="3EF3D4EC">
            <w:pPr>
              <w:pStyle w:val="301"/>
              <w:widowControl w:val="0"/>
              <w:wordWrap w:val="0"/>
              <w:spacing w:line="440" w:lineRule="exact"/>
              <w:rPr>
                <w:rFonts w:hint="default" w:ascii="宋体" w:hAnsi="宋体" w:cs="宋体"/>
                <w:bCs/>
                <w:sz w:val="24"/>
                <w:szCs w:val="24"/>
              </w:rPr>
            </w:pPr>
            <w:r>
              <w:rPr>
                <w:rFonts w:ascii="宋体" w:hAnsi="宋体" w:cs="宋体"/>
                <w:bCs/>
                <w:sz w:val="24"/>
                <w:szCs w:val="24"/>
              </w:rPr>
              <w:t>2.请供应商在转账或电汇的凭证上务必按照以下格式注明，以便核对：“（项目编号：***、合同包：***）”。</w:t>
            </w:r>
          </w:p>
          <w:p w14:paraId="51DB7B71">
            <w:pPr>
              <w:pStyle w:val="301"/>
              <w:widowControl w:val="0"/>
              <w:wordWrap w:val="0"/>
              <w:spacing w:line="440" w:lineRule="exact"/>
              <w:rPr>
                <w:rFonts w:hint="default" w:ascii="宋体" w:hAnsi="宋体" w:cs="宋体"/>
                <w:b/>
                <w:sz w:val="24"/>
                <w:szCs w:val="24"/>
              </w:rPr>
            </w:pPr>
            <w:r>
              <w:rPr>
                <w:rFonts w:ascii="宋体" w:hAnsi="宋体" w:cs="宋体"/>
                <w:bCs/>
                <w:sz w:val="24"/>
                <w:szCs w:val="24"/>
              </w:rPr>
              <w:t>3.若投多个合同包的，请供应商分别根据所投合同包的要求，进行缴交。</w:t>
            </w:r>
          </w:p>
        </w:tc>
      </w:tr>
    </w:tbl>
    <w:p w14:paraId="11E00105">
      <w:pPr>
        <w:spacing w:line="360" w:lineRule="auto"/>
        <w:ind w:firstLine="480" w:firstLineChars="200"/>
        <w:rPr>
          <w:rFonts w:ascii="宋体" w:hAnsi="宋体" w:cs="宋体"/>
          <w:sz w:val="24"/>
          <w:u w:val="single"/>
        </w:rPr>
      </w:pPr>
    </w:p>
    <w:p w14:paraId="504C1835">
      <w:pPr>
        <w:snapToGrid w:val="0"/>
        <w:spacing w:line="360" w:lineRule="auto"/>
        <w:rPr>
          <w:rFonts w:ascii="宋体" w:hAnsi="宋体" w:cs="宋体"/>
        </w:rPr>
        <w:sectPr>
          <w:footerReference r:id="rId5" w:type="default"/>
          <w:pgSz w:w="11907" w:h="16840"/>
          <w:pgMar w:top="1440" w:right="1080" w:bottom="1440" w:left="1080" w:header="851" w:footer="992" w:gutter="0"/>
          <w:cols w:space="720" w:num="1"/>
          <w:docGrid w:linePitch="312" w:charSpace="0"/>
        </w:sectPr>
      </w:pPr>
    </w:p>
    <w:p w14:paraId="0F80B1E5">
      <w:pPr>
        <w:pStyle w:val="27"/>
        <w:snapToGrid w:val="0"/>
        <w:spacing w:line="360" w:lineRule="auto"/>
        <w:outlineLvl w:val="0"/>
        <w:rPr>
          <w:rFonts w:hAnsi="宋体" w:cs="宋体"/>
          <w:b/>
          <w:sz w:val="28"/>
        </w:rPr>
      </w:pPr>
      <w:bookmarkStart w:id="5" w:name="_Toc27849"/>
      <w:bookmarkStart w:id="6" w:name="_Toc24037_WPSOffice_Level2"/>
      <w:bookmarkStart w:id="7" w:name="_Toc23068_WPSOffice_Level2"/>
      <w:r>
        <w:rPr>
          <w:rFonts w:hint="eastAsia" w:hAnsi="宋体" w:cs="宋体"/>
          <w:b/>
          <w:sz w:val="28"/>
        </w:rPr>
        <w:t>附：</w:t>
      </w:r>
      <w:bookmarkEnd w:id="5"/>
      <w:bookmarkEnd w:id="6"/>
      <w:bookmarkEnd w:id="7"/>
      <w:bookmarkStart w:id="8" w:name="招标货物（服务）一览表"/>
      <w:bookmarkEnd w:id="8"/>
    </w:p>
    <w:p w14:paraId="2C0B9694">
      <w:pPr>
        <w:pStyle w:val="27"/>
        <w:snapToGrid w:val="0"/>
        <w:spacing w:line="360" w:lineRule="auto"/>
        <w:jc w:val="center"/>
        <w:outlineLvl w:val="0"/>
        <w:rPr>
          <w:rFonts w:hAnsi="宋体" w:cs="宋体"/>
          <w:b/>
          <w:sz w:val="28"/>
        </w:rPr>
      </w:pPr>
      <w:bookmarkStart w:id="9" w:name="_Toc17992_WPSOffice_Level3"/>
      <w:bookmarkStart w:id="10" w:name="_Toc13975"/>
      <w:bookmarkStart w:id="11" w:name="_Toc23242_WPSOffice_Level3"/>
      <w:r>
        <w:rPr>
          <w:rFonts w:hint="eastAsia" w:hAnsi="宋体" w:cs="宋体"/>
          <w:b/>
          <w:sz w:val="28"/>
        </w:rPr>
        <w:t>采购标的一览表</w:t>
      </w:r>
      <w:bookmarkEnd w:id="9"/>
      <w:bookmarkEnd w:id="10"/>
      <w:bookmarkEnd w:id="11"/>
    </w:p>
    <w:p w14:paraId="69CE666C">
      <w:pPr>
        <w:pStyle w:val="255"/>
        <w:ind w:firstLine="2040"/>
        <w:jc w:val="center"/>
        <w:rPr>
          <w:rFonts w:ascii="宋体" w:hAnsi="宋体" w:cs="宋体"/>
          <w:sz w:val="24"/>
        </w:rPr>
      </w:pPr>
      <w:r>
        <w:rPr>
          <w:rFonts w:hint="eastAsia" w:ascii="宋体" w:hAnsi="宋体" w:cs="宋体"/>
          <w:sz w:val="24"/>
        </w:rPr>
        <w:t xml:space="preserve">                                       金额单位：人民币元</w:t>
      </w:r>
    </w:p>
    <w:tbl>
      <w:tblPr>
        <w:tblStyle w:val="49"/>
        <w:tblW w:w="5021" w:type="pct"/>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951"/>
        <w:gridCol w:w="861"/>
        <w:gridCol w:w="3046"/>
        <w:gridCol w:w="1073"/>
        <w:gridCol w:w="1215"/>
        <w:gridCol w:w="1329"/>
        <w:gridCol w:w="1329"/>
      </w:tblGrid>
      <w:tr w14:paraId="6AB9EB5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05" w:hRule="atLeast"/>
          <w:tblHeader/>
          <w:jc w:val="center"/>
        </w:trPr>
        <w:tc>
          <w:tcPr>
            <w:tcW w:w="485" w:type="pct"/>
            <w:tcBorders>
              <w:top w:val="outset" w:color="auto" w:sz="6" w:space="0"/>
              <w:left w:val="outset" w:color="auto" w:sz="6" w:space="0"/>
              <w:bottom w:val="outset" w:color="auto" w:sz="6" w:space="0"/>
              <w:right w:val="outset" w:color="auto" w:sz="6" w:space="0"/>
            </w:tcBorders>
            <w:vAlign w:val="center"/>
          </w:tcPr>
          <w:p w14:paraId="3BDB7B38">
            <w:pPr>
              <w:widowControl/>
              <w:jc w:val="center"/>
              <w:rPr>
                <w:rFonts w:ascii="宋体" w:hAnsi="宋体" w:cs="宋体"/>
              </w:rPr>
            </w:pPr>
            <w:r>
              <w:rPr>
                <w:rFonts w:hint="eastAsia" w:ascii="宋体" w:hAnsi="宋体" w:cs="宋体"/>
                <w:kern w:val="0"/>
                <w:sz w:val="24"/>
              </w:rPr>
              <w:t>合同包</w:t>
            </w:r>
          </w:p>
        </w:tc>
        <w:tc>
          <w:tcPr>
            <w:tcW w:w="439" w:type="pct"/>
            <w:tcBorders>
              <w:top w:val="outset" w:color="auto" w:sz="6" w:space="0"/>
              <w:left w:val="outset" w:color="auto" w:sz="6" w:space="0"/>
              <w:bottom w:val="outset" w:color="auto" w:sz="6" w:space="0"/>
              <w:right w:val="outset" w:color="auto" w:sz="6" w:space="0"/>
            </w:tcBorders>
            <w:vAlign w:val="center"/>
          </w:tcPr>
          <w:p w14:paraId="0C3F5627">
            <w:pPr>
              <w:widowControl/>
              <w:jc w:val="center"/>
              <w:rPr>
                <w:rFonts w:ascii="宋体" w:hAnsi="宋体" w:cs="宋体"/>
              </w:rPr>
            </w:pPr>
            <w:r>
              <w:rPr>
                <w:rFonts w:hint="eastAsia" w:ascii="宋体" w:hAnsi="宋体" w:cs="宋体"/>
                <w:kern w:val="0"/>
                <w:sz w:val="24"/>
              </w:rPr>
              <w:t>品目号</w:t>
            </w:r>
          </w:p>
        </w:tc>
        <w:tc>
          <w:tcPr>
            <w:tcW w:w="1552" w:type="pct"/>
            <w:tcBorders>
              <w:top w:val="outset" w:color="auto" w:sz="6" w:space="0"/>
              <w:left w:val="outset" w:color="auto" w:sz="6" w:space="0"/>
              <w:bottom w:val="outset" w:color="auto" w:sz="6" w:space="0"/>
              <w:right w:val="outset" w:color="auto" w:sz="6" w:space="0"/>
            </w:tcBorders>
            <w:vAlign w:val="center"/>
          </w:tcPr>
          <w:p w14:paraId="122EF85E">
            <w:pPr>
              <w:widowControl/>
              <w:jc w:val="center"/>
              <w:rPr>
                <w:rFonts w:ascii="宋体" w:hAnsi="宋体" w:cs="宋体"/>
              </w:rPr>
            </w:pPr>
            <w:r>
              <w:rPr>
                <w:rFonts w:hint="eastAsia" w:ascii="宋体" w:hAnsi="宋体" w:cs="宋体"/>
                <w:kern w:val="0"/>
                <w:sz w:val="24"/>
              </w:rPr>
              <w:t>采购标的</w:t>
            </w:r>
          </w:p>
        </w:tc>
        <w:tc>
          <w:tcPr>
            <w:tcW w:w="547" w:type="pct"/>
            <w:tcBorders>
              <w:top w:val="outset" w:color="auto" w:sz="6" w:space="0"/>
              <w:left w:val="outset" w:color="auto" w:sz="6" w:space="0"/>
              <w:bottom w:val="outset" w:color="auto" w:sz="6" w:space="0"/>
              <w:right w:val="outset" w:color="auto" w:sz="6" w:space="0"/>
            </w:tcBorders>
            <w:vAlign w:val="center"/>
          </w:tcPr>
          <w:p w14:paraId="0682AE8F">
            <w:pPr>
              <w:widowControl/>
              <w:jc w:val="center"/>
              <w:rPr>
                <w:rFonts w:ascii="宋体" w:hAnsi="宋体" w:cs="宋体"/>
              </w:rPr>
            </w:pPr>
            <w:r>
              <w:rPr>
                <w:rFonts w:hint="eastAsia" w:ascii="宋体" w:hAnsi="宋体" w:cs="宋体"/>
                <w:kern w:val="0"/>
                <w:sz w:val="24"/>
              </w:rPr>
              <w:t>数量</w:t>
            </w:r>
          </w:p>
        </w:tc>
        <w:tc>
          <w:tcPr>
            <w:tcW w:w="619" w:type="pct"/>
            <w:tcBorders>
              <w:top w:val="outset" w:color="auto" w:sz="6" w:space="0"/>
              <w:left w:val="outset" w:color="auto" w:sz="6" w:space="0"/>
              <w:bottom w:val="outset" w:color="auto" w:sz="6" w:space="0"/>
              <w:right w:val="outset" w:color="auto" w:sz="6" w:space="0"/>
            </w:tcBorders>
            <w:vAlign w:val="center"/>
          </w:tcPr>
          <w:p w14:paraId="1F7329E0">
            <w:pPr>
              <w:widowControl/>
              <w:jc w:val="center"/>
              <w:rPr>
                <w:rFonts w:ascii="宋体" w:hAnsi="宋体" w:cs="宋体"/>
                <w:sz w:val="24"/>
              </w:rPr>
            </w:pPr>
            <w:r>
              <w:rPr>
                <w:rFonts w:hint="eastAsia" w:ascii="宋体" w:hAnsi="宋体" w:cs="宋体"/>
                <w:sz w:val="24"/>
              </w:rPr>
              <w:t>最高限价</w:t>
            </w:r>
          </w:p>
          <w:p w14:paraId="497AAA0F">
            <w:pPr>
              <w:widowControl/>
              <w:jc w:val="center"/>
              <w:rPr>
                <w:rFonts w:ascii="宋体" w:hAnsi="宋体" w:cs="宋体"/>
              </w:rPr>
            </w:pPr>
            <w:r>
              <w:rPr>
                <w:rFonts w:hint="eastAsia" w:ascii="宋体" w:hAnsi="宋体" w:cs="宋体"/>
                <w:sz w:val="24"/>
              </w:rPr>
              <w:t>（预算价）</w:t>
            </w:r>
          </w:p>
        </w:tc>
        <w:tc>
          <w:tcPr>
            <w:tcW w:w="677" w:type="pct"/>
            <w:tcBorders>
              <w:top w:val="outset" w:color="auto" w:sz="6" w:space="0"/>
              <w:left w:val="outset" w:color="auto" w:sz="6" w:space="0"/>
              <w:bottom w:val="outset" w:color="auto" w:sz="6" w:space="0"/>
              <w:right w:val="outset" w:color="auto" w:sz="6" w:space="0"/>
            </w:tcBorders>
            <w:vAlign w:val="center"/>
          </w:tcPr>
          <w:p w14:paraId="79AF1076">
            <w:pPr>
              <w:widowControl/>
              <w:jc w:val="center"/>
              <w:rPr>
                <w:rFonts w:ascii="宋体" w:hAnsi="宋体" w:cs="宋体"/>
              </w:rPr>
            </w:pPr>
            <w:r>
              <w:rPr>
                <w:rFonts w:hint="eastAsia" w:ascii="宋体" w:hAnsi="宋体" w:cs="宋体"/>
                <w:kern w:val="0"/>
                <w:sz w:val="24"/>
              </w:rPr>
              <w:t>磋商保证金</w:t>
            </w:r>
          </w:p>
        </w:tc>
        <w:tc>
          <w:tcPr>
            <w:tcW w:w="677" w:type="pct"/>
            <w:tcBorders>
              <w:top w:val="outset" w:color="auto" w:sz="6" w:space="0"/>
              <w:left w:val="outset" w:color="auto" w:sz="6" w:space="0"/>
              <w:bottom w:val="outset" w:color="auto" w:sz="6" w:space="0"/>
              <w:right w:val="outset" w:color="auto" w:sz="6" w:space="0"/>
            </w:tcBorders>
            <w:vAlign w:val="center"/>
          </w:tcPr>
          <w:p w14:paraId="6CFACC90">
            <w:pPr>
              <w:widowControl/>
              <w:jc w:val="center"/>
              <w:rPr>
                <w:rFonts w:ascii="宋体" w:hAnsi="宋体" w:cs="宋体"/>
                <w:kern w:val="0"/>
                <w:sz w:val="24"/>
              </w:rPr>
            </w:pPr>
            <w:r>
              <w:rPr>
                <w:rFonts w:hint="eastAsia" w:ascii="宋体" w:hAnsi="宋体" w:cs="宋体"/>
                <w:kern w:val="0"/>
                <w:sz w:val="24"/>
              </w:rPr>
              <w:t>品目编码及品目名称</w:t>
            </w:r>
          </w:p>
        </w:tc>
      </w:tr>
      <w:tr w14:paraId="3B81F7F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885" w:hRule="atLeast"/>
          <w:tblHeader/>
          <w:jc w:val="center"/>
        </w:trPr>
        <w:tc>
          <w:tcPr>
            <w:tcW w:w="485" w:type="pct"/>
            <w:tcBorders>
              <w:top w:val="outset" w:color="auto" w:sz="6" w:space="0"/>
              <w:left w:val="outset" w:color="auto" w:sz="6" w:space="0"/>
              <w:right w:val="outset" w:color="auto" w:sz="6" w:space="0"/>
            </w:tcBorders>
            <w:vAlign w:val="center"/>
          </w:tcPr>
          <w:p w14:paraId="2F743554">
            <w:pPr>
              <w:widowControl/>
              <w:jc w:val="center"/>
              <w:rPr>
                <w:rFonts w:ascii="宋体" w:hAnsi="宋体" w:cs="宋体"/>
                <w:kern w:val="0"/>
                <w:sz w:val="24"/>
              </w:rPr>
            </w:pPr>
            <w:r>
              <w:rPr>
                <w:rFonts w:hint="eastAsia" w:ascii="宋体" w:hAnsi="宋体" w:cs="宋体"/>
                <w:kern w:val="0"/>
                <w:sz w:val="24"/>
              </w:rPr>
              <w:t>1</w:t>
            </w:r>
          </w:p>
        </w:tc>
        <w:tc>
          <w:tcPr>
            <w:tcW w:w="439" w:type="pct"/>
            <w:tcBorders>
              <w:top w:val="outset" w:color="auto" w:sz="6" w:space="0"/>
              <w:left w:val="outset" w:color="auto" w:sz="6" w:space="0"/>
              <w:bottom w:val="outset" w:color="auto" w:sz="6" w:space="0"/>
              <w:right w:val="outset" w:color="auto" w:sz="6" w:space="0"/>
            </w:tcBorders>
            <w:vAlign w:val="center"/>
          </w:tcPr>
          <w:p w14:paraId="65E566CC">
            <w:pPr>
              <w:widowControl/>
              <w:jc w:val="center"/>
              <w:rPr>
                <w:rFonts w:ascii="宋体" w:hAnsi="宋体" w:cs="宋体"/>
                <w:kern w:val="0"/>
                <w:sz w:val="24"/>
              </w:rPr>
            </w:pPr>
            <w:r>
              <w:rPr>
                <w:rFonts w:hint="eastAsia" w:ascii="宋体" w:hAnsi="宋体" w:cs="宋体"/>
                <w:kern w:val="0"/>
                <w:sz w:val="24"/>
              </w:rPr>
              <w:t>1-1</w:t>
            </w:r>
          </w:p>
        </w:tc>
        <w:tc>
          <w:tcPr>
            <w:tcW w:w="1552" w:type="pct"/>
            <w:tcBorders>
              <w:top w:val="outset" w:color="auto" w:sz="6" w:space="0"/>
              <w:left w:val="outset" w:color="auto" w:sz="6" w:space="0"/>
              <w:bottom w:val="outset" w:color="auto" w:sz="6" w:space="0"/>
              <w:right w:val="outset" w:color="auto" w:sz="6" w:space="0"/>
            </w:tcBorders>
            <w:vAlign w:val="center"/>
          </w:tcPr>
          <w:p w14:paraId="72595A75">
            <w:pPr>
              <w:snapToGrid w:val="0"/>
              <w:spacing w:line="400" w:lineRule="exact"/>
              <w:ind w:firstLine="480" w:firstLineChars="200"/>
              <w:outlineLvl w:val="1"/>
              <w:rPr>
                <w:rFonts w:ascii="宋体" w:hAnsi="宋体" w:cs="宋体"/>
                <w:bCs/>
                <w:sz w:val="24"/>
                <w:szCs w:val="24"/>
              </w:rPr>
            </w:pPr>
            <w:r>
              <w:rPr>
                <w:rFonts w:hint="eastAsia" w:ascii="宋体" w:hAnsi="宋体" w:cs="宋体"/>
                <w:bCs/>
                <w:sz w:val="24"/>
                <w:szCs w:val="24"/>
              </w:rPr>
              <w:t>漳州新园轻工实业有限责任公司安全生产应急指挥中心升级改造（基建部分）采购项目</w:t>
            </w:r>
          </w:p>
          <w:p w14:paraId="7F21CC5B">
            <w:pPr>
              <w:widowControl/>
              <w:jc w:val="center"/>
              <w:rPr>
                <w:rFonts w:ascii="宋体" w:hAnsi="宋体" w:cs="宋体"/>
                <w:kern w:val="0"/>
                <w:sz w:val="24"/>
              </w:rPr>
            </w:pPr>
          </w:p>
        </w:tc>
        <w:tc>
          <w:tcPr>
            <w:tcW w:w="547" w:type="pct"/>
            <w:tcBorders>
              <w:top w:val="outset" w:color="auto" w:sz="6" w:space="0"/>
              <w:left w:val="outset" w:color="auto" w:sz="6" w:space="0"/>
              <w:bottom w:val="outset" w:color="auto" w:sz="6" w:space="0"/>
              <w:right w:val="outset" w:color="auto" w:sz="6" w:space="0"/>
            </w:tcBorders>
            <w:vAlign w:val="center"/>
          </w:tcPr>
          <w:p w14:paraId="38702433">
            <w:pPr>
              <w:widowControl/>
              <w:jc w:val="center"/>
              <w:rPr>
                <w:rFonts w:ascii="宋体" w:hAnsi="宋体" w:cs="宋体"/>
                <w:kern w:val="0"/>
                <w:sz w:val="24"/>
              </w:rPr>
            </w:pPr>
            <w:r>
              <w:rPr>
                <w:rFonts w:hint="eastAsia" w:ascii="宋体" w:hAnsi="宋体" w:cs="宋体"/>
                <w:sz w:val="24"/>
                <w:szCs w:val="24"/>
              </w:rPr>
              <w:t>1项</w:t>
            </w:r>
          </w:p>
        </w:tc>
        <w:tc>
          <w:tcPr>
            <w:tcW w:w="619" w:type="pct"/>
            <w:tcBorders>
              <w:top w:val="outset" w:color="auto" w:sz="6" w:space="0"/>
              <w:left w:val="outset" w:color="auto" w:sz="6" w:space="0"/>
              <w:right w:val="outset" w:color="auto" w:sz="6" w:space="0"/>
            </w:tcBorders>
            <w:vAlign w:val="center"/>
          </w:tcPr>
          <w:p w14:paraId="7A8C395D">
            <w:pPr>
              <w:widowControl/>
              <w:jc w:val="center"/>
              <w:rPr>
                <w:rFonts w:ascii="宋体" w:hAnsi="宋体" w:cs="宋体"/>
                <w:sz w:val="24"/>
                <w:szCs w:val="24"/>
              </w:rPr>
            </w:pPr>
            <w:r>
              <w:rPr>
                <w:rFonts w:hint="eastAsia" w:ascii="宋体" w:hAnsi="宋体" w:cs="宋体"/>
                <w:sz w:val="24"/>
                <w:szCs w:val="24"/>
              </w:rPr>
              <w:t>2615522</w:t>
            </w:r>
          </w:p>
        </w:tc>
        <w:tc>
          <w:tcPr>
            <w:tcW w:w="677" w:type="pct"/>
            <w:tcBorders>
              <w:top w:val="outset" w:color="auto" w:sz="6" w:space="0"/>
              <w:left w:val="outset" w:color="auto" w:sz="6" w:space="0"/>
              <w:right w:val="outset" w:color="auto" w:sz="6" w:space="0"/>
            </w:tcBorders>
            <w:vAlign w:val="center"/>
          </w:tcPr>
          <w:p w14:paraId="718B0F78">
            <w:pPr>
              <w:widowControl/>
              <w:jc w:val="center"/>
              <w:rPr>
                <w:rFonts w:ascii="宋体" w:hAnsi="宋体" w:cs="宋体"/>
                <w:kern w:val="0"/>
                <w:sz w:val="24"/>
              </w:rPr>
            </w:pPr>
            <w:r>
              <w:rPr>
                <w:rFonts w:hint="eastAsia" w:ascii="宋体" w:hAnsi="宋体" w:cs="宋体"/>
                <w:sz w:val="24"/>
                <w:szCs w:val="24"/>
              </w:rPr>
              <w:t>26155</w:t>
            </w:r>
          </w:p>
        </w:tc>
        <w:tc>
          <w:tcPr>
            <w:tcW w:w="677" w:type="pct"/>
            <w:tcBorders>
              <w:top w:val="outset" w:color="auto" w:sz="6" w:space="0"/>
              <w:left w:val="outset" w:color="auto" w:sz="6" w:space="0"/>
              <w:right w:val="outset" w:color="auto" w:sz="6" w:space="0"/>
            </w:tcBorders>
            <w:vAlign w:val="center"/>
          </w:tcPr>
          <w:p w14:paraId="2E211412">
            <w:pPr>
              <w:widowControl/>
              <w:jc w:val="center"/>
              <w:rPr>
                <w:rFonts w:ascii="宋体" w:hAnsi="宋体" w:cs="宋体"/>
                <w:sz w:val="24"/>
                <w:szCs w:val="24"/>
              </w:rPr>
            </w:pPr>
            <w:r>
              <w:rPr>
                <w:rFonts w:hint="eastAsia" w:ascii="宋体" w:hAnsi="宋体" w:cs="宋体"/>
                <w:sz w:val="24"/>
                <w:szCs w:val="24"/>
              </w:rPr>
              <w:t>B07000000</w:t>
            </w:r>
          </w:p>
          <w:p w14:paraId="65002126">
            <w:pPr>
              <w:widowControl/>
              <w:jc w:val="center"/>
              <w:rPr>
                <w:rFonts w:ascii="宋体" w:hAnsi="宋体" w:cs="宋体"/>
                <w:sz w:val="24"/>
                <w:szCs w:val="24"/>
              </w:rPr>
            </w:pPr>
            <w:r>
              <w:rPr>
                <w:rFonts w:hint="eastAsia" w:ascii="宋体" w:hAnsi="宋体" w:cs="宋体"/>
                <w:sz w:val="24"/>
                <w:szCs w:val="24"/>
              </w:rPr>
              <w:t>装修工程</w:t>
            </w:r>
          </w:p>
        </w:tc>
      </w:tr>
    </w:tbl>
    <w:p w14:paraId="7CBAB065">
      <w:pPr>
        <w:widowControl/>
        <w:snapToGrid w:val="0"/>
        <w:ind w:left="34"/>
        <w:rPr>
          <w:rFonts w:ascii="宋体" w:hAnsi="宋体" w:cs="宋体"/>
          <w:b/>
          <w:sz w:val="24"/>
          <w:szCs w:val="24"/>
        </w:rPr>
      </w:pPr>
    </w:p>
    <w:p w14:paraId="039D5F43">
      <w:pPr>
        <w:widowControl/>
        <w:snapToGrid w:val="0"/>
        <w:ind w:firstLine="482" w:firstLineChars="200"/>
        <w:rPr>
          <w:rFonts w:ascii="宋体" w:hAnsi="宋体" w:cs="宋体"/>
          <w:b/>
          <w:sz w:val="24"/>
          <w:szCs w:val="24"/>
        </w:rPr>
      </w:pPr>
      <w:r>
        <w:rPr>
          <w:rFonts w:hint="eastAsia" w:ascii="宋体" w:hAnsi="宋体" w:cs="宋体"/>
          <w:b/>
          <w:sz w:val="24"/>
          <w:szCs w:val="24"/>
        </w:rPr>
        <w:t>注：</w:t>
      </w:r>
    </w:p>
    <w:p w14:paraId="50883C99">
      <w:pPr>
        <w:pStyle w:val="27"/>
        <w:tabs>
          <w:tab w:val="left" w:pos="8360"/>
        </w:tabs>
        <w:adjustRightInd w:val="0"/>
        <w:snapToGrid w:val="0"/>
        <w:spacing w:line="420" w:lineRule="exact"/>
        <w:ind w:firstLine="480" w:firstLineChars="200"/>
        <w:jc w:val="left"/>
        <w:rPr>
          <w:rFonts w:hAnsi="宋体" w:cs="宋体"/>
          <w:kern w:val="0"/>
          <w:sz w:val="24"/>
        </w:rPr>
      </w:pPr>
      <w:r>
        <w:rPr>
          <w:rFonts w:hint="eastAsia" w:hAnsi="宋体" w:cs="宋体"/>
          <w:kern w:val="0"/>
          <w:sz w:val="24"/>
        </w:rPr>
        <w:t>1.供应商可按合同包报价，对同一合同包内所有品目号内容磋商时必须完整。评审与授标以合同包为单位。</w:t>
      </w:r>
    </w:p>
    <w:p w14:paraId="79D80811">
      <w:pPr>
        <w:pStyle w:val="27"/>
        <w:tabs>
          <w:tab w:val="left" w:pos="8360"/>
        </w:tabs>
        <w:adjustRightInd w:val="0"/>
        <w:snapToGrid w:val="0"/>
        <w:spacing w:line="480" w:lineRule="exact"/>
        <w:ind w:firstLine="480" w:firstLineChars="200"/>
        <w:jc w:val="left"/>
        <w:rPr>
          <w:rFonts w:hAnsi="宋体" w:cs="宋体"/>
          <w:kern w:val="0"/>
          <w:sz w:val="24"/>
          <w:szCs w:val="22"/>
        </w:rPr>
      </w:pPr>
      <w:r>
        <w:rPr>
          <w:rFonts w:hint="eastAsia" w:hAnsi="宋体" w:cs="宋体"/>
          <w:kern w:val="0"/>
          <w:sz w:val="24"/>
          <w:szCs w:val="22"/>
        </w:rPr>
        <w:t>2.磋商报价不得超出磋商文件规定的合同包最高限价。</w:t>
      </w:r>
    </w:p>
    <w:p w14:paraId="3071C39F">
      <w:pPr>
        <w:pStyle w:val="27"/>
        <w:tabs>
          <w:tab w:val="left" w:pos="8360"/>
        </w:tabs>
        <w:adjustRightInd w:val="0"/>
        <w:snapToGrid w:val="0"/>
        <w:spacing w:line="480" w:lineRule="exact"/>
        <w:ind w:left="360" w:hanging="360"/>
        <w:jc w:val="left"/>
        <w:rPr>
          <w:rFonts w:hAnsi="宋体" w:cs="宋体"/>
          <w:kern w:val="0"/>
          <w:sz w:val="24"/>
        </w:rPr>
      </w:pPr>
    </w:p>
    <w:p w14:paraId="55F72381">
      <w:pPr>
        <w:widowControl/>
        <w:snapToGrid w:val="0"/>
        <w:ind w:left="34"/>
        <w:rPr>
          <w:rFonts w:ascii="宋体" w:hAnsi="宋体" w:cs="宋体"/>
          <w:b/>
          <w:sz w:val="24"/>
          <w:szCs w:val="24"/>
        </w:rPr>
      </w:pPr>
    </w:p>
    <w:p w14:paraId="18A3DF2B">
      <w:pPr>
        <w:pStyle w:val="27"/>
        <w:snapToGrid w:val="0"/>
        <w:spacing w:line="360" w:lineRule="auto"/>
        <w:jc w:val="center"/>
        <w:outlineLvl w:val="0"/>
        <w:rPr>
          <w:rFonts w:hAnsi="宋体" w:cs="宋体"/>
          <w:szCs w:val="21"/>
        </w:rPr>
      </w:pPr>
      <w:r>
        <w:rPr>
          <w:rFonts w:hint="eastAsia" w:hAnsi="宋体" w:cs="宋体"/>
          <w:b/>
          <w:sz w:val="24"/>
          <w:szCs w:val="24"/>
        </w:rPr>
        <w:br w:type="page"/>
      </w:r>
      <w:bookmarkStart w:id="12" w:name="第二章投标人须知"/>
      <w:bookmarkEnd w:id="12"/>
      <w:bookmarkStart w:id="13" w:name="_Toc29189_WPSOffice_Level1"/>
      <w:bookmarkStart w:id="14" w:name="_Toc11465"/>
      <w:bookmarkStart w:id="15" w:name="_Toc27114_WPSOffice_Level1"/>
      <w:bookmarkStart w:id="16" w:name="_Toc1265_WPSOffice_Level1"/>
      <w:r>
        <w:rPr>
          <w:rFonts w:hint="eastAsia" w:hAnsi="宋体" w:cs="宋体"/>
          <w:b/>
          <w:sz w:val="36"/>
        </w:rPr>
        <w:t>第二章  供应商须知</w:t>
      </w:r>
      <w:bookmarkEnd w:id="13"/>
      <w:bookmarkEnd w:id="14"/>
      <w:bookmarkEnd w:id="15"/>
      <w:bookmarkEnd w:id="16"/>
    </w:p>
    <w:p w14:paraId="50D86CEB">
      <w:pPr>
        <w:spacing w:line="440" w:lineRule="exact"/>
        <w:jc w:val="center"/>
        <w:outlineLvl w:val="1"/>
        <w:rPr>
          <w:rFonts w:ascii="宋体" w:hAnsi="宋体" w:cs="宋体"/>
          <w:b/>
          <w:sz w:val="28"/>
        </w:rPr>
      </w:pPr>
      <w:bookmarkStart w:id="17" w:name="投标人须知前附表"/>
      <w:bookmarkEnd w:id="17"/>
      <w:bookmarkStart w:id="18" w:name="_Toc4084_WPSOffice_Level2"/>
      <w:bookmarkStart w:id="19" w:name="_Toc23640_WPSOffice_Level2"/>
      <w:bookmarkStart w:id="20" w:name="_Toc6163"/>
      <w:r>
        <w:rPr>
          <w:rFonts w:hint="eastAsia" w:ascii="宋体" w:hAnsi="宋体" w:cs="宋体"/>
          <w:b/>
          <w:sz w:val="28"/>
        </w:rPr>
        <w:t>供应商须知前附表</w:t>
      </w:r>
      <w:bookmarkEnd w:id="18"/>
      <w:bookmarkEnd w:id="19"/>
      <w:bookmarkEnd w:id="20"/>
    </w:p>
    <w:p w14:paraId="77498F5E">
      <w:pPr>
        <w:autoSpaceDE w:val="0"/>
        <w:autoSpaceDN w:val="0"/>
        <w:adjustRightInd w:val="0"/>
        <w:snapToGrid w:val="0"/>
        <w:spacing w:line="360" w:lineRule="auto"/>
        <w:ind w:firstLine="480" w:firstLineChars="200"/>
        <w:rPr>
          <w:rFonts w:ascii="宋体" w:hAnsi="宋体" w:cs="宋体"/>
          <w:sz w:val="24"/>
        </w:rPr>
      </w:pPr>
      <w:r>
        <w:rPr>
          <w:rFonts w:hint="eastAsia" w:ascii="宋体" w:hAnsi="宋体" w:cs="宋体"/>
          <w:sz w:val="24"/>
        </w:rPr>
        <w:t>本须知前附表的条款号是与《供应商须知》中条款的项号相对应的，如果有矛盾的话，应以本须知前附表为准。</w:t>
      </w:r>
    </w:p>
    <w:tbl>
      <w:tblPr>
        <w:tblStyle w:val="4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2"/>
        <w:gridCol w:w="696"/>
        <w:gridCol w:w="8805"/>
      </w:tblGrid>
      <w:tr w14:paraId="3C4526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 w:hRule="atLeast"/>
        </w:trPr>
        <w:tc>
          <w:tcPr>
            <w:tcW w:w="232" w:type="pct"/>
            <w:vAlign w:val="center"/>
          </w:tcPr>
          <w:p w14:paraId="74EAAC2E">
            <w:pPr>
              <w:jc w:val="center"/>
              <w:rPr>
                <w:rFonts w:ascii="宋体" w:hAnsi="宋体" w:cs="宋体"/>
                <w:sz w:val="24"/>
                <w:szCs w:val="24"/>
              </w:rPr>
            </w:pPr>
            <w:r>
              <w:rPr>
                <w:rFonts w:hint="eastAsia" w:ascii="宋体" w:hAnsi="宋体" w:cs="宋体"/>
                <w:sz w:val="24"/>
                <w:szCs w:val="24"/>
              </w:rPr>
              <w:t>项号</w:t>
            </w:r>
          </w:p>
        </w:tc>
        <w:tc>
          <w:tcPr>
            <w:tcW w:w="349" w:type="pct"/>
            <w:vAlign w:val="center"/>
          </w:tcPr>
          <w:p w14:paraId="10C8957A">
            <w:pPr>
              <w:jc w:val="center"/>
              <w:rPr>
                <w:rFonts w:ascii="宋体" w:hAnsi="宋体" w:cs="宋体"/>
                <w:sz w:val="24"/>
                <w:szCs w:val="24"/>
              </w:rPr>
            </w:pPr>
            <w:r>
              <w:rPr>
                <w:rFonts w:hint="eastAsia" w:ascii="宋体" w:hAnsi="宋体" w:cs="宋体"/>
                <w:sz w:val="24"/>
                <w:szCs w:val="24"/>
              </w:rPr>
              <w:t>条款号</w:t>
            </w:r>
          </w:p>
        </w:tc>
        <w:tc>
          <w:tcPr>
            <w:tcW w:w="4418" w:type="pct"/>
            <w:vAlign w:val="center"/>
          </w:tcPr>
          <w:p w14:paraId="461DD60B">
            <w:pPr>
              <w:jc w:val="center"/>
              <w:rPr>
                <w:rFonts w:ascii="宋体" w:hAnsi="宋体" w:cs="宋体"/>
                <w:sz w:val="24"/>
                <w:szCs w:val="24"/>
              </w:rPr>
            </w:pPr>
            <w:r>
              <w:rPr>
                <w:rFonts w:hint="eastAsia" w:ascii="宋体" w:hAnsi="宋体" w:cs="宋体"/>
                <w:sz w:val="24"/>
                <w:szCs w:val="24"/>
              </w:rPr>
              <w:t>编   列   内    容</w:t>
            </w:r>
          </w:p>
        </w:tc>
      </w:tr>
      <w:tr w14:paraId="654BFD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32" w:type="pct"/>
            <w:vAlign w:val="center"/>
          </w:tcPr>
          <w:p w14:paraId="6ED8615D">
            <w:pPr>
              <w:spacing w:line="420" w:lineRule="exact"/>
              <w:jc w:val="center"/>
              <w:rPr>
                <w:rFonts w:ascii="宋体" w:hAnsi="宋体" w:cs="宋体"/>
                <w:sz w:val="24"/>
                <w:szCs w:val="24"/>
              </w:rPr>
            </w:pPr>
            <w:r>
              <w:rPr>
                <w:rFonts w:hint="eastAsia" w:ascii="宋体" w:hAnsi="宋体" w:cs="宋体"/>
                <w:sz w:val="24"/>
                <w:szCs w:val="24"/>
              </w:rPr>
              <w:t>1</w:t>
            </w:r>
          </w:p>
        </w:tc>
        <w:tc>
          <w:tcPr>
            <w:tcW w:w="349" w:type="pct"/>
            <w:vAlign w:val="center"/>
          </w:tcPr>
          <w:p w14:paraId="7D5629A0">
            <w:pPr>
              <w:spacing w:line="420" w:lineRule="exact"/>
              <w:jc w:val="center"/>
              <w:rPr>
                <w:rFonts w:ascii="宋体" w:hAnsi="宋体" w:cs="宋体"/>
                <w:sz w:val="24"/>
                <w:szCs w:val="24"/>
              </w:rPr>
            </w:pPr>
            <w:r>
              <w:rPr>
                <w:rFonts w:hint="eastAsia" w:ascii="宋体" w:hAnsi="宋体" w:cs="宋体"/>
                <w:sz w:val="24"/>
                <w:szCs w:val="24"/>
              </w:rPr>
              <w:t>1.1</w:t>
            </w:r>
          </w:p>
        </w:tc>
        <w:tc>
          <w:tcPr>
            <w:tcW w:w="4418" w:type="pct"/>
            <w:vAlign w:val="center"/>
          </w:tcPr>
          <w:p w14:paraId="2675A73F">
            <w:pPr>
              <w:snapToGrid w:val="0"/>
              <w:spacing w:line="400" w:lineRule="exact"/>
              <w:ind w:firstLine="464" w:firstLineChars="200"/>
              <w:outlineLvl w:val="1"/>
              <w:rPr>
                <w:rFonts w:ascii="宋体" w:hAnsi="宋体" w:cs="宋体"/>
                <w:bCs/>
                <w:sz w:val="24"/>
                <w:szCs w:val="24"/>
              </w:rPr>
            </w:pPr>
            <w:r>
              <w:rPr>
                <w:rFonts w:hint="eastAsia" w:ascii="宋体" w:hAnsi="宋体" w:cs="宋体"/>
                <w:spacing w:val="-4"/>
                <w:sz w:val="24"/>
                <w:szCs w:val="24"/>
              </w:rPr>
              <w:t>项目名称：</w:t>
            </w:r>
            <w:r>
              <w:rPr>
                <w:rFonts w:hint="eastAsia" w:ascii="宋体" w:hAnsi="宋体" w:cs="宋体"/>
                <w:bCs/>
                <w:sz w:val="24"/>
                <w:szCs w:val="24"/>
              </w:rPr>
              <w:t>漳州新园轻工实业有限责任公司安全生产应急指挥中心升级改造（基建部分）采购项目</w:t>
            </w:r>
          </w:p>
          <w:p w14:paraId="345CA24F">
            <w:pPr>
              <w:spacing w:line="410" w:lineRule="exact"/>
              <w:rPr>
                <w:rFonts w:ascii="宋体" w:hAnsi="宋体" w:cs="宋体"/>
                <w:spacing w:val="-4"/>
                <w:sz w:val="24"/>
                <w:szCs w:val="24"/>
              </w:rPr>
            </w:pPr>
            <w:r>
              <w:rPr>
                <w:rFonts w:hint="eastAsia" w:ascii="宋体" w:hAnsi="宋体" w:cs="宋体"/>
                <w:spacing w:val="-4"/>
                <w:sz w:val="24"/>
                <w:szCs w:val="24"/>
              </w:rPr>
              <w:t>采购人名称：漳州新园轻工实业有限责任公司</w:t>
            </w:r>
          </w:p>
          <w:p w14:paraId="3F964EB4">
            <w:pPr>
              <w:spacing w:line="410" w:lineRule="exact"/>
              <w:rPr>
                <w:rFonts w:ascii="宋体" w:hAnsi="宋体" w:cs="宋体"/>
                <w:spacing w:val="-4"/>
                <w:sz w:val="24"/>
                <w:szCs w:val="24"/>
              </w:rPr>
            </w:pPr>
            <w:r>
              <w:rPr>
                <w:rFonts w:hint="eastAsia" w:ascii="宋体" w:hAnsi="宋体" w:cs="宋体"/>
                <w:spacing w:val="-4"/>
                <w:sz w:val="24"/>
                <w:szCs w:val="24"/>
              </w:rPr>
              <w:t>项目内容：详见一览表</w:t>
            </w:r>
          </w:p>
          <w:p w14:paraId="6ADB1360">
            <w:pPr>
              <w:spacing w:line="410" w:lineRule="exact"/>
              <w:rPr>
                <w:rFonts w:ascii="宋体" w:hAnsi="宋体" w:cs="宋体"/>
                <w:spacing w:val="-4"/>
                <w:sz w:val="24"/>
                <w:szCs w:val="24"/>
              </w:rPr>
            </w:pPr>
            <w:r>
              <w:rPr>
                <w:rFonts w:hint="eastAsia" w:ascii="宋体" w:hAnsi="宋体" w:cs="宋体"/>
                <w:spacing w:val="-4"/>
                <w:sz w:val="24"/>
                <w:szCs w:val="24"/>
              </w:rPr>
              <w:t>采购编号：FJYS2025-448</w:t>
            </w:r>
          </w:p>
        </w:tc>
      </w:tr>
      <w:tr w14:paraId="7F3A5F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232" w:type="pct"/>
            <w:vAlign w:val="center"/>
          </w:tcPr>
          <w:p w14:paraId="4299BFC0">
            <w:pPr>
              <w:spacing w:line="420" w:lineRule="exact"/>
              <w:jc w:val="center"/>
              <w:rPr>
                <w:rFonts w:ascii="宋体" w:hAnsi="宋体" w:cs="宋体"/>
                <w:sz w:val="24"/>
                <w:szCs w:val="24"/>
              </w:rPr>
            </w:pPr>
            <w:r>
              <w:rPr>
                <w:rFonts w:hint="eastAsia" w:ascii="宋体" w:hAnsi="宋体" w:cs="宋体"/>
                <w:sz w:val="24"/>
                <w:szCs w:val="24"/>
              </w:rPr>
              <w:t>2</w:t>
            </w:r>
          </w:p>
        </w:tc>
        <w:tc>
          <w:tcPr>
            <w:tcW w:w="349" w:type="pct"/>
            <w:vAlign w:val="center"/>
          </w:tcPr>
          <w:p w14:paraId="7C6D9509">
            <w:pPr>
              <w:spacing w:line="420" w:lineRule="exact"/>
              <w:jc w:val="center"/>
              <w:rPr>
                <w:rFonts w:ascii="宋体" w:hAnsi="宋体" w:cs="宋体"/>
                <w:sz w:val="24"/>
                <w:szCs w:val="24"/>
              </w:rPr>
            </w:pPr>
            <w:r>
              <w:rPr>
                <w:rFonts w:hint="eastAsia" w:ascii="宋体" w:hAnsi="宋体" w:cs="宋体"/>
                <w:sz w:val="24"/>
                <w:szCs w:val="24"/>
              </w:rPr>
              <w:t>3.1</w:t>
            </w:r>
          </w:p>
        </w:tc>
        <w:tc>
          <w:tcPr>
            <w:tcW w:w="4418" w:type="pct"/>
            <w:vAlign w:val="center"/>
          </w:tcPr>
          <w:p w14:paraId="5D626D81">
            <w:pPr>
              <w:spacing w:line="460" w:lineRule="exact"/>
              <w:rPr>
                <w:rFonts w:ascii="宋体" w:hAnsi="宋体" w:cs="宋体"/>
                <w:sz w:val="24"/>
                <w:szCs w:val="24"/>
              </w:rPr>
            </w:pPr>
            <w:r>
              <w:rPr>
                <w:rFonts w:hint="eastAsia" w:ascii="宋体" w:hAnsi="宋体" w:cs="宋体"/>
                <w:sz w:val="24"/>
                <w:szCs w:val="24"/>
              </w:rPr>
              <w:t>资格标准：</w:t>
            </w:r>
          </w:p>
          <w:p w14:paraId="13AE75F8">
            <w:pPr>
              <w:spacing w:line="460" w:lineRule="exact"/>
              <w:ind w:firstLine="480" w:firstLineChars="200"/>
              <w:rPr>
                <w:rFonts w:ascii="宋体" w:hAnsi="宋体" w:cs="宋体"/>
                <w:sz w:val="24"/>
                <w:szCs w:val="24"/>
              </w:rPr>
            </w:pPr>
            <w:r>
              <w:rPr>
                <w:rFonts w:hint="eastAsia" w:ascii="宋体" w:hAnsi="宋体" w:cs="宋体"/>
                <w:sz w:val="24"/>
                <w:szCs w:val="24"/>
              </w:rPr>
              <w:t>凡有能力提供本磋商文件所述服务，具备相关法律法规、行政规章条例和本磋商文件中规定的参加采购活动条件的均可能成为合格的供应商，并提交以下资质证明文件：</w:t>
            </w:r>
          </w:p>
          <w:tbl>
            <w:tblPr>
              <w:tblStyle w:val="49"/>
              <w:tblW w:w="85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3"/>
              <w:gridCol w:w="6445"/>
            </w:tblGrid>
            <w:tr w14:paraId="7FEBE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3" w:type="dxa"/>
                  <w:vAlign w:val="center"/>
                </w:tcPr>
                <w:p w14:paraId="5B06165C">
                  <w:pPr>
                    <w:widowControl/>
                    <w:jc w:val="center"/>
                    <w:rPr>
                      <w:rFonts w:ascii="宋体" w:hAnsi="宋体" w:cs="宋体"/>
                      <w:b/>
                      <w:bCs/>
                      <w:sz w:val="24"/>
                      <w:szCs w:val="24"/>
                    </w:rPr>
                  </w:pPr>
                  <w:r>
                    <w:rPr>
                      <w:rFonts w:hint="eastAsia" w:ascii="宋体" w:hAnsi="宋体" w:cs="宋体"/>
                      <w:b/>
                      <w:bCs/>
                      <w:kern w:val="0"/>
                      <w:sz w:val="24"/>
                      <w:szCs w:val="24"/>
                    </w:rPr>
                    <w:t>明细</w:t>
                  </w:r>
                </w:p>
              </w:tc>
              <w:tc>
                <w:tcPr>
                  <w:tcW w:w="6445" w:type="dxa"/>
                  <w:vAlign w:val="center"/>
                </w:tcPr>
                <w:p w14:paraId="68F29A99">
                  <w:pPr>
                    <w:widowControl/>
                    <w:jc w:val="center"/>
                    <w:rPr>
                      <w:rFonts w:ascii="宋体" w:hAnsi="宋体" w:cs="宋体"/>
                      <w:b/>
                      <w:bCs/>
                      <w:sz w:val="24"/>
                      <w:szCs w:val="24"/>
                    </w:rPr>
                  </w:pPr>
                  <w:r>
                    <w:rPr>
                      <w:rFonts w:hint="eastAsia" w:ascii="宋体" w:hAnsi="宋体" w:cs="宋体"/>
                      <w:b/>
                      <w:bCs/>
                      <w:kern w:val="0"/>
                      <w:sz w:val="24"/>
                      <w:szCs w:val="24"/>
                    </w:rPr>
                    <w:t>描述</w:t>
                  </w:r>
                </w:p>
              </w:tc>
            </w:tr>
            <w:tr w14:paraId="1FB1A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3" w:type="dxa"/>
                  <w:vAlign w:val="center"/>
                </w:tcPr>
                <w:p w14:paraId="648E43D3">
                  <w:pPr>
                    <w:widowControl/>
                    <w:jc w:val="left"/>
                    <w:rPr>
                      <w:rFonts w:ascii="宋体" w:hAnsi="宋体" w:cs="宋体"/>
                      <w:sz w:val="24"/>
                      <w:szCs w:val="24"/>
                    </w:rPr>
                  </w:pPr>
                  <w:r>
                    <w:rPr>
                      <w:rFonts w:hint="eastAsia" w:ascii="宋体" w:hAnsi="宋体" w:cs="宋体"/>
                      <w:kern w:val="0"/>
                      <w:sz w:val="24"/>
                      <w:szCs w:val="24"/>
                    </w:rPr>
                    <w:t>1.单位负责人授权书</w:t>
                  </w:r>
                </w:p>
              </w:tc>
              <w:tc>
                <w:tcPr>
                  <w:tcW w:w="6445" w:type="dxa"/>
                  <w:vAlign w:val="center"/>
                </w:tcPr>
                <w:p w14:paraId="20AB76D6">
                  <w:pPr>
                    <w:widowControl/>
                    <w:jc w:val="left"/>
                    <w:rPr>
                      <w:rFonts w:ascii="宋体" w:hAnsi="宋体" w:cs="宋体"/>
                      <w:sz w:val="24"/>
                      <w:szCs w:val="24"/>
                    </w:rPr>
                  </w:pPr>
                  <w:r>
                    <w:rPr>
                      <w:rFonts w:hint="eastAsia" w:ascii="宋体" w:hAnsi="宋体" w:cs="宋体"/>
                      <w:sz w:val="24"/>
                      <w:szCs w:val="24"/>
                    </w:rPr>
                    <w:t>①供应商（自然人除外）：若供应商代表为单位授权的委托代理人，应提供本授权书；若供应商代表为单位负责人，应在此项下提交其身份证正反面复印件，可不提供本授权书。②供应商为自然人的，可不填写本授权书。</w:t>
                  </w:r>
                </w:p>
              </w:tc>
            </w:tr>
            <w:tr w14:paraId="03D17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3" w:type="dxa"/>
                  <w:vAlign w:val="center"/>
                </w:tcPr>
                <w:p w14:paraId="62C1BB2F">
                  <w:pPr>
                    <w:widowControl/>
                    <w:jc w:val="left"/>
                    <w:rPr>
                      <w:rFonts w:ascii="宋体" w:hAnsi="宋体" w:cs="宋体"/>
                      <w:kern w:val="0"/>
                      <w:sz w:val="24"/>
                      <w:szCs w:val="24"/>
                    </w:rPr>
                  </w:pPr>
                  <w:r>
                    <w:rPr>
                      <w:rFonts w:hint="eastAsia" w:ascii="宋体" w:hAnsi="宋体" w:cs="宋体"/>
                      <w:kern w:val="0"/>
                      <w:sz w:val="24"/>
                      <w:szCs w:val="24"/>
                    </w:rPr>
                    <w:t>2.营业执照等证明文件</w:t>
                  </w:r>
                </w:p>
              </w:tc>
              <w:tc>
                <w:tcPr>
                  <w:tcW w:w="6445" w:type="dxa"/>
                  <w:vAlign w:val="center"/>
                </w:tcPr>
                <w:p w14:paraId="77AF9638">
                  <w:pPr>
                    <w:widowControl/>
                    <w:jc w:val="left"/>
                    <w:rPr>
                      <w:rFonts w:ascii="宋体" w:hAnsi="宋体" w:cs="宋体"/>
                      <w:kern w:val="0"/>
                      <w:sz w:val="24"/>
                      <w:szCs w:val="24"/>
                    </w:rPr>
                  </w:pPr>
                  <w:r>
                    <w:rPr>
                      <w:rFonts w:hint="eastAsia" w:ascii="宋体" w:hAnsi="宋体" w:cs="宋体"/>
                      <w:kern w:val="0"/>
                      <w:sz w:val="24"/>
                      <w:szCs w:val="24"/>
                    </w:rPr>
                    <w:t>①供应商为企业的，提供有效的营业执照复印件；供应商为事业单位的，提供有效的事业单位法人证书复印件；供应商为社会团体的，提供有效的社会团体法人登记证书复印件；供应商为合伙企业、个体工商户的，提供有效的营业执照复印件；供应商为非企业专业服务机构的，提供有效的执业许可证等证明材料复印件；供应商为自然人的，提供有效的自然人身份证件复印件；其他供应商应按照有关法律、法规和规章规定，提供有效的相应具体证照复印件。</w:t>
                  </w:r>
                </w:p>
              </w:tc>
            </w:tr>
            <w:tr w14:paraId="65921E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3" w:type="dxa"/>
                  <w:vAlign w:val="center"/>
                </w:tcPr>
                <w:p w14:paraId="6688BA38">
                  <w:pPr>
                    <w:widowControl/>
                    <w:jc w:val="left"/>
                    <w:rPr>
                      <w:rFonts w:ascii="宋体" w:hAnsi="宋体" w:cs="宋体"/>
                      <w:kern w:val="0"/>
                      <w:sz w:val="24"/>
                      <w:szCs w:val="24"/>
                    </w:rPr>
                  </w:pPr>
                  <w:r>
                    <w:rPr>
                      <w:rFonts w:hint="eastAsia" w:ascii="宋体" w:hAnsi="宋体" w:cs="宋体"/>
                      <w:kern w:val="0"/>
                      <w:sz w:val="24"/>
                      <w:szCs w:val="24"/>
                    </w:rPr>
                    <w:t>3.财务状况报告（财务报告、或资信证明）</w:t>
                  </w:r>
                </w:p>
              </w:tc>
              <w:tc>
                <w:tcPr>
                  <w:tcW w:w="6445" w:type="dxa"/>
                  <w:vAlign w:val="center"/>
                </w:tcPr>
                <w:p w14:paraId="16DEBE51">
                  <w:pPr>
                    <w:widowControl/>
                    <w:jc w:val="left"/>
                    <w:rPr>
                      <w:rFonts w:ascii="宋体" w:hAnsi="宋体" w:cs="宋体"/>
                      <w:kern w:val="0"/>
                      <w:sz w:val="24"/>
                      <w:szCs w:val="24"/>
                    </w:rPr>
                  </w:pPr>
                  <w:r>
                    <w:rPr>
                      <w:rFonts w:hint="eastAsia" w:ascii="宋体" w:hAnsi="宋体" w:cs="宋体"/>
                      <w:kern w:val="0"/>
                      <w:sz w:val="24"/>
                      <w:szCs w:val="24"/>
                    </w:rPr>
                    <w:t xml:space="preserve">①供应商提供的财务报告复印件（成立年限按照提交响应文件截止时间推算）应符合下列规定：a.成立年限满1年及以上的供应商，提供经审计的2024年度的年度财务报告。b.成立年限满半年但不足1年的供应商，提供该半年度中任一季度的季度财务报告或该半年度的半年度财务报告。c.无法按照以上a、b项规定提供财务报告复印件的供应商（包括但不限于：成立年限满1年及以上的供应商、成立年限满半年但不足1年的供应商、成立年限不足半年的供应商），应选择提供资信证明复印件。 </w:t>
                  </w:r>
                </w:p>
              </w:tc>
            </w:tr>
            <w:tr w14:paraId="425C3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3" w:type="dxa"/>
                  <w:vAlign w:val="center"/>
                </w:tcPr>
                <w:p w14:paraId="44173D74">
                  <w:pPr>
                    <w:widowControl/>
                    <w:jc w:val="left"/>
                    <w:rPr>
                      <w:rFonts w:ascii="宋体" w:hAnsi="宋体" w:cs="宋体"/>
                      <w:kern w:val="0"/>
                      <w:sz w:val="24"/>
                      <w:szCs w:val="24"/>
                    </w:rPr>
                  </w:pPr>
                  <w:r>
                    <w:rPr>
                      <w:rFonts w:hint="eastAsia" w:ascii="宋体" w:hAnsi="宋体" w:cs="宋体"/>
                      <w:kern w:val="0"/>
                      <w:sz w:val="24"/>
                      <w:szCs w:val="24"/>
                    </w:rPr>
                    <w:t>4.依法缴纳税收证明材料</w:t>
                  </w:r>
                </w:p>
              </w:tc>
              <w:tc>
                <w:tcPr>
                  <w:tcW w:w="6445" w:type="dxa"/>
                  <w:vAlign w:val="center"/>
                </w:tcPr>
                <w:p w14:paraId="40748172">
                  <w:pPr>
                    <w:widowControl/>
                    <w:jc w:val="left"/>
                    <w:rPr>
                      <w:rFonts w:ascii="宋体" w:hAnsi="宋体" w:cs="宋体"/>
                      <w:kern w:val="0"/>
                      <w:sz w:val="24"/>
                      <w:szCs w:val="24"/>
                    </w:rPr>
                  </w:pPr>
                  <w:r>
                    <w:rPr>
                      <w:rFonts w:hint="eastAsia" w:ascii="宋体" w:hAnsi="宋体" w:cs="宋体"/>
                      <w:kern w:val="0"/>
                      <w:sz w:val="24"/>
                      <w:szCs w:val="24"/>
                    </w:rPr>
                    <w:t xml:space="preserve">①供应商提供的税收缴纳凭据复印件应符合下列规定：a.提交响应文件截止时间前（不含提交响应文件截止时间的当月）已依法缴纳税收的供应商，提供提交响应文件截止时间前六个月（不含提交响应文件截止时间的当月）中任一月份的税收缴纳凭据复印件。b.提交响应文件截止时间的当月成立的供应商，视同满足本项资格条件要求。c.若为依法免税范围的供应商，提供依法免税证明材料的，视同满足本项资格条件要求。 </w:t>
                  </w:r>
                </w:p>
              </w:tc>
            </w:tr>
            <w:tr w14:paraId="1ADF4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3" w:type="dxa"/>
                  <w:vAlign w:val="center"/>
                </w:tcPr>
                <w:p w14:paraId="0855F050">
                  <w:pPr>
                    <w:widowControl/>
                    <w:jc w:val="left"/>
                    <w:rPr>
                      <w:rFonts w:ascii="宋体" w:hAnsi="宋体" w:cs="宋体"/>
                      <w:kern w:val="0"/>
                      <w:sz w:val="24"/>
                      <w:szCs w:val="24"/>
                    </w:rPr>
                  </w:pPr>
                  <w:r>
                    <w:rPr>
                      <w:rFonts w:hint="eastAsia" w:ascii="宋体" w:hAnsi="宋体" w:cs="宋体"/>
                      <w:kern w:val="0"/>
                      <w:sz w:val="24"/>
                      <w:szCs w:val="24"/>
                    </w:rPr>
                    <w:t>5.依法缴纳社会保障资金证明材料</w:t>
                  </w:r>
                </w:p>
              </w:tc>
              <w:tc>
                <w:tcPr>
                  <w:tcW w:w="6445" w:type="dxa"/>
                  <w:vAlign w:val="center"/>
                </w:tcPr>
                <w:p w14:paraId="3FA8AABE">
                  <w:pPr>
                    <w:widowControl/>
                    <w:jc w:val="left"/>
                    <w:rPr>
                      <w:rFonts w:ascii="宋体" w:hAnsi="宋体" w:cs="宋体"/>
                      <w:kern w:val="0"/>
                      <w:sz w:val="24"/>
                      <w:szCs w:val="24"/>
                    </w:rPr>
                  </w:pPr>
                  <w:r>
                    <w:rPr>
                      <w:rFonts w:hint="eastAsia" w:ascii="宋体" w:hAnsi="宋体" w:cs="宋体"/>
                      <w:kern w:val="0"/>
                      <w:sz w:val="24"/>
                      <w:szCs w:val="24"/>
                    </w:rPr>
                    <w:t>①供应商提供的社会保障资金缴纳凭据复印件应符合下列规定：a.提交响应文件截止时间前（不含提交响应文件截止时间的当月）已依法缴纳社会保障资金的供应商，提供提交响应文件截止时间前六个月（不含提交响应文件截止时间的当月）中任一月份的社会保障资金缴纳凭据复印件。b.提交响应文件截止时间的当月成立的供应商，视同满足本项资格条件要求。c.若为依法不需要缴纳或暂缓缴纳社会保障资金的供应商，提供依法不需要缴纳或暂缓缴纳社会保障资金证明材料的，视同满足本项资格条件要求。</w:t>
                  </w:r>
                </w:p>
              </w:tc>
            </w:tr>
            <w:tr w14:paraId="2E8F0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3" w:type="dxa"/>
                  <w:vAlign w:val="center"/>
                </w:tcPr>
                <w:p w14:paraId="2DB7B4CE">
                  <w:pPr>
                    <w:widowControl/>
                    <w:jc w:val="left"/>
                    <w:rPr>
                      <w:rFonts w:ascii="宋体" w:hAnsi="宋体" w:cs="宋体"/>
                      <w:kern w:val="0"/>
                      <w:sz w:val="24"/>
                      <w:szCs w:val="24"/>
                    </w:rPr>
                  </w:pPr>
                  <w:r>
                    <w:rPr>
                      <w:rFonts w:hint="eastAsia" w:ascii="宋体" w:hAnsi="宋体" w:cs="宋体"/>
                      <w:kern w:val="0"/>
                      <w:sz w:val="24"/>
                      <w:szCs w:val="24"/>
                    </w:rPr>
                    <w:t>6.参加采购活动前三年内在经营活动中没有重大违法记录的声明</w:t>
                  </w:r>
                </w:p>
              </w:tc>
              <w:tc>
                <w:tcPr>
                  <w:tcW w:w="6445" w:type="dxa"/>
                  <w:vAlign w:val="center"/>
                </w:tcPr>
                <w:p w14:paraId="266262E8">
                  <w:pPr>
                    <w:widowControl/>
                    <w:jc w:val="left"/>
                    <w:rPr>
                      <w:rFonts w:ascii="宋体" w:hAnsi="宋体" w:cs="宋体"/>
                      <w:kern w:val="0"/>
                      <w:sz w:val="24"/>
                      <w:szCs w:val="24"/>
                    </w:rPr>
                  </w:pPr>
                  <w:r>
                    <w:rPr>
                      <w:rFonts w:hint="eastAsia" w:ascii="宋体" w:hAnsi="宋体" w:cs="宋体"/>
                      <w:kern w:val="0"/>
                      <w:sz w:val="24"/>
                      <w:szCs w:val="24"/>
                    </w:rPr>
                    <w:t xml:space="preserve"> ①重大违法记录：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tc>
            </w:tr>
            <w:tr w14:paraId="54E56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3" w:type="dxa"/>
                  <w:vAlign w:val="center"/>
                </w:tcPr>
                <w:p w14:paraId="509CDE9C">
                  <w:pPr>
                    <w:widowControl/>
                    <w:jc w:val="left"/>
                    <w:rPr>
                      <w:rFonts w:ascii="宋体" w:hAnsi="宋体" w:cs="宋体"/>
                      <w:kern w:val="0"/>
                      <w:sz w:val="24"/>
                      <w:szCs w:val="24"/>
                    </w:rPr>
                  </w:pPr>
                  <w:r>
                    <w:rPr>
                      <w:rFonts w:hint="eastAsia" w:ascii="宋体" w:hAnsi="宋体" w:cs="宋体"/>
                      <w:kern w:val="0"/>
                      <w:sz w:val="24"/>
                      <w:szCs w:val="24"/>
                    </w:rPr>
                    <w:t>7.信用记录查询结果</w:t>
                  </w:r>
                </w:p>
              </w:tc>
              <w:tc>
                <w:tcPr>
                  <w:tcW w:w="6445" w:type="dxa"/>
                  <w:vAlign w:val="center"/>
                </w:tcPr>
                <w:p w14:paraId="2F6AD7D2">
                  <w:pPr>
                    <w:widowControl/>
                    <w:jc w:val="left"/>
                    <w:rPr>
                      <w:rFonts w:ascii="宋体" w:hAnsi="宋体" w:cs="宋体"/>
                      <w:kern w:val="0"/>
                      <w:sz w:val="24"/>
                      <w:szCs w:val="24"/>
                    </w:rPr>
                  </w:pPr>
                  <w:r>
                    <w:rPr>
                      <w:rFonts w:hint="eastAsia" w:ascii="宋体" w:hAnsi="宋体" w:cs="宋体"/>
                      <w:kern w:val="0"/>
                      <w:sz w:val="24"/>
                      <w:szCs w:val="24"/>
                    </w:rPr>
                    <w:t>①信用记录查询的截止时点：信用记录查询的截止时点为本项目提交响应文件截止当日。②信用记录查询渠道：信用中国（www.creditchina.gov.cn）、中国政府采购网（www.ccgp.gov.cn）。③信用记录的查询：由磋商小组通过上述网站查询并打印供应商的信用记录。④经查询，供应商参加本项目采购活动（响应截止时间）前三年内被列入失信被执行人名单、重大税收违法案件当事人名单、政府采购严重违法失信行为记录名单及其他重大违法记录且相关信用惩戒期限未满的，其资格审查不合格。</w:t>
                  </w:r>
                </w:p>
              </w:tc>
            </w:tr>
            <w:tr w14:paraId="1EF1F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3" w:type="dxa"/>
                  <w:vAlign w:val="center"/>
                </w:tcPr>
                <w:p w14:paraId="73CE8FDB">
                  <w:pPr>
                    <w:widowControl/>
                    <w:spacing w:line="400" w:lineRule="exact"/>
                    <w:jc w:val="left"/>
                    <w:rPr>
                      <w:rFonts w:ascii="宋体" w:hAnsi="宋体" w:cs="宋体"/>
                      <w:kern w:val="0"/>
                      <w:sz w:val="24"/>
                      <w:szCs w:val="24"/>
                    </w:rPr>
                  </w:pPr>
                  <w:r>
                    <w:rPr>
                      <w:rFonts w:hint="eastAsia" w:ascii="宋体" w:hAnsi="宋体" w:cs="宋体"/>
                      <w:kern w:val="0"/>
                      <w:sz w:val="24"/>
                      <w:szCs w:val="24"/>
                    </w:rPr>
                    <w:t>8.特定资格条件1</w:t>
                  </w:r>
                </w:p>
              </w:tc>
              <w:tc>
                <w:tcPr>
                  <w:tcW w:w="6445" w:type="dxa"/>
                  <w:vAlign w:val="center"/>
                </w:tcPr>
                <w:p w14:paraId="17AFF23C">
                  <w:pPr>
                    <w:widowControl/>
                    <w:spacing w:line="400" w:lineRule="exact"/>
                    <w:jc w:val="left"/>
                    <w:rPr>
                      <w:rFonts w:ascii="宋体" w:hAnsi="宋体" w:cs="宋体"/>
                      <w:kern w:val="0"/>
                      <w:sz w:val="24"/>
                      <w:szCs w:val="24"/>
                    </w:rPr>
                  </w:pPr>
                  <w:r>
                    <w:rPr>
                      <w:rFonts w:hint="eastAsia" w:ascii="宋体" w:hAnsi="宋体" w:cs="宋体"/>
                      <w:kern w:val="0"/>
                      <w:sz w:val="24"/>
                      <w:szCs w:val="24"/>
                    </w:rPr>
                    <w:t>供应商须具备建设行政主管部门核发合格有效的建筑施工总承包三级及以上资质和《企业安全生产许可证》（提供证书复印件并加盖供应商公章）</w:t>
                  </w:r>
                </w:p>
              </w:tc>
            </w:tr>
            <w:tr w14:paraId="6214AE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3" w:type="dxa"/>
                  <w:vAlign w:val="center"/>
                </w:tcPr>
                <w:p w14:paraId="66D6BA2E">
                  <w:pPr>
                    <w:widowControl/>
                    <w:spacing w:line="400" w:lineRule="exact"/>
                    <w:jc w:val="left"/>
                    <w:rPr>
                      <w:rFonts w:ascii="宋体" w:hAnsi="宋体" w:cs="宋体"/>
                      <w:kern w:val="0"/>
                      <w:sz w:val="24"/>
                      <w:szCs w:val="24"/>
                    </w:rPr>
                  </w:pPr>
                  <w:r>
                    <w:rPr>
                      <w:rFonts w:hint="eastAsia" w:ascii="宋体" w:hAnsi="宋体" w:cs="宋体"/>
                      <w:kern w:val="0"/>
                      <w:sz w:val="24"/>
                      <w:szCs w:val="24"/>
                    </w:rPr>
                    <w:t>9.特定资格条件2</w:t>
                  </w:r>
                </w:p>
              </w:tc>
              <w:tc>
                <w:tcPr>
                  <w:tcW w:w="6445" w:type="dxa"/>
                  <w:vAlign w:val="center"/>
                </w:tcPr>
                <w:p w14:paraId="68935683">
                  <w:pPr>
                    <w:widowControl/>
                    <w:spacing w:line="400" w:lineRule="exact"/>
                    <w:jc w:val="left"/>
                    <w:rPr>
                      <w:rFonts w:ascii="宋体" w:hAnsi="宋体" w:cs="宋体"/>
                      <w:kern w:val="0"/>
                      <w:sz w:val="24"/>
                      <w:szCs w:val="24"/>
                    </w:rPr>
                  </w:pPr>
                  <w:r>
                    <w:rPr>
                      <w:rFonts w:hint="eastAsia" w:ascii="宋体" w:hAnsi="宋体" w:cs="宋体"/>
                      <w:kern w:val="0"/>
                      <w:sz w:val="24"/>
                      <w:szCs w:val="24"/>
                    </w:rPr>
                    <w:t>供应商提供的拟担任本项目的项目负责人须具备有效的不低于贰级及以上注册建造师（建筑工程专业）且具备有效的安全生产考核合格证书（B证），且拟派出项目负责人必须为供应商本企业在岗人员，以注册建造师证书上的聘用企业为准。</w:t>
                  </w:r>
                </w:p>
              </w:tc>
            </w:tr>
            <w:tr w14:paraId="17EF95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3" w:type="dxa"/>
                  <w:vAlign w:val="center"/>
                </w:tcPr>
                <w:p w14:paraId="70B6CDF2">
                  <w:pPr>
                    <w:widowControl/>
                    <w:jc w:val="left"/>
                    <w:rPr>
                      <w:rFonts w:ascii="宋体" w:hAnsi="宋体" w:cs="宋体"/>
                      <w:kern w:val="0"/>
                      <w:sz w:val="24"/>
                      <w:szCs w:val="24"/>
                    </w:rPr>
                  </w:pPr>
                  <w:r>
                    <w:rPr>
                      <w:rFonts w:hint="eastAsia" w:ascii="宋体" w:hAnsi="宋体" w:cs="宋体"/>
                      <w:kern w:val="0"/>
                      <w:sz w:val="24"/>
                      <w:szCs w:val="24"/>
                    </w:rPr>
                    <w:t>10.</w:t>
                  </w:r>
                  <w:r>
                    <w:rPr>
                      <w:rFonts w:hint="eastAsia" w:ascii="宋体" w:hAnsi="宋体" w:cs="宋体"/>
                      <w:sz w:val="24"/>
                      <w:szCs w:val="24"/>
                    </w:rPr>
                    <w:t>黑名单</w:t>
                  </w:r>
                </w:p>
              </w:tc>
              <w:tc>
                <w:tcPr>
                  <w:tcW w:w="6445" w:type="dxa"/>
                  <w:vAlign w:val="center"/>
                </w:tcPr>
                <w:p w14:paraId="48D5F53E">
                  <w:pPr>
                    <w:widowControl/>
                    <w:jc w:val="left"/>
                    <w:rPr>
                      <w:rFonts w:ascii="宋体" w:hAnsi="宋体" w:cs="宋体"/>
                      <w:kern w:val="0"/>
                      <w:sz w:val="24"/>
                      <w:szCs w:val="24"/>
                    </w:rPr>
                  </w:pPr>
                  <w:r>
                    <w:rPr>
                      <w:rFonts w:hint="eastAsia" w:ascii="宋体" w:hAnsi="宋体" w:cs="宋体"/>
                      <w:sz w:val="24"/>
                      <w:szCs w:val="24"/>
                    </w:rPr>
                    <w:t>供应商没有被列入景弘集团有限公司和漳州新园轻工实业有限责任公司黑名单的承诺函。</w:t>
                  </w:r>
                </w:p>
              </w:tc>
            </w:tr>
          </w:tbl>
          <w:p w14:paraId="456D1CB3">
            <w:pPr>
              <w:spacing w:line="410" w:lineRule="exact"/>
              <w:rPr>
                <w:rFonts w:ascii="宋体" w:hAnsi="宋体" w:cs="宋体"/>
                <w:sz w:val="24"/>
                <w:szCs w:val="24"/>
              </w:rPr>
            </w:pPr>
            <w:r>
              <w:rPr>
                <w:rFonts w:hint="eastAsia" w:ascii="宋体" w:hAnsi="宋体" w:cs="宋体"/>
                <w:b/>
                <w:bCs/>
                <w:sz w:val="24"/>
                <w:szCs w:val="24"/>
                <w:shd w:val="pct10" w:color="auto" w:fill="FFFFFF"/>
              </w:rPr>
              <w:t>注：本项目不接受联合体参与磋商，未按以上资格标准要求的按无效响应处理。</w:t>
            </w:r>
          </w:p>
        </w:tc>
      </w:tr>
      <w:tr w14:paraId="14AF5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232" w:type="pct"/>
            <w:vAlign w:val="center"/>
          </w:tcPr>
          <w:p w14:paraId="621D2D45">
            <w:pPr>
              <w:spacing w:line="420" w:lineRule="exact"/>
              <w:jc w:val="center"/>
              <w:rPr>
                <w:rFonts w:ascii="宋体" w:hAnsi="宋体" w:cs="宋体"/>
                <w:sz w:val="24"/>
                <w:szCs w:val="24"/>
              </w:rPr>
            </w:pPr>
            <w:r>
              <w:rPr>
                <w:rFonts w:hint="eastAsia" w:ascii="宋体" w:hAnsi="宋体" w:cs="宋体"/>
                <w:sz w:val="24"/>
                <w:szCs w:val="24"/>
              </w:rPr>
              <w:t>3</w:t>
            </w:r>
          </w:p>
        </w:tc>
        <w:tc>
          <w:tcPr>
            <w:tcW w:w="349" w:type="pct"/>
            <w:vAlign w:val="center"/>
          </w:tcPr>
          <w:p w14:paraId="75F6051B">
            <w:pPr>
              <w:spacing w:line="420" w:lineRule="exact"/>
              <w:jc w:val="center"/>
              <w:rPr>
                <w:rFonts w:ascii="宋体" w:hAnsi="宋体" w:cs="宋体"/>
                <w:sz w:val="24"/>
                <w:szCs w:val="24"/>
              </w:rPr>
            </w:pPr>
            <w:r>
              <w:rPr>
                <w:rFonts w:hint="eastAsia" w:ascii="宋体" w:hAnsi="宋体" w:cs="宋体"/>
                <w:sz w:val="24"/>
                <w:szCs w:val="24"/>
              </w:rPr>
              <w:t>11.1</w:t>
            </w:r>
          </w:p>
        </w:tc>
        <w:tc>
          <w:tcPr>
            <w:tcW w:w="4418" w:type="pct"/>
            <w:vAlign w:val="center"/>
          </w:tcPr>
          <w:p w14:paraId="7E09493A">
            <w:pPr>
              <w:spacing w:line="410" w:lineRule="exact"/>
              <w:rPr>
                <w:rFonts w:ascii="宋体" w:hAnsi="宋体" w:cs="宋体"/>
                <w:sz w:val="24"/>
                <w:szCs w:val="24"/>
              </w:rPr>
            </w:pPr>
            <w:r>
              <w:rPr>
                <w:rFonts w:hint="eastAsia" w:ascii="宋体" w:hAnsi="宋体" w:cs="宋体"/>
                <w:sz w:val="24"/>
                <w:szCs w:val="24"/>
              </w:rPr>
              <w:t>磋商有效期：磋商截止期结束后</w:t>
            </w:r>
            <w:r>
              <w:rPr>
                <w:rFonts w:hint="eastAsia" w:ascii="宋体" w:hAnsi="宋体" w:cs="宋体"/>
                <w:sz w:val="24"/>
                <w:szCs w:val="24"/>
                <w:u w:val="single"/>
              </w:rPr>
              <w:t xml:space="preserve"> 90 </w:t>
            </w:r>
            <w:r>
              <w:rPr>
                <w:rFonts w:hint="eastAsia" w:ascii="宋体" w:hAnsi="宋体" w:cs="宋体"/>
                <w:sz w:val="24"/>
                <w:szCs w:val="24"/>
              </w:rPr>
              <w:t>日历日。</w:t>
            </w:r>
          </w:p>
          <w:p w14:paraId="622BB7BE">
            <w:pPr>
              <w:spacing w:line="410" w:lineRule="exact"/>
              <w:rPr>
                <w:rFonts w:ascii="宋体" w:hAnsi="宋体" w:cs="宋体"/>
                <w:sz w:val="24"/>
                <w:szCs w:val="24"/>
              </w:rPr>
            </w:pPr>
            <w:r>
              <w:rPr>
                <w:rFonts w:hint="eastAsia" w:ascii="宋体" w:hAnsi="宋体" w:cs="宋体"/>
                <w:b/>
                <w:bCs/>
                <w:sz w:val="24"/>
                <w:szCs w:val="24"/>
              </w:rPr>
              <w:t>有效期不足按无效响应处理。</w:t>
            </w:r>
          </w:p>
        </w:tc>
      </w:tr>
      <w:tr w14:paraId="5BD1C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232" w:type="pct"/>
            <w:vAlign w:val="center"/>
          </w:tcPr>
          <w:p w14:paraId="749B7BF9">
            <w:pPr>
              <w:spacing w:line="420" w:lineRule="exact"/>
              <w:jc w:val="center"/>
              <w:rPr>
                <w:rFonts w:ascii="宋体" w:hAnsi="宋体" w:cs="宋体"/>
                <w:sz w:val="24"/>
                <w:szCs w:val="24"/>
              </w:rPr>
            </w:pPr>
            <w:r>
              <w:rPr>
                <w:rFonts w:hint="eastAsia" w:ascii="宋体" w:hAnsi="宋体" w:cs="宋体"/>
                <w:sz w:val="24"/>
                <w:szCs w:val="24"/>
              </w:rPr>
              <w:t>4</w:t>
            </w:r>
          </w:p>
        </w:tc>
        <w:tc>
          <w:tcPr>
            <w:tcW w:w="349" w:type="pct"/>
            <w:vAlign w:val="center"/>
          </w:tcPr>
          <w:p w14:paraId="51DDCEDC">
            <w:pPr>
              <w:spacing w:line="420" w:lineRule="exact"/>
              <w:rPr>
                <w:rFonts w:ascii="宋体" w:hAnsi="宋体" w:cs="宋体"/>
                <w:sz w:val="24"/>
                <w:szCs w:val="24"/>
              </w:rPr>
            </w:pPr>
          </w:p>
        </w:tc>
        <w:tc>
          <w:tcPr>
            <w:tcW w:w="4418" w:type="pct"/>
            <w:vAlign w:val="center"/>
          </w:tcPr>
          <w:p w14:paraId="47DAF7D7">
            <w:pPr>
              <w:spacing w:line="410" w:lineRule="exact"/>
              <w:rPr>
                <w:rFonts w:ascii="宋体" w:hAnsi="宋体" w:cs="宋体"/>
                <w:sz w:val="24"/>
                <w:szCs w:val="24"/>
              </w:rPr>
            </w:pPr>
            <w:r>
              <w:rPr>
                <w:rFonts w:hint="eastAsia" w:ascii="宋体" w:hAnsi="宋体" w:cs="宋体"/>
                <w:sz w:val="24"/>
                <w:szCs w:val="24"/>
              </w:rPr>
              <w:t>响应文件递交地址：福州市鼓楼区福三路20号华润万象城一期S2#楼4层</w:t>
            </w:r>
          </w:p>
          <w:p w14:paraId="630F2B3D">
            <w:pPr>
              <w:spacing w:line="410" w:lineRule="exact"/>
              <w:rPr>
                <w:rFonts w:ascii="宋体" w:hAnsi="宋体" w:cs="宋体"/>
                <w:sz w:val="24"/>
                <w:szCs w:val="24"/>
              </w:rPr>
            </w:pPr>
            <w:r>
              <w:rPr>
                <w:rFonts w:hint="eastAsia" w:ascii="宋体" w:hAnsi="宋体" w:cs="宋体"/>
                <w:sz w:val="24"/>
                <w:szCs w:val="24"/>
              </w:rPr>
              <w:t>接收人：</w:t>
            </w:r>
            <w:r>
              <w:rPr>
                <w:rFonts w:hint="eastAsia" w:ascii="宋体" w:hAnsi="宋体" w:cs="宋体"/>
                <w:spacing w:val="-2"/>
                <w:sz w:val="24"/>
                <w:szCs w:val="24"/>
              </w:rPr>
              <w:t>福建优胜招标项目管理集团有限公司</w:t>
            </w:r>
          </w:p>
          <w:p w14:paraId="4E917D32">
            <w:pPr>
              <w:spacing w:line="410" w:lineRule="exact"/>
              <w:rPr>
                <w:rFonts w:ascii="宋体" w:hAnsi="宋体" w:cs="宋体"/>
                <w:sz w:val="24"/>
                <w:szCs w:val="24"/>
              </w:rPr>
            </w:pPr>
            <w:r>
              <w:rPr>
                <w:rFonts w:hint="eastAsia" w:ascii="宋体" w:hAnsi="宋体" w:cs="宋体"/>
                <w:sz w:val="24"/>
                <w:szCs w:val="24"/>
              </w:rPr>
              <w:t>磋商截止时间：</w:t>
            </w:r>
            <w:bookmarkStart w:id="234" w:name="_GoBack"/>
            <w:r>
              <w:rPr>
                <w:rFonts w:hint="eastAsia" w:ascii="宋体" w:hAnsi="宋体" w:cs="宋体"/>
                <w:sz w:val="24"/>
                <w:szCs w:val="24"/>
                <w:u w:val="single"/>
              </w:rPr>
              <w:t>2026年2月2日14:30</w:t>
            </w:r>
            <w:bookmarkEnd w:id="234"/>
            <w:r>
              <w:rPr>
                <w:rFonts w:hint="eastAsia" w:ascii="宋体" w:hAnsi="宋体" w:cs="宋体"/>
                <w:spacing w:val="-2"/>
                <w:sz w:val="24"/>
                <w:szCs w:val="24"/>
                <w:u w:val="single"/>
              </w:rPr>
              <w:t>（</w:t>
            </w:r>
            <w:r>
              <w:rPr>
                <w:rFonts w:hint="eastAsia" w:ascii="宋体" w:hAnsi="宋体" w:cs="宋体"/>
                <w:sz w:val="24"/>
                <w:szCs w:val="24"/>
              </w:rPr>
              <w:t>北京时间）</w:t>
            </w:r>
          </w:p>
        </w:tc>
      </w:tr>
      <w:tr w14:paraId="168EEA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 w:hRule="atLeast"/>
        </w:trPr>
        <w:tc>
          <w:tcPr>
            <w:tcW w:w="232" w:type="pct"/>
            <w:vAlign w:val="center"/>
          </w:tcPr>
          <w:p w14:paraId="23AD0684">
            <w:pPr>
              <w:spacing w:line="420" w:lineRule="exact"/>
              <w:jc w:val="center"/>
              <w:rPr>
                <w:rFonts w:ascii="宋体" w:hAnsi="宋体" w:cs="宋体"/>
                <w:sz w:val="24"/>
                <w:szCs w:val="24"/>
              </w:rPr>
            </w:pPr>
            <w:r>
              <w:rPr>
                <w:rFonts w:hint="eastAsia" w:ascii="宋体" w:hAnsi="宋体" w:cs="宋体"/>
                <w:sz w:val="24"/>
                <w:szCs w:val="24"/>
              </w:rPr>
              <w:t>5</w:t>
            </w:r>
          </w:p>
        </w:tc>
        <w:tc>
          <w:tcPr>
            <w:tcW w:w="349" w:type="pct"/>
            <w:vAlign w:val="center"/>
          </w:tcPr>
          <w:p w14:paraId="2005CEBB">
            <w:pPr>
              <w:spacing w:line="420" w:lineRule="exact"/>
              <w:jc w:val="center"/>
              <w:rPr>
                <w:rFonts w:ascii="宋体" w:hAnsi="宋体" w:cs="宋体"/>
                <w:sz w:val="24"/>
                <w:szCs w:val="24"/>
              </w:rPr>
            </w:pPr>
            <w:r>
              <w:rPr>
                <w:rFonts w:hint="eastAsia" w:ascii="宋体" w:hAnsi="宋体" w:cs="宋体"/>
                <w:sz w:val="24"/>
                <w:szCs w:val="24"/>
              </w:rPr>
              <w:t>12</w:t>
            </w:r>
          </w:p>
        </w:tc>
        <w:tc>
          <w:tcPr>
            <w:tcW w:w="4418" w:type="pct"/>
            <w:vAlign w:val="center"/>
          </w:tcPr>
          <w:p w14:paraId="732C5E45">
            <w:pPr>
              <w:spacing w:line="410" w:lineRule="exact"/>
              <w:rPr>
                <w:rFonts w:ascii="宋体" w:hAnsi="宋体" w:cs="宋体"/>
                <w:sz w:val="24"/>
                <w:szCs w:val="24"/>
              </w:rPr>
            </w:pPr>
            <w:r>
              <w:rPr>
                <w:rFonts w:hint="eastAsia" w:ascii="宋体" w:hAnsi="宋体" w:cs="宋体"/>
                <w:b/>
                <w:bCs/>
                <w:sz w:val="24"/>
                <w:szCs w:val="24"/>
              </w:rPr>
              <w:t>磋商保证金：</w:t>
            </w:r>
            <w:r>
              <w:rPr>
                <w:rFonts w:hint="eastAsia" w:ascii="宋体" w:hAnsi="宋体" w:cs="宋体"/>
                <w:sz w:val="24"/>
                <w:szCs w:val="24"/>
              </w:rPr>
              <w:t>合同包1：人民币26155元</w:t>
            </w:r>
          </w:p>
          <w:p w14:paraId="61C598B3">
            <w:pPr>
              <w:spacing w:line="410" w:lineRule="exact"/>
              <w:rPr>
                <w:rFonts w:ascii="宋体" w:hAnsi="宋体" w:cs="宋体"/>
                <w:sz w:val="24"/>
                <w:szCs w:val="24"/>
              </w:rPr>
            </w:pPr>
            <w:r>
              <w:rPr>
                <w:rFonts w:hint="eastAsia" w:ascii="宋体" w:hAnsi="宋体" w:cs="宋体"/>
                <w:sz w:val="24"/>
                <w:szCs w:val="24"/>
              </w:rPr>
              <w:t>供应商应以公对公账户银行转账、银行电汇等方式按以上标准向采购代理机构提交磋商保证金。本项目不接受现金形式提交的磋商保证金。磋商保证金应于磋商截止时间前到达磋商文件载明的磋商保证金账户，否则视为磋商保证金未提交；是否到达按照下列方式认定：以福建优胜招标项目管理集团有限公司磋商保证金账户银行系统记载的到账时间为准。</w:t>
            </w:r>
          </w:p>
        </w:tc>
      </w:tr>
      <w:tr w14:paraId="5224B2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232" w:type="pct"/>
            <w:vAlign w:val="center"/>
          </w:tcPr>
          <w:p w14:paraId="476A6E64">
            <w:pPr>
              <w:spacing w:line="420" w:lineRule="exact"/>
              <w:jc w:val="center"/>
              <w:rPr>
                <w:rFonts w:ascii="宋体" w:hAnsi="宋体" w:cs="宋体"/>
                <w:sz w:val="24"/>
                <w:szCs w:val="24"/>
              </w:rPr>
            </w:pPr>
            <w:r>
              <w:rPr>
                <w:rFonts w:hint="eastAsia" w:ascii="宋体" w:hAnsi="宋体" w:cs="宋体"/>
                <w:sz w:val="24"/>
                <w:szCs w:val="24"/>
              </w:rPr>
              <w:t>6</w:t>
            </w:r>
          </w:p>
        </w:tc>
        <w:tc>
          <w:tcPr>
            <w:tcW w:w="349" w:type="pct"/>
            <w:vAlign w:val="center"/>
          </w:tcPr>
          <w:p w14:paraId="27A2D776">
            <w:pPr>
              <w:spacing w:line="420" w:lineRule="exact"/>
              <w:jc w:val="center"/>
              <w:rPr>
                <w:rFonts w:ascii="宋体" w:hAnsi="宋体" w:cs="宋体"/>
                <w:sz w:val="24"/>
                <w:szCs w:val="24"/>
              </w:rPr>
            </w:pPr>
            <w:r>
              <w:rPr>
                <w:rFonts w:hint="eastAsia" w:ascii="宋体" w:hAnsi="宋体" w:cs="宋体"/>
                <w:sz w:val="24"/>
                <w:szCs w:val="24"/>
              </w:rPr>
              <w:t>19.1</w:t>
            </w:r>
          </w:p>
        </w:tc>
        <w:tc>
          <w:tcPr>
            <w:tcW w:w="4418" w:type="pct"/>
            <w:vAlign w:val="center"/>
          </w:tcPr>
          <w:p w14:paraId="2A0CDE9C">
            <w:pPr>
              <w:spacing w:line="380" w:lineRule="exact"/>
              <w:rPr>
                <w:rFonts w:ascii="宋体" w:hAnsi="宋体" w:cs="宋体"/>
                <w:b/>
                <w:bCs/>
                <w:sz w:val="24"/>
                <w:szCs w:val="24"/>
              </w:rPr>
            </w:pPr>
            <w:r>
              <w:rPr>
                <w:rFonts w:hint="eastAsia" w:ascii="宋体" w:hAnsi="宋体" w:cs="宋体"/>
                <w:b/>
                <w:bCs/>
                <w:sz w:val="24"/>
                <w:szCs w:val="24"/>
              </w:rPr>
              <w:t>评审标准和方法：（详见附件A)</w:t>
            </w:r>
            <w:bookmarkStart w:id="21" w:name="_Toc266745666"/>
            <w:bookmarkEnd w:id="21"/>
          </w:p>
        </w:tc>
      </w:tr>
      <w:tr w14:paraId="3BFB5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 w:hRule="atLeast"/>
        </w:trPr>
        <w:tc>
          <w:tcPr>
            <w:tcW w:w="232" w:type="pct"/>
            <w:vAlign w:val="center"/>
          </w:tcPr>
          <w:p w14:paraId="0F31A47A">
            <w:pPr>
              <w:spacing w:line="420" w:lineRule="exact"/>
              <w:jc w:val="center"/>
              <w:rPr>
                <w:rFonts w:ascii="宋体" w:hAnsi="宋体" w:cs="宋体"/>
                <w:sz w:val="24"/>
                <w:szCs w:val="24"/>
              </w:rPr>
            </w:pPr>
            <w:r>
              <w:rPr>
                <w:rFonts w:hint="eastAsia" w:ascii="宋体" w:hAnsi="宋体" w:cs="宋体"/>
                <w:sz w:val="24"/>
                <w:szCs w:val="24"/>
              </w:rPr>
              <w:t>7</w:t>
            </w:r>
          </w:p>
        </w:tc>
        <w:tc>
          <w:tcPr>
            <w:tcW w:w="349" w:type="pct"/>
            <w:vAlign w:val="center"/>
          </w:tcPr>
          <w:p w14:paraId="77030E52">
            <w:pPr>
              <w:spacing w:line="420" w:lineRule="exact"/>
              <w:jc w:val="center"/>
              <w:rPr>
                <w:rFonts w:ascii="宋体" w:hAnsi="宋体" w:cs="宋体"/>
                <w:sz w:val="24"/>
                <w:szCs w:val="24"/>
              </w:rPr>
            </w:pPr>
            <w:r>
              <w:rPr>
                <w:rFonts w:hint="eastAsia" w:ascii="宋体" w:hAnsi="宋体" w:cs="宋体"/>
                <w:sz w:val="24"/>
                <w:szCs w:val="24"/>
              </w:rPr>
              <w:t>23.1</w:t>
            </w:r>
          </w:p>
        </w:tc>
        <w:tc>
          <w:tcPr>
            <w:tcW w:w="4418" w:type="pct"/>
            <w:vAlign w:val="center"/>
          </w:tcPr>
          <w:p w14:paraId="12940727">
            <w:pPr>
              <w:spacing w:line="420" w:lineRule="exact"/>
              <w:rPr>
                <w:rFonts w:ascii="宋体" w:hAnsi="宋体" w:cs="宋体"/>
                <w:sz w:val="24"/>
                <w:szCs w:val="24"/>
              </w:rPr>
            </w:pPr>
            <w:r>
              <w:rPr>
                <w:rFonts w:hint="eastAsia" w:ascii="宋体" w:hAnsi="宋体" w:cs="宋体"/>
                <w:sz w:val="24"/>
                <w:szCs w:val="24"/>
              </w:rPr>
              <w:t>采购项目行政监督部门：</w:t>
            </w:r>
            <w:r>
              <w:rPr>
                <w:rFonts w:hint="eastAsia" w:ascii="宋体" w:hAnsi="宋体" w:cs="宋体"/>
                <w:sz w:val="24"/>
                <w:szCs w:val="24"/>
                <w:lang w:val="zh-CN"/>
              </w:rPr>
              <w:t>漳州新园轻工实业有限责任公司</w:t>
            </w:r>
            <w:r>
              <w:rPr>
                <w:rFonts w:ascii="宋体" w:hAnsi="宋体" w:cs="宋体"/>
                <w:sz w:val="24"/>
                <w:szCs w:val="24"/>
              </w:rPr>
              <w:t>监事会</w:t>
            </w:r>
          </w:p>
        </w:tc>
      </w:tr>
      <w:tr w14:paraId="6D2BE4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232" w:type="pct"/>
            <w:vAlign w:val="center"/>
          </w:tcPr>
          <w:p w14:paraId="0B07999C">
            <w:pPr>
              <w:spacing w:line="420" w:lineRule="exact"/>
              <w:jc w:val="center"/>
              <w:rPr>
                <w:rFonts w:ascii="宋体" w:hAnsi="宋体" w:cs="宋体"/>
                <w:sz w:val="24"/>
                <w:szCs w:val="24"/>
              </w:rPr>
            </w:pPr>
            <w:r>
              <w:rPr>
                <w:rFonts w:hint="eastAsia" w:ascii="宋体" w:hAnsi="宋体" w:cs="宋体"/>
                <w:sz w:val="24"/>
                <w:szCs w:val="24"/>
              </w:rPr>
              <w:t>8</w:t>
            </w:r>
          </w:p>
        </w:tc>
        <w:tc>
          <w:tcPr>
            <w:tcW w:w="349" w:type="pct"/>
            <w:vAlign w:val="center"/>
          </w:tcPr>
          <w:p w14:paraId="43C76B48">
            <w:pPr>
              <w:spacing w:line="420" w:lineRule="exact"/>
              <w:jc w:val="center"/>
              <w:rPr>
                <w:rFonts w:ascii="宋体" w:hAnsi="宋体" w:cs="宋体"/>
                <w:sz w:val="24"/>
                <w:szCs w:val="24"/>
              </w:rPr>
            </w:pPr>
          </w:p>
        </w:tc>
        <w:tc>
          <w:tcPr>
            <w:tcW w:w="4418" w:type="pct"/>
            <w:vAlign w:val="center"/>
          </w:tcPr>
          <w:p w14:paraId="4B0EF42E">
            <w:pPr>
              <w:spacing w:line="400" w:lineRule="exact"/>
              <w:rPr>
                <w:rFonts w:ascii="宋体" w:hAnsi="宋体" w:cs="宋体"/>
                <w:b/>
                <w:bCs/>
                <w:spacing w:val="-8"/>
                <w:sz w:val="24"/>
                <w:szCs w:val="24"/>
              </w:rPr>
            </w:pPr>
            <w:r>
              <w:rPr>
                <w:rFonts w:hint="eastAsia" w:ascii="宋体" w:hAnsi="宋体" w:cs="宋体"/>
                <w:b/>
                <w:bCs/>
                <w:sz w:val="24"/>
                <w:szCs w:val="24"/>
              </w:rPr>
              <w:t>项目最高限价（超过最高限价的报价为无效报价）：详见本采购文件</w:t>
            </w:r>
            <w:r>
              <w:rPr>
                <w:rFonts w:hint="eastAsia" w:ascii="宋体" w:hAnsi="宋体" w:cs="宋体"/>
                <w:sz w:val="24"/>
                <w:szCs w:val="24"/>
              </w:rPr>
              <w:t>“采购标的</w:t>
            </w:r>
            <w:r>
              <w:rPr>
                <w:rFonts w:hint="eastAsia" w:ascii="宋体" w:hAnsi="宋体" w:cs="宋体"/>
                <w:b/>
                <w:bCs/>
                <w:sz w:val="24"/>
                <w:szCs w:val="24"/>
              </w:rPr>
              <w:t>一览表</w:t>
            </w:r>
            <w:r>
              <w:rPr>
                <w:rFonts w:hint="eastAsia" w:ascii="宋体" w:hAnsi="宋体" w:cs="宋体"/>
                <w:sz w:val="24"/>
                <w:szCs w:val="24"/>
              </w:rPr>
              <w:t>”</w:t>
            </w:r>
            <w:r>
              <w:rPr>
                <w:rFonts w:hint="eastAsia" w:ascii="宋体" w:hAnsi="宋体" w:cs="宋体"/>
                <w:b/>
                <w:bCs/>
                <w:sz w:val="24"/>
                <w:szCs w:val="24"/>
              </w:rPr>
              <w:t>。</w:t>
            </w:r>
          </w:p>
        </w:tc>
      </w:tr>
      <w:tr w14:paraId="21906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 w:hRule="atLeast"/>
        </w:trPr>
        <w:tc>
          <w:tcPr>
            <w:tcW w:w="232" w:type="pct"/>
            <w:vAlign w:val="center"/>
          </w:tcPr>
          <w:p w14:paraId="22BA8839">
            <w:pPr>
              <w:spacing w:line="420" w:lineRule="exact"/>
              <w:jc w:val="center"/>
              <w:rPr>
                <w:rFonts w:ascii="宋体" w:hAnsi="宋体" w:cs="宋体"/>
                <w:sz w:val="24"/>
                <w:szCs w:val="24"/>
              </w:rPr>
            </w:pPr>
            <w:r>
              <w:rPr>
                <w:rFonts w:hint="eastAsia" w:ascii="宋体" w:hAnsi="宋体" w:cs="宋体"/>
                <w:sz w:val="24"/>
                <w:szCs w:val="24"/>
              </w:rPr>
              <w:t>9</w:t>
            </w:r>
          </w:p>
        </w:tc>
        <w:tc>
          <w:tcPr>
            <w:tcW w:w="349" w:type="pct"/>
            <w:vAlign w:val="center"/>
          </w:tcPr>
          <w:p w14:paraId="46990A34">
            <w:pPr>
              <w:spacing w:line="420" w:lineRule="exact"/>
              <w:jc w:val="center"/>
              <w:rPr>
                <w:rFonts w:ascii="宋体" w:hAnsi="宋体" w:cs="宋体"/>
                <w:sz w:val="24"/>
                <w:szCs w:val="24"/>
              </w:rPr>
            </w:pPr>
          </w:p>
        </w:tc>
        <w:tc>
          <w:tcPr>
            <w:tcW w:w="4418" w:type="pct"/>
            <w:vAlign w:val="center"/>
          </w:tcPr>
          <w:p w14:paraId="5ADBE564">
            <w:pPr>
              <w:spacing w:line="440" w:lineRule="exact"/>
              <w:rPr>
                <w:rFonts w:ascii="宋体" w:hAnsi="宋体" w:cs="宋体"/>
                <w:b/>
                <w:bCs/>
                <w:sz w:val="24"/>
                <w:szCs w:val="24"/>
              </w:rPr>
            </w:pPr>
            <w:r>
              <w:rPr>
                <w:rFonts w:hint="eastAsia" w:ascii="宋体" w:hAnsi="宋体" w:cs="宋体"/>
                <w:b/>
                <w:bCs/>
                <w:sz w:val="24"/>
                <w:szCs w:val="24"/>
              </w:rPr>
              <w:t>货款结算及支付方式：详见本采购文件第三章。</w:t>
            </w:r>
          </w:p>
        </w:tc>
      </w:tr>
      <w:tr w14:paraId="6F704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trPr>
        <w:tc>
          <w:tcPr>
            <w:tcW w:w="232" w:type="pct"/>
            <w:vMerge w:val="restart"/>
            <w:vAlign w:val="center"/>
          </w:tcPr>
          <w:p w14:paraId="7411A132">
            <w:pPr>
              <w:spacing w:line="420" w:lineRule="exact"/>
              <w:jc w:val="center"/>
              <w:rPr>
                <w:rFonts w:ascii="宋体" w:hAnsi="宋体" w:cs="宋体"/>
                <w:sz w:val="24"/>
                <w:szCs w:val="24"/>
              </w:rPr>
            </w:pPr>
            <w:r>
              <w:rPr>
                <w:rFonts w:hint="eastAsia" w:ascii="宋体" w:hAnsi="宋体" w:cs="宋体"/>
                <w:sz w:val="24"/>
                <w:szCs w:val="24"/>
              </w:rPr>
              <w:t>10</w:t>
            </w:r>
          </w:p>
        </w:tc>
        <w:tc>
          <w:tcPr>
            <w:tcW w:w="349" w:type="pct"/>
            <w:vAlign w:val="center"/>
          </w:tcPr>
          <w:p w14:paraId="59496089">
            <w:pPr>
              <w:spacing w:line="420" w:lineRule="exact"/>
              <w:jc w:val="center"/>
              <w:rPr>
                <w:rFonts w:ascii="宋体" w:hAnsi="宋体" w:cs="宋体"/>
                <w:sz w:val="24"/>
                <w:szCs w:val="24"/>
              </w:rPr>
            </w:pPr>
            <w:r>
              <w:rPr>
                <w:rFonts w:hint="eastAsia" w:ascii="宋体" w:hAnsi="宋体" w:cs="宋体"/>
                <w:sz w:val="24"/>
                <w:szCs w:val="24"/>
              </w:rPr>
              <w:t>13.1</w:t>
            </w:r>
          </w:p>
        </w:tc>
        <w:tc>
          <w:tcPr>
            <w:tcW w:w="4418" w:type="pct"/>
            <w:vAlign w:val="center"/>
          </w:tcPr>
          <w:p w14:paraId="0ADC9463">
            <w:pPr>
              <w:spacing w:line="410" w:lineRule="exact"/>
              <w:rPr>
                <w:rFonts w:ascii="宋体" w:hAnsi="宋体" w:cs="宋体"/>
                <w:b/>
                <w:bCs/>
                <w:sz w:val="24"/>
                <w:szCs w:val="24"/>
              </w:rPr>
            </w:pPr>
            <w:r>
              <w:rPr>
                <w:rFonts w:hint="eastAsia" w:ascii="宋体" w:hAnsi="宋体" w:cs="宋体"/>
                <w:b/>
                <w:bCs/>
                <w:sz w:val="24"/>
                <w:szCs w:val="24"/>
              </w:rPr>
              <w:t>特别提示：</w:t>
            </w:r>
          </w:p>
          <w:p w14:paraId="6A8BC77B">
            <w:pPr>
              <w:spacing w:line="410" w:lineRule="exact"/>
              <w:rPr>
                <w:rFonts w:ascii="宋体" w:hAnsi="宋体" w:cs="宋体"/>
                <w:b/>
                <w:bCs/>
                <w:sz w:val="24"/>
                <w:szCs w:val="24"/>
              </w:rPr>
            </w:pPr>
            <w:r>
              <w:rPr>
                <w:rFonts w:hint="eastAsia" w:ascii="宋体" w:hAnsi="宋体" w:cs="宋体"/>
                <w:b/>
                <w:bCs/>
                <w:sz w:val="24"/>
                <w:szCs w:val="24"/>
              </w:rPr>
              <w:t>1.供应商的响应文件应按以下要求制作，否则视为无效响应：</w:t>
            </w:r>
          </w:p>
          <w:p w14:paraId="2C807CAF">
            <w:pPr>
              <w:spacing w:line="410" w:lineRule="exact"/>
              <w:rPr>
                <w:rFonts w:ascii="宋体" w:hAnsi="宋体" w:cs="宋体"/>
                <w:b/>
                <w:bCs/>
                <w:sz w:val="24"/>
                <w:szCs w:val="24"/>
              </w:rPr>
            </w:pPr>
            <w:r>
              <w:rPr>
                <w:rFonts w:hint="eastAsia" w:ascii="宋体" w:hAnsi="宋体" w:cs="宋体"/>
                <w:b/>
                <w:bCs/>
                <w:sz w:val="24"/>
                <w:szCs w:val="24"/>
              </w:rPr>
              <w:t>（1）响应文件须独立编制：正本一份，副本三份（副本可装在一个信封内），正本必须用A4幅面纸张打印胶装，副本可以用正本的完整复印件，并在封面标明“正本”、“副本”字样。正本与副本如有不一致，则以正本为准。响应文件正副本必须用胶装成册（为永久性、无破坏不可拆分）并加盖骑缝章(或每页盖章)。</w:t>
            </w:r>
          </w:p>
          <w:p w14:paraId="2B34BA09">
            <w:pPr>
              <w:spacing w:line="410" w:lineRule="exact"/>
              <w:rPr>
                <w:rFonts w:ascii="宋体" w:hAnsi="宋体" w:cs="宋体"/>
                <w:b/>
                <w:bCs/>
                <w:sz w:val="24"/>
                <w:szCs w:val="24"/>
              </w:rPr>
            </w:pPr>
            <w:r>
              <w:rPr>
                <w:rFonts w:hint="eastAsia" w:ascii="宋体" w:hAnsi="宋体" w:cs="宋体"/>
                <w:b/>
                <w:bCs/>
                <w:sz w:val="24"/>
                <w:szCs w:val="24"/>
              </w:rPr>
              <w:t>（2）响应文件中的“附件2：报价一览表（最终报价）”应在磋商后单独密封提交。</w:t>
            </w:r>
          </w:p>
          <w:p w14:paraId="6127538D">
            <w:pPr>
              <w:spacing w:line="410" w:lineRule="exact"/>
              <w:rPr>
                <w:rFonts w:ascii="宋体" w:hAnsi="宋体" w:cs="宋体"/>
                <w:b/>
                <w:bCs/>
                <w:sz w:val="24"/>
                <w:szCs w:val="24"/>
              </w:rPr>
            </w:pPr>
            <w:r>
              <w:rPr>
                <w:rFonts w:hint="eastAsia" w:ascii="宋体" w:hAnsi="宋体" w:cs="宋体"/>
                <w:b/>
                <w:bCs/>
                <w:sz w:val="24"/>
                <w:szCs w:val="24"/>
              </w:rPr>
              <w:t>（3）可读介质（光盘或U盘）1份，供应商应扫描签字、盖章后的纸质响应文件正本以PDF格式制作成电子文本，电子与纸质响应文件内容保持一致（若不一致，以纸质响应文件正本为准）。其中所有文件不做压缩处理、不留密码，包装要求同上。</w:t>
            </w:r>
          </w:p>
        </w:tc>
      </w:tr>
      <w:tr w14:paraId="562ECA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trPr>
        <w:tc>
          <w:tcPr>
            <w:tcW w:w="232" w:type="pct"/>
            <w:vMerge w:val="continue"/>
            <w:vAlign w:val="center"/>
          </w:tcPr>
          <w:p w14:paraId="686FF037">
            <w:pPr>
              <w:spacing w:line="420" w:lineRule="exact"/>
              <w:jc w:val="center"/>
              <w:rPr>
                <w:rFonts w:ascii="宋体" w:hAnsi="宋体" w:cs="宋体"/>
                <w:sz w:val="24"/>
                <w:szCs w:val="24"/>
              </w:rPr>
            </w:pPr>
          </w:p>
        </w:tc>
        <w:tc>
          <w:tcPr>
            <w:tcW w:w="349" w:type="pct"/>
            <w:vAlign w:val="center"/>
          </w:tcPr>
          <w:p w14:paraId="64416887">
            <w:pPr>
              <w:spacing w:line="420" w:lineRule="exact"/>
              <w:jc w:val="center"/>
              <w:rPr>
                <w:rFonts w:ascii="宋体" w:hAnsi="宋体" w:cs="宋体"/>
                <w:sz w:val="24"/>
                <w:szCs w:val="24"/>
              </w:rPr>
            </w:pPr>
            <w:r>
              <w:rPr>
                <w:rFonts w:hint="eastAsia" w:ascii="宋体" w:hAnsi="宋体" w:cs="宋体"/>
                <w:sz w:val="24"/>
                <w:szCs w:val="24"/>
              </w:rPr>
              <w:t>13.8</w:t>
            </w:r>
          </w:p>
        </w:tc>
        <w:tc>
          <w:tcPr>
            <w:tcW w:w="4418" w:type="pct"/>
            <w:vAlign w:val="center"/>
          </w:tcPr>
          <w:p w14:paraId="1FDB0696">
            <w:pPr>
              <w:spacing w:line="500" w:lineRule="exact"/>
              <w:rPr>
                <w:rFonts w:ascii="宋体" w:hAnsi="宋体" w:cs="宋体"/>
                <w:sz w:val="24"/>
                <w:szCs w:val="24"/>
              </w:rPr>
            </w:pPr>
            <w:r>
              <w:rPr>
                <w:rFonts w:hint="eastAsia" w:ascii="宋体" w:hAnsi="宋体" w:cs="宋体"/>
                <w:b/>
                <w:bCs/>
                <w:sz w:val="24"/>
                <w:szCs w:val="24"/>
              </w:rPr>
              <w:t>所有资格证明文件（含商务部分所涉及的证明文件）复印件均须在有效期内，并加盖供应商公章，原件备查。</w:t>
            </w:r>
          </w:p>
        </w:tc>
      </w:tr>
      <w:tr w14:paraId="19870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 w:hRule="atLeast"/>
        </w:trPr>
        <w:tc>
          <w:tcPr>
            <w:tcW w:w="232" w:type="pct"/>
            <w:vAlign w:val="center"/>
          </w:tcPr>
          <w:p w14:paraId="209EDA8F">
            <w:pPr>
              <w:spacing w:line="420" w:lineRule="exact"/>
              <w:jc w:val="center"/>
              <w:rPr>
                <w:rFonts w:ascii="宋体" w:hAnsi="宋体" w:cs="宋体"/>
                <w:sz w:val="24"/>
                <w:szCs w:val="24"/>
              </w:rPr>
            </w:pPr>
            <w:r>
              <w:rPr>
                <w:rFonts w:hint="eastAsia" w:ascii="宋体" w:hAnsi="宋体" w:cs="宋体"/>
                <w:sz w:val="24"/>
                <w:szCs w:val="24"/>
              </w:rPr>
              <w:t>11</w:t>
            </w:r>
          </w:p>
        </w:tc>
        <w:tc>
          <w:tcPr>
            <w:tcW w:w="349" w:type="pct"/>
            <w:vAlign w:val="center"/>
          </w:tcPr>
          <w:p w14:paraId="18F4315F">
            <w:pPr>
              <w:spacing w:line="420" w:lineRule="exact"/>
              <w:jc w:val="center"/>
              <w:rPr>
                <w:rFonts w:ascii="宋体" w:hAnsi="宋体" w:cs="宋体"/>
                <w:sz w:val="24"/>
                <w:szCs w:val="24"/>
              </w:rPr>
            </w:pPr>
          </w:p>
        </w:tc>
        <w:tc>
          <w:tcPr>
            <w:tcW w:w="4418" w:type="pct"/>
            <w:vAlign w:val="center"/>
          </w:tcPr>
          <w:p w14:paraId="29CC123F">
            <w:pPr>
              <w:spacing w:line="440" w:lineRule="exact"/>
              <w:rPr>
                <w:rFonts w:ascii="宋体" w:hAnsi="宋体" w:cs="宋体"/>
                <w:sz w:val="24"/>
                <w:szCs w:val="24"/>
              </w:rPr>
            </w:pPr>
            <w:r>
              <w:rPr>
                <w:rFonts w:hint="eastAsia" w:ascii="宋体" w:hAnsi="宋体" w:cs="宋体"/>
                <w:sz w:val="24"/>
                <w:szCs w:val="24"/>
              </w:rPr>
              <w:t>磋商服务费：本项目代理服务费由成交供应商支付。代理服务费以成交金额为基数进行计算。收费率标准：50万元（含）以下的按1%计算</w:t>
            </w:r>
            <w:r>
              <w:rPr>
                <w:rFonts w:ascii="宋体" w:hAnsi="宋体" w:cs="宋体"/>
                <w:bCs/>
                <w:sz w:val="24"/>
                <w:szCs w:val="24"/>
              </w:rPr>
              <w:t>，50-100万元的按0.90%计算</w:t>
            </w:r>
            <w:r>
              <w:rPr>
                <w:rFonts w:hint="eastAsia" w:ascii="宋体" w:hAnsi="宋体" w:cs="宋体"/>
                <w:bCs/>
                <w:sz w:val="24"/>
                <w:szCs w:val="24"/>
              </w:rPr>
              <w:t>，100-500</w:t>
            </w:r>
            <w:r>
              <w:rPr>
                <w:rFonts w:ascii="宋体" w:hAnsi="宋体" w:cs="宋体"/>
                <w:bCs/>
                <w:sz w:val="24"/>
                <w:szCs w:val="24"/>
              </w:rPr>
              <w:t>万元的按</w:t>
            </w:r>
            <w:r>
              <w:rPr>
                <w:rFonts w:hint="eastAsia" w:ascii="宋体" w:hAnsi="宋体" w:cs="宋体"/>
                <w:bCs/>
                <w:sz w:val="24"/>
                <w:szCs w:val="24"/>
              </w:rPr>
              <w:t>0.50</w:t>
            </w:r>
            <w:r>
              <w:rPr>
                <w:rFonts w:ascii="宋体" w:hAnsi="宋体" w:cs="宋体"/>
                <w:bCs/>
                <w:sz w:val="24"/>
                <w:szCs w:val="24"/>
              </w:rPr>
              <w:t>%计算</w:t>
            </w:r>
            <w:r>
              <w:rPr>
                <w:rFonts w:hint="eastAsia" w:ascii="宋体" w:hAnsi="宋体" w:cs="宋体"/>
                <w:sz w:val="24"/>
                <w:szCs w:val="24"/>
              </w:rPr>
              <w:t>。成交供应商在领取成交通知书前，以转账或汇款方式提交，请供应商报价时予以充分考虑。代理服务费支付至以下账户：</w:t>
            </w:r>
          </w:p>
          <w:p w14:paraId="7A2B9C80">
            <w:pPr>
              <w:spacing w:line="440" w:lineRule="exact"/>
              <w:rPr>
                <w:rFonts w:ascii="宋体" w:hAnsi="宋体" w:cs="宋体"/>
                <w:sz w:val="24"/>
                <w:szCs w:val="24"/>
              </w:rPr>
            </w:pPr>
            <w:r>
              <w:rPr>
                <w:rFonts w:hint="eastAsia" w:ascii="宋体" w:hAnsi="宋体" w:cs="宋体"/>
                <w:sz w:val="24"/>
                <w:szCs w:val="24"/>
              </w:rPr>
              <w:t>开户名称：福建优胜招标项目管理集团有限公司</w:t>
            </w:r>
          </w:p>
          <w:p w14:paraId="7D92C71A">
            <w:pPr>
              <w:spacing w:line="440" w:lineRule="exact"/>
              <w:rPr>
                <w:rFonts w:ascii="宋体" w:hAnsi="宋体" w:cs="宋体"/>
                <w:sz w:val="24"/>
                <w:szCs w:val="24"/>
              </w:rPr>
            </w:pPr>
            <w:r>
              <w:rPr>
                <w:rFonts w:hint="eastAsia" w:ascii="宋体" w:hAnsi="宋体" w:cs="宋体"/>
                <w:sz w:val="24"/>
                <w:szCs w:val="24"/>
              </w:rPr>
              <w:t>开户银行：兴业银行福州华林支行</w:t>
            </w:r>
          </w:p>
          <w:p w14:paraId="40045235">
            <w:pPr>
              <w:spacing w:line="440" w:lineRule="exact"/>
              <w:rPr>
                <w:rFonts w:ascii="宋体" w:hAnsi="宋体" w:cs="宋体"/>
                <w:sz w:val="24"/>
                <w:szCs w:val="24"/>
              </w:rPr>
            </w:pPr>
            <w:r>
              <w:rPr>
                <w:rFonts w:hint="eastAsia" w:ascii="宋体" w:hAnsi="宋体" w:cs="宋体"/>
                <w:sz w:val="24"/>
                <w:szCs w:val="24"/>
              </w:rPr>
              <w:t>账    号：11713 01001 000 37952</w:t>
            </w:r>
          </w:p>
        </w:tc>
      </w:tr>
      <w:tr w14:paraId="6006E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 w:hRule="atLeast"/>
        </w:trPr>
        <w:tc>
          <w:tcPr>
            <w:tcW w:w="232" w:type="pct"/>
            <w:vAlign w:val="center"/>
          </w:tcPr>
          <w:p w14:paraId="4060B2ED">
            <w:pPr>
              <w:spacing w:line="420" w:lineRule="exact"/>
              <w:jc w:val="center"/>
              <w:rPr>
                <w:rFonts w:ascii="宋体" w:hAnsi="宋体" w:cs="宋体"/>
                <w:sz w:val="24"/>
                <w:szCs w:val="24"/>
              </w:rPr>
            </w:pPr>
            <w:r>
              <w:rPr>
                <w:rFonts w:hint="eastAsia" w:ascii="宋体" w:hAnsi="宋体" w:cs="宋体"/>
                <w:sz w:val="24"/>
                <w:szCs w:val="24"/>
              </w:rPr>
              <w:t>12</w:t>
            </w:r>
          </w:p>
        </w:tc>
        <w:tc>
          <w:tcPr>
            <w:tcW w:w="349" w:type="pct"/>
            <w:vAlign w:val="center"/>
          </w:tcPr>
          <w:p w14:paraId="3FDA1B03">
            <w:pPr>
              <w:spacing w:line="420" w:lineRule="exact"/>
              <w:jc w:val="center"/>
              <w:rPr>
                <w:rFonts w:ascii="宋体" w:hAnsi="宋体" w:cs="宋体"/>
                <w:sz w:val="24"/>
                <w:szCs w:val="24"/>
              </w:rPr>
            </w:pPr>
            <w:r>
              <w:rPr>
                <w:rFonts w:hint="eastAsia" w:ascii="宋体" w:hAnsi="宋体" w:cs="宋体"/>
                <w:sz w:val="24"/>
                <w:szCs w:val="24"/>
              </w:rPr>
              <w:t>17.3</w:t>
            </w:r>
          </w:p>
        </w:tc>
        <w:tc>
          <w:tcPr>
            <w:tcW w:w="4418" w:type="pct"/>
            <w:vAlign w:val="center"/>
          </w:tcPr>
          <w:p w14:paraId="15E605F6">
            <w:pPr>
              <w:spacing w:line="440" w:lineRule="exact"/>
              <w:rPr>
                <w:rFonts w:ascii="宋体" w:hAnsi="宋体" w:cs="宋体"/>
                <w:sz w:val="24"/>
                <w:szCs w:val="24"/>
              </w:rPr>
            </w:pPr>
            <w:r>
              <w:rPr>
                <w:rFonts w:hint="eastAsia" w:ascii="宋体" w:hAnsi="宋体" w:cs="宋体"/>
                <w:sz w:val="24"/>
                <w:szCs w:val="24"/>
              </w:rPr>
              <w:t>凡有下列情况之一者，响应文件也将被视为未实质性响应采购文件要求：</w:t>
            </w:r>
          </w:p>
          <w:p w14:paraId="1B3C6D4B">
            <w:pPr>
              <w:spacing w:line="440" w:lineRule="exact"/>
              <w:rPr>
                <w:rFonts w:ascii="宋体" w:hAnsi="宋体" w:cs="宋体"/>
                <w:sz w:val="24"/>
                <w:szCs w:val="24"/>
              </w:rPr>
            </w:pPr>
            <w:r>
              <w:rPr>
                <w:rFonts w:hint="eastAsia" w:ascii="宋体" w:hAnsi="宋体" w:cs="宋体"/>
                <w:sz w:val="24"/>
                <w:szCs w:val="24"/>
              </w:rPr>
              <w:t>（1）响应文件未按照本须知第13条，第14条的规定进行制作、密封、标记的；</w:t>
            </w:r>
          </w:p>
          <w:p w14:paraId="595192C3">
            <w:pPr>
              <w:spacing w:line="440" w:lineRule="exact"/>
              <w:rPr>
                <w:rFonts w:ascii="宋体" w:hAnsi="宋体" w:cs="宋体"/>
                <w:sz w:val="24"/>
                <w:szCs w:val="24"/>
              </w:rPr>
            </w:pPr>
            <w:r>
              <w:rPr>
                <w:rFonts w:hint="eastAsia" w:ascii="宋体" w:hAnsi="宋体" w:cs="宋体"/>
                <w:sz w:val="24"/>
                <w:szCs w:val="24"/>
              </w:rPr>
              <w:t>（2）未按规定由供应商的法定代表人或其授权代表签字，或未加盖供应商公章的；或签字人未经法定代表人有效授权委托的；</w:t>
            </w:r>
          </w:p>
          <w:p w14:paraId="487220BC">
            <w:pPr>
              <w:spacing w:line="440" w:lineRule="exact"/>
              <w:rPr>
                <w:rFonts w:ascii="宋体" w:hAnsi="宋体" w:cs="宋体"/>
                <w:sz w:val="24"/>
                <w:szCs w:val="24"/>
              </w:rPr>
            </w:pPr>
            <w:r>
              <w:rPr>
                <w:rFonts w:hint="eastAsia" w:ascii="宋体" w:hAnsi="宋体" w:cs="宋体"/>
                <w:sz w:val="24"/>
                <w:szCs w:val="24"/>
              </w:rPr>
              <w:t>（3）未按规定提交磋商保证金的；</w:t>
            </w:r>
          </w:p>
          <w:p w14:paraId="6B99D01A">
            <w:pPr>
              <w:spacing w:line="440" w:lineRule="exact"/>
              <w:rPr>
                <w:rFonts w:ascii="宋体" w:hAnsi="宋体" w:cs="宋体"/>
                <w:sz w:val="24"/>
                <w:szCs w:val="24"/>
              </w:rPr>
            </w:pPr>
            <w:r>
              <w:rPr>
                <w:rFonts w:hint="eastAsia" w:ascii="宋体" w:hAnsi="宋体" w:cs="宋体"/>
                <w:sz w:val="24"/>
                <w:szCs w:val="24"/>
              </w:rPr>
              <w:t>（4）磋商有效期不满足采购文件要求的；</w:t>
            </w:r>
          </w:p>
          <w:p w14:paraId="4C41F34C">
            <w:pPr>
              <w:spacing w:line="440" w:lineRule="exact"/>
              <w:rPr>
                <w:rFonts w:ascii="宋体" w:hAnsi="宋体" w:cs="宋体"/>
                <w:sz w:val="24"/>
                <w:szCs w:val="24"/>
              </w:rPr>
            </w:pPr>
            <w:r>
              <w:rPr>
                <w:rFonts w:hint="eastAsia" w:ascii="宋体" w:hAnsi="宋体" w:cs="宋体"/>
                <w:sz w:val="24"/>
                <w:szCs w:val="24"/>
              </w:rPr>
              <w:t>（5）磋商内容与磋商内容及要求有重大偏离或保留的；</w:t>
            </w:r>
          </w:p>
          <w:p w14:paraId="01D7CC17">
            <w:pPr>
              <w:spacing w:line="440" w:lineRule="exact"/>
              <w:rPr>
                <w:rFonts w:ascii="宋体" w:hAnsi="宋体" w:cs="宋体"/>
                <w:sz w:val="24"/>
                <w:szCs w:val="24"/>
              </w:rPr>
            </w:pPr>
            <w:r>
              <w:rPr>
                <w:rFonts w:hint="eastAsia" w:ascii="宋体" w:hAnsi="宋体" w:cs="宋体"/>
                <w:sz w:val="24"/>
                <w:szCs w:val="24"/>
              </w:rPr>
              <w:t>（6）供应商提交的是可选择的报价；</w:t>
            </w:r>
          </w:p>
          <w:p w14:paraId="029E85C9">
            <w:pPr>
              <w:spacing w:line="440" w:lineRule="exact"/>
              <w:rPr>
                <w:rFonts w:ascii="宋体" w:hAnsi="宋体" w:cs="宋体"/>
                <w:sz w:val="24"/>
                <w:szCs w:val="24"/>
              </w:rPr>
            </w:pPr>
            <w:r>
              <w:rPr>
                <w:rFonts w:hint="eastAsia" w:ascii="宋体" w:hAnsi="宋体" w:cs="宋体"/>
                <w:sz w:val="24"/>
                <w:szCs w:val="24"/>
              </w:rPr>
              <w:t>（7）一个供应商不止投一个标；</w:t>
            </w:r>
          </w:p>
          <w:p w14:paraId="7BCCD287">
            <w:pPr>
              <w:spacing w:line="440" w:lineRule="exact"/>
              <w:rPr>
                <w:rFonts w:ascii="宋体" w:hAnsi="宋体" w:cs="宋体"/>
                <w:sz w:val="24"/>
                <w:szCs w:val="24"/>
              </w:rPr>
            </w:pPr>
            <w:r>
              <w:rPr>
                <w:rFonts w:hint="eastAsia" w:ascii="宋体" w:hAnsi="宋体" w:cs="宋体"/>
                <w:sz w:val="24"/>
                <w:szCs w:val="24"/>
              </w:rPr>
              <w:t>（8）响应文件组成不符合采购文件要求的；</w:t>
            </w:r>
          </w:p>
          <w:p w14:paraId="1639BBA3">
            <w:pPr>
              <w:spacing w:line="440" w:lineRule="exact"/>
              <w:rPr>
                <w:rFonts w:ascii="宋体" w:hAnsi="宋体" w:cs="宋体"/>
                <w:sz w:val="24"/>
                <w:szCs w:val="24"/>
              </w:rPr>
            </w:pPr>
            <w:r>
              <w:rPr>
                <w:rFonts w:hint="eastAsia" w:ascii="宋体" w:hAnsi="宋体" w:cs="宋体"/>
                <w:sz w:val="24"/>
                <w:szCs w:val="24"/>
              </w:rPr>
              <w:t>（9）响应文件中提供虚假或失实资料的；</w:t>
            </w:r>
          </w:p>
          <w:p w14:paraId="003CF703">
            <w:pPr>
              <w:spacing w:line="440" w:lineRule="exact"/>
              <w:rPr>
                <w:rFonts w:ascii="宋体" w:hAnsi="宋体" w:cs="宋体"/>
                <w:sz w:val="24"/>
                <w:szCs w:val="24"/>
              </w:rPr>
            </w:pPr>
            <w:r>
              <w:rPr>
                <w:rFonts w:hint="eastAsia" w:ascii="宋体" w:hAnsi="宋体" w:cs="宋体"/>
                <w:sz w:val="24"/>
                <w:szCs w:val="24"/>
              </w:rPr>
              <w:t xml:space="preserve">（10）不符合采购文件中规定的其他实质性条款。 </w:t>
            </w:r>
          </w:p>
          <w:p w14:paraId="6F9974B8">
            <w:pPr>
              <w:spacing w:line="440" w:lineRule="exact"/>
              <w:rPr>
                <w:rFonts w:ascii="宋体" w:hAnsi="宋体" w:cs="宋体"/>
                <w:sz w:val="24"/>
                <w:szCs w:val="24"/>
              </w:rPr>
            </w:pPr>
            <w:r>
              <w:rPr>
                <w:rFonts w:hint="eastAsia" w:ascii="宋体" w:hAnsi="宋体" w:cs="宋体"/>
                <w:sz w:val="24"/>
                <w:szCs w:val="24"/>
              </w:rPr>
              <w:t>认定串通磋商的情形：</w:t>
            </w:r>
          </w:p>
          <w:p w14:paraId="0F72718E">
            <w:pPr>
              <w:spacing w:line="440" w:lineRule="exact"/>
              <w:rPr>
                <w:rFonts w:ascii="宋体" w:hAnsi="宋体" w:cs="宋体"/>
                <w:sz w:val="24"/>
                <w:szCs w:val="24"/>
              </w:rPr>
            </w:pPr>
            <w:r>
              <w:rPr>
                <w:rFonts w:hint="eastAsia" w:ascii="宋体" w:hAnsi="宋体" w:cs="宋体"/>
                <w:sz w:val="24"/>
                <w:szCs w:val="24"/>
              </w:rPr>
              <w:t>磋商小组在评审过程中发现供应商存在下列情形之一的，可认定其有串通磋商行为，并做出其响应无效的决定：</w:t>
            </w:r>
          </w:p>
          <w:p w14:paraId="5F2090DB">
            <w:pPr>
              <w:spacing w:line="440" w:lineRule="exact"/>
              <w:rPr>
                <w:rFonts w:ascii="宋体" w:hAnsi="宋体" w:cs="宋体"/>
                <w:sz w:val="24"/>
                <w:szCs w:val="24"/>
              </w:rPr>
            </w:pPr>
            <w:r>
              <w:rPr>
                <w:rFonts w:hint="eastAsia" w:ascii="宋体" w:hAnsi="宋体" w:cs="宋体"/>
                <w:sz w:val="24"/>
                <w:szCs w:val="24"/>
              </w:rPr>
              <w:t>（1）不同供应商的响应文件错、漏之处一致或雷同，且不能合理解释的；</w:t>
            </w:r>
          </w:p>
          <w:p w14:paraId="4AAE3A7C">
            <w:pPr>
              <w:spacing w:line="440" w:lineRule="exact"/>
              <w:rPr>
                <w:rFonts w:ascii="宋体" w:hAnsi="宋体" w:cs="宋体"/>
                <w:sz w:val="24"/>
                <w:szCs w:val="24"/>
              </w:rPr>
            </w:pPr>
            <w:r>
              <w:rPr>
                <w:rFonts w:hint="eastAsia" w:ascii="宋体" w:hAnsi="宋体" w:cs="宋体"/>
                <w:sz w:val="24"/>
                <w:szCs w:val="24"/>
              </w:rPr>
              <w:t>（2）不同的供应商的法定代表人、委托代理人等由同一个单位缴纳社会保险的；</w:t>
            </w:r>
          </w:p>
          <w:p w14:paraId="27862308">
            <w:pPr>
              <w:spacing w:line="440" w:lineRule="exact"/>
              <w:rPr>
                <w:rFonts w:ascii="宋体" w:hAnsi="宋体" w:cs="宋体"/>
                <w:sz w:val="24"/>
                <w:szCs w:val="24"/>
              </w:rPr>
            </w:pPr>
            <w:r>
              <w:rPr>
                <w:rFonts w:hint="eastAsia" w:ascii="宋体" w:hAnsi="宋体" w:cs="宋体"/>
                <w:sz w:val="24"/>
                <w:szCs w:val="24"/>
              </w:rPr>
              <w:t>（3）由同一人或分别由几个有利害关系人携带两个以上（含两个）供应商的企业资料参与资格审查、领取资料，或代表两个以上（含两个）供应商参加答疑会、缴纳或退还保证金、开标的；</w:t>
            </w:r>
          </w:p>
          <w:p w14:paraId="067720B4">
            <w:pPr>
              <w:spacing w:line="440" w:lineRule="exact"/>
              <w:rPr>
                <w:rFonts w:ascii="宋体" w:hAnsi="宋体" w:cs="宋体"/>
                <w:sz w:val="24"/>
                <w:szCs w:val="24"/>
              </w:rPr>
            </w:pPr>
            <w:r>
              <w:rPr>
                <w:rFonts w:hint="eastAsia" w:ascii="宋体" w:hAnsi="宋体" w:cs="宋体"/>
                <w:sz w:val="24"/>
                <w:szCs w:val="24"/>
              </w:rPr>
              <w:t>（4）有关法律、法规或规章规定的其他串通磋商行为。</w:t>
            </w:r>
          </w:p>
          <w:p w14:paraId="65172293">
            <w:pPr>
              <w:spacing w:line="500" w:lineRule="exact"/>
              <w:rPr>
                <w:rFonts w:ascii="宋体" w:hAnsi="宋体" w:cs="宋体"/>
                <w:sz w:val="24"/>
                <w:szCs w:val="24"/>
              </w:rPr>
            </w:pPr>
            <w:r>
              <w:rPr>
                <w:rFonts w:hint="eastAsia" w:ascii="宋体" w:hAnsi="宋体" w:cs="宋体"/>
                <w:sz w:val="24"/>
                <w:szCs w:val="24"/>
              </w:rPr>
              <w:t>磋商小组决定磋商的响应性只根据响应文件本身的内容，而不寻求其他的外部证据。</w:t>
            </w:r>
          </w:p>
        </w:tc>
      </w:tr>
      <w:tr w14:paraId="09545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 w:hRule="atLeast"/>
        </w:trPr>
        <w:tc>
          <w:tcPr>
            <w:tcW w:w="232" w:type="pct"/>
            <w:vAlign w:val="center"/>
          </w:tcPr>
          <w:p w14:paraId="048BE107">
            <w:pPr>
              <w:spacing w:line="420" w:lineRule="exact"/>
              <w:jc w:val="center"/>
              <w:rPr>
                <w:rFonts w:ascii="宋体" w:hAnsi="宋体" w:cs="宋体"/>
                <w:sz w:val="24"/>
                <w:szCs w:val="24"/>
              </w:rPr>
            </w:pPr>
            <w:r>
              <w:rPr>
                <w:rFonts w:hint="eastAsia" w:ascii="宋体" w:hAnsi="宋体" w:cs="宋体"/>
                <w:sz w:val="24"/>
                <w:szCs w:val="24"/>
              </w:rPr>
              <w:t>13</w:t>
            </w:r>
          </w:p>
        </w:tc>
        <w:tc>
          <w:tcPr>
            <w:tcW w:w="349" w:type="pct"/>
            <w:vAlign w:val="center"/>
          </w:tcPr>
          <w:p w14:paraId="0B7EA7D2">
            <w:pPr>
              <w:spacing w:line="420" w:lineRule="exact"/>
              <w:jc w:val="center"/>
              <w:rPr>
                <w:rFonts w:ascii="宋体" w:hAnsi="宋体" w:cs="宋体"/>
                <w:sz w:val="24"/>
                <w:szCs w:val="24"/>
              </w:rPr>
            </w:pPr>
          </w:p>
        </w:tc>
        <w:tc>
          <w:tcPr>
            <w:tcW w:w="4418" w:type="pct"/>
            <w:vAlign w:val="center"/>
          </w:tcPr>
          <w:p w14:paraId="54C9C8EA">
            <w:pPr>
              <w:spacing w:line="500" w:lineRule="exact"/>
              <w:rPr>
                <w:rFonts w:ascii="宋体" w:hAnsi="宋体" w:cs="宋体"/>
                <w:sz w:val="24"/>
                <w:szCs w:val="24"/>
              </w:rPr>
            </w:pPr>
            <w:r>
              <w:rPr>
                <w:rFonts w:hint="eastAsia" w:ascii="宋体" w:hAnsi="宋体" w:cs="宋体"/>
                <w:sz w:val="24"/>
                <w:szCs w:val="24"/>
              </w:rPr>
              <w:t>磋商小组对供应商所提供的资格类文件仅负审核责任。即使供应商所提交的资格类文件通过了审核，在评审过程中乃至确定成交方后，如发现供应商所提供的资格类文件不合法或不真实，仍可废除成交方成交资格并追究成交方的法律责任。</w:t>
            </w:r>
          </w:p>
        </w:tc>
      </w:tr>
      <w:tr w14:paraId="313DB8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 w:hRule="atLeast"/>
        </w:trPr>
        <w:tc>
          <w:tcPr>
            <w:tcW w:w="232" w:type="pct"/>
            <w:vAlign w:val="center"/>
          </w:tcPr>
          <w:p w14:paraId="3515091B">
            <w:pPr>
              <w:spacing w:line="420" w:lineRule="exact"/>
              <w:jc w:val="center"/>
              <w:rPr>
                <w:rFonts w:ascii="宋体" w:hAnsi="宋体" w:cs="宋体"/>
                <w:sz w:val="24"/>
                <w:szCs w:val="24"/>
              </w:rPr>
            </w:pPr>
            <w:r>
              <w:rPr>
                <w:rFonts w:hint="eastAsia" w:ascii="宋体" w:hAnsi="宋体" w:cs="宋体"/>
                <w:sz w:val="24"/>
                <w:szCs w:val="24"/>
              </w:rPr>
              <w:t>14</w:t>
            </w:r>
          </w:p>
        </w:tc>
        <w:tc>
          <w:tcPr>
            <w:tcW w:w="349" w:type="pct"/>
            <w:vAlign w:val="center"/>
          </w:tcPr>
          <w:p w14:paraId="5E048C07">
            <w:pPr>
              <w:spacing w:line="420" w:lineRule="exact"/>
              <w:jc w:val="center"/>
              <w:rPr>
                <w:rFonts w:ascii="宋体" w:hAnsi="宋体" w:cs="宋体"/>
                <w:sz w:val="24"/>
                <w:szCs w:val="24"/>
              </w:rPr>
            </w:pPr>
          </w:p>
        </w:tc>
        <w:tc>
          <w:tcPr>
            <w:tcW w:w="4418" w:type="pct"/>
          </w:tcPr>
          <w:p w14:paraId="1B8F8168">
            <w:pPr>
              <w:pStyle w:val="301"/>
              <w:widowControl w:val="0"/>
              <w:wordWrap w:val="0"/>
              <w:spacing w:line="400" w:lineRule="exact"/>
              <w:jc w:val="both"/>
              <w:rPr>
                <w:rFonts w:hint="default" w:ascii="宋体" w:hAnsi="宋体" w:cs="宋体"/>
                <w:bCs/>
                <w:sz w:val="24"/>
                <w:szCs w:val="24"/>
              </w:rPr>
            </w:pPr>
            <w:r>
              <w:rPr>
                <w:rFonts w:ascii="宋体" w:hAnsi="宋体" w:cs="宋体"/>
                <w:bCs/>
                <w:sz w:val="24"/>
                <w:szCs w:val="24"/>
              </w:rPr>
              <w:t>磋商保证金退还的要求：</w:t>
            </w:r>
          </w:p>
          <w:p w14:paraId="2190B347">
            <w:pPr>
              <w:pStyle w:val="301"/>
              <w:widowControl w:val="0"/>
              <w:wordWrap w:val="0"/>
              <w:spacing w:line="400" w:lineRule="exact"/>
              <w:ind w:firstLine="480" w:firstLineChars="200"/>
              <w:jc w:val="both"/>
              <w:rPr>
                <w:rFonts w:hint="default" w:ascii="宋体" w:hAnsi="宋体" w:cs="宋体"/>
                <w:bCs/>
                <w:sz w:val="24"/>
                <w:szCs w:val="24"/>
              </w:rPr>
            </w:pPr>
            <w:r>
              <w:rPr>
                <w:rFonts w:ascii="宋体" w:hAnsi="宋体" w:cs="宋体"/>
                <w:bCs/>
                <w:sz w:val="24"/>
                <w:szCs w:val="24"/>
              </w:rPr>
              <w:t>（1）未成交人的磋商保证金退还时间为结果公告发出后5个工作日内，请未成交人进入福建优胜招标项目管理集团有限公司官网(http://www.fjyszb.com/)登入供应商账号后,在报名记录中找到需要退保的项目进行线上申请，将退保函(格式详见官网底部“办事指南”)和磋商保证金的汇款凭证加盖公章扫描上传至附件部分提交。逾期未办理的，我司不负相关法律责任。</w:t>
            </w:r>
          </w:p>
          <w:p w14:paraId="383957E5">
            <w:pPr>
              <w:pStyle w:val="301"/>
              <w:widowControl w:val="0"/>
              <w:wordWrap w:val="0"/>
              <w:spacing w:line="400" w:lineRule="exact"/>
              <w:ind w:firstLine="480" w:firstLineChars="200"/>
              <w:jc w:val="both"/>
              <w:rPr>
                <w:rFonts w:hint="default" w:ascii="宋体" w:hAnsi="宋体" w:cs="宋体"/>
                <w:bCs/>
                <w:sz w:val="24"/>
                <w:szCs w:val="24"/>
              </w:rPr>
            </w:pPr>
            <w:r>
              <w:rPr>
                <w:rFonts w:ascii="宋体" w:hAnsi="宋体" w:cs="宋体"/>
                <w:bCs/>
                <w:sz w:val="24"/>
                <w:szCs w:val="24"/>
              </w:rPr>
              <w:t>（2）成交供应商的磋商保证金退还时间为合同签订之日起5个工作日内；合同签订之日以纸质合同里签订之日为准。请成交供应商进入福建优胜招标项目管理集团有限公司官网(http://www.fjyszb.com/)登入供应商账号后,在报名记录中找到需要退保的项目进行线上申请，将退保函(格式详见官网底部“办事指南”)和磋商保证金的汇款凭证加盖公章扫描上传至附件部分提交。逾期未办理的，我司不负相关法律责任。</w:t>
            </w:r>
          </w:p>
          <w:p w14:paraId="36002D4B">
            <w:pPr>
              <w:pStyle w:val="301"/>
              <w:widowControl w:val="0"/>
              <w:wordWrap w:val="0"/>
              <w:spacing w:line="400" w:lineRule="exact"/>
              <w:ind w:firstLine="480" w:firstLineChars="200"/>
              <w:jc w:val="both"/>
              <w:rPr>
                <w:rFonts w:hint="default" w:ascii="宋体" w:hAnsi="宋体" w:cs="宋体"/>
                <w:bCs/>
                <w:sz w:val="24"/>
                <w:szCs w:val="24"/>
              </w:rPr>
            </w:pPr>
            <w:r>
              <w:rPr>
                <w:rFonts w:ascii="宋体" w:hAnsi="宋体" w:cs="宋体"/>
                <w:bCs/>
                <w:sz w:val="24"/>
                <w:szCs w:val="24"/>
              </w:rPr>
              <w:t>（3）磋商保证金退还联系方式：</w:t>
            </w:r>
          </w:p>
          <w:p w14:paraId="66370A53">
            <w:pPr>
              <w:pStyle w:val="301"/>
              <w:widowControl w:val="0"/>
              <w:wordWrap w:val="0"/>
              <w:spacing w:line="400" w:lineRule="exact"/>
              <w:ind w:firstLine="480" w:firstLineChars="200"/>
              <w:jc w:val="both"/>
              <w:rPr>
                <w:rFonts w:hint="default" w:ascii="宋体" w:hAnsi="宋体" w:cs="宋体"/>
                <w:bCs/>
                <w:sz w:val="24"/>
                <w:szCs w:val="24"/>
              </w:rPr>
            </w:pPr>
            <w:r>
              <w:rPr>
                <w:rFonts w:ascii="宋体" w:hAnsi="宋体" w:cs="宋体"/>
                <w:bCs/>
                <w:sz w:val="24"/>
                <w:szCs w:val="24"/>
              </w:rPr>
              <w:t>联系人：张小姐；</w:t>
            </w:r>
          </w:p>
          <w:p w14:paraId="079F5F72">
            <w:pPr>
              <w:pStyle w:val="301"/>
              <w:widowControl w:val="0"/>
              <w:wordWrap w:val="0"/>
              <w:spacing w:line="400" w:lineRule="exact"/>
              <w:ind w:firstLine="480" w:firstLineChars="200"/>
              <w:jc w:val="both"/>
              <w:rPr>
                <w:rFonts w:hint="default" w:ascii="宋体" w:hAnsi="宋体" w:cs="宋体"/>
                <w:bCs/>
                <w:sz w:val="24"/>
                <w:szCs w:val="24"/>
              </w:rPr>
            </w:pPr>
            <w:r>
              <w:rPr>
                <w:rFonts w:ascii="宋体" w:hAnsi="宋体" w:cs="宋体"/>
                <w:bCs/>
                <w:sz w:val="24"/>
                <w:szCs w:val="24"/>
              </w:rPr>
              <w:t>联系电话：0591-88322365。</w:t>
            </w:r>
          </w:p>
        </w:tc>
      </w:tr>
      <w:tr w14:paraId="50BF2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 w:hRule="atLeast"/>
        </w:trPr>
        <w:tc>
          <w:tcPr>
            <w:tcW w:w="232" w:type="pct"/>
            <w:vAlign w:val="center"/>
          </w:tcPr>
          <w:p w14:paraId="09CCAB7B">
            <w:pPr>
              <w:spacing w:line="420" w:lineRule="exact"/>
              <w:jc w:val="center"/>
              <w:rPr>
                <w:rFonts w:ascii="宋体" w:hAnsi="宋体" w:cs="宋体"/>
                <w:sz w:val="24"/>
                <w:szCs w:val="24"/>
              </w:rPr>
            </w:pPr>
            <w:r>
              <w:rPr>
                <w:rFonts w:hint="eastAsia" w:ascii="宋体" w:hAnsi="宋体" w:cs="宋体"/>
                <w:sz w:val="24"/>
                <w:szCs w:val="24"/>
              </w:rPr>
              <w:t>15</w:t>
            </w:r>
          </w:p>
        </w:tc>
        <w:tc>
          <w:tcPr>
            <w:tcW w:w="349" w:type="pct"/>
            <w:vAlign w:val="center"/>
          </w:tcPr>
          <w:p w14:paraId="157C3A34">
            <w:pPr>
              <w:spacing w:line="420" w:lineRule="exact"/>
              <w:jc w:val="center"/>
              <w:rPr>
                <w:rFonts w:ascii="宋体" w:hAnsi="宋体" w:cs="宋体"/>
                <w:sz w:val="24"/>
                <w:szCs w:val="24"/>
              </w:rPr>
            </w:pPr>
          </w:p>
        </w:tc>
        <w:tc>
          <w:tcPr>
            <w:tcW w:w="4418" w:type="pct"/>
          </w:tcPr>
          <w:p w14:paraId="37BF2BF9">
            <w:pPr>
              <w:pStyle w:val="301"/>
              <w:widowControl w:val="0"/>
              <w:wordWrap w:val="0"/>
              <w:spacing w:line="400" w:lineRule="exact"/>
              <w:jc w:val="both"/>
              <w:rPr>
                <w:rFonts w:hint="default" w:ascii="宋体" w:hAnsi="宋体" w:cs="宋体"/>
                <w:iCs/>
                <w:sz w:val="24"/>
                <w:szCs w:val="24"/>
              </w:rPr>
            </w:pPr>
            <w:r>
              <w:rPr>
                <w:rFonts w:ascii="宋体" w:hAnsi="宋体" w:cs="宋体"/>
                <w:bCs/>
                <w:iCs/>
                <w:sz w:val="24"/>
                <w:szCs w:val="24"/>
              </w:rPr>
              <w:t>是否组织现场考察或召开磋商前答疑会：否</w:t>
            </w:r>
          </w:p>
        </w:tc>
      </w:tr>
      <w:tr w14:paraId="06B67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 w:hRule="atLeast"/>
        </w:trPr>
        <w:tc>
          <w:tcPr>
            <w:tcW w:w="232" w:type="pct"/>
            <w:vAlign w:val="center"/>
          </w:tcPr>
          <w:p w14:paraId="2455ACC8">
            <w:pPr>
              <w:spacing w:line="420" w:lineRule="exact"/>
              <w:jc w:val="center"/>
              <w:rPr>
                <w:rFonts w:ascii="宋体" w:hAnsi="宋体" w:cs="宋体"/>
                <w:sz w:val="24"/>
                <w:szCs w:val="24"/>
              </w:rPr>
            </w:pPr>
            <w:r>
              <w:rPr>
                <w:rFonts w:hint="eastAsia" w:ascii="宋体" w:hAnsi="宋体" w:cs="宋体"/>
                <w:sz w:val="24"/>
                <w:szCs w:val="24"/>
              </w:rPr>
              <w:t>16</w:t>
            </w:r>
          </w:p>
        </w:tc>
        <w:tc>
          <w:tcPr>
            <w:tcW w:w="349" w:type="pct"/>
            <w:vAlign w:val="center"/>
          </w:tcPr>
          <w:p w14:paraId="30C5CE9A">
            <w:pPr>
              <w:spacing w:line="420" w:lineRule="exact"/>
              <w:jc w:val="center"/>
              <w:rPr>
                <w:rFonts w:ascii="宋体" w:hAnsi="宋体" w:cs="宋体"/>
                <w:sz w:val="24"/>
                <w:szCs w:val="24"/>
              </w:rPr>
            </w:pPr>
          </w:p>
        </w:tc>
        <w:tc>
          <w:tcPr>
            <w:tcW w:w="4418" w:type="pct"/>
          </w:tcPr>
          <w:p w14:paraId="4B6E6B4F">
            <w:pPr>
              <w:pStyle w:val="44"/>
              <w:wordWrap w:val="0"/>
              <w:spacing w:line="440" w:lineRule="exact"/>
              <w:rPr>
                <w:b/>
                <w:bCs/>
                <w:szCs w:val="20"/>
              </w:rPr>
            </w:pPr>
            <w:r>
              <w:rPr>
                <w:rFonts w:hint="eastAsia"/>
                <w:b/>
                <w:bCs/>
                <w:szCs w:val="20"/>
              </w:rPr>
              <w:t>（1）竞争性磋商以进入磋商阶段的供应商递交首次响应文件的先后确定磋商顺序，在规定的时间内（一般为一个小时内，有特殊情况时由磋商小组具体规定）提交最后报价，未按规定提交最后报价的视为主动退出磋商程序。</w:t>
            </w:r>
          </w:p>
          <w:p w14:paraId="0D96B4D4">
            <w:pPr>
              <w:pStyle w:val="44"/>
              <w:wordWrap w:val="0"/>
              <w:spacing w:line="440" w:lineRule="exact"/>
              <w:rPr>
                <w:bCs/>
                <w:iCs/>
              </w:rPr>
            </w:pPr>
            <w:r>
              <w:rPr>
                <w:rFonts w:hint="eastAsia"/>
                <w:b/>
                <w:bCs/>
                <w:szCs w:val="20"/>
              </w:rPr>
              <w:t>（2）竞争性磋商文件如有变动，供应商除根据磋商小组的要求提交最后报价外还应提交补充响应文件，未按规定提交的，以无效标处理。</w:t>
            </w:r>
          </w:p>
        </w:tc>
      </w:tr>
      <w:tr w14:paraId="70DCD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 w:hRule="atLeast"/>
        </w:trPr>
        <w:tc>
          <w:tcPr>
            <w:tcW w:w="232" w:type="pct"/>
            <w:vAlign w:val="center"/>
          </w:tcPr>
          <w:p w14:paraId="71EEF667">
            <w:pPr>
              <w:spacing w:line="420" w:lineRule="exact"/>
              <w:jc w:val="center"/>
              <w:rPr>
                <w:rFonts w:ascii="宋体" w:hAnsi="宋体" w:cs="宋体"/>
                <w:sz w:val="24"/>
                <w:szCs w:val="24"/>
              </w:rPr>
            </w:pPr>
            <w:bookmarkStart w:id="22" w:name="_Toc21122"/>
            <w:bookmarkStart w:id="23" w:name="_Toc23035_WPSOffice_Level2"/>
            <w:bookmarkStart w:id="24" w:name="_Toc6225_WPSOffice_Level2"/>
            <w:r>
              <w:rPr>
                <w:rFonts w:hint="eastAsia" w:ascii="宋体" w:hAnsi="宋体" w:cs="宋体"/>
                <w:sz w:val="24"/>
                <w:szCs w:val="24"/>
              </w:rPr>
              <w:t>17</w:t>
            </w:r>
          </w:p>
        </w:tc>
        <w:tc>
          <w:tcPr>
            <w:tcW w:w="349" w:type="pct"/>
            <w:vAlign w:val="center"/>
          </w:tcPr>
          <w:p w14:paraId="1196D7EE">
            <w:pPr>
              <w:spacing w:line="420" w:lineRule="exact"/>
              <w:jc w:val="center"/>
              <w:rPr>
                <w:rFonts w:ascii="宋体" w:hAnsi="宋体" w:cs="宋体"/>
                <w:sz w:val="24"/>
                <w:szCs w:val="24"/>
              </w:rPr>
            </w:pPr>
          </w:p>
        </w:tc>
        <w:tc>
          <w:tcPr>
            <w:tcW w:w="4418" w:type="pct"/>
          </w:tcPr>
          <w:p w14:paraId="3E4D5F00">
            <w:pPr>
              <w:widowControl/>
              <w:spacing w:line="400" w:lineRule="exact"/>
              <w:jc w:val="left"/>
              <w:rPr>
                <w:rFonts w:ascii="宋体" w:hAnsi="宋体" w:cs="宋体"/>
                <w:bCs/>
                <w:iCs/>
                <w:sz w:val="24"/>
                <w:szCs w:val="24"/>
              </w:rPr>
            </w:pPr>
            <w:r>
              <w:rPr>
                <w:rFonts w:hint="eastAsia" w:ascii="宋体" w:hAnsi="宋体" w:cs="宋体"/>
                <w:bCs/>
                <w:iCs/>
                <w:sz w:val="24"/>
                <w:szCs w:val="24"/>
              </w:rPr>
              <w:t>其他事项：</w:t>
            </w:r>
          </w:p>
          <w:p w14:paraId="79C202C6">
            <w:pPr>
              <w:widowControl/>
              <w:spacing w:line="400" w:lineRule="exact"/>
              <w:jc w:val="left"/>
            </w:pPr>
            <w:r>
              <w:rPr>
                <w:rFonts w:hint="eastAsia" w:ascii="宋体" w:hAnsi="宋体" w:cs="宋体"/>
                <w:kern w:val="0"/>
                <w:sz w:val="24"/>
                <w:szCs w:val="24"/>
              </w:rPr>
              <w:t>①供应商必须对其响应文件中提供各种资料、说明的真实性负责。在评审过程中，如有发现供应商有为谋取成交而提供虚假资料欺骗采购人和磋商小组的行为，将取消其成交资格，其磋商保证金将不予退还。采购人有权对成交人在响应文件中提供的资料和承诺内容进行核查，成交人应无条件配合采购人的核查工作，不得托词拒绝提供材料核查或隐瞒真实情况。若采购人发现成交人提供虚假材料谋取成交或承诺的内容与真实情况不一致等违法违规行为，采购人有权取消其合同签订或终止合同，且不予退还履约保证金，成交人还应赔偿由此给采购人造成的损失。</w:t>
            </w:r>
          </w:p>
          <w:p w14:paraId="2B74A78C">
            <w:pPr>
              <w:widowControl/>
              <w:spacing w:line="400" w:lineRule="exact"/>
              <w:jc w:val="left"/>
            </w:pPr>
            <w:r>
              <w:rPr>
                <w:rFonts w:hint="eastAsia" w:ascii="宋体" w:hAnsi="宋体" w:cs="宋体"/>
                <w:kern w:val="0"/>
                <w:sz w:val="24"/>
                <w:szCs w:val="24"/>
              </w:rPr>
              <w:t xml:space="preserve">② 信用记录查询及使用：A.信用记录查询渠道及截止时点：磋商小组将在响应文件递交截止时间当日，通过“信用中国”网站(www.creditchina.gov.cn)、中国政府采购网(www.ccgp.gov.cn)查询供应商的信用记录；B.信用信息查询记录和证据留存的具体方式：磋商小组将记录、打印各供应商的信用信息查询结果，与其他竞争性磋商文件一并保存；C.信用信息的使用规则：依据《财政部关于在政府采购活动中查询及使用信用记录有关问题的通知》财库〔2016〕125 号规定，对被列入失信被执行人、重大税收违法案件当事人名单、政府采购严重违法失信行为记录名单的供应商，其资格性审查不合格。 </w:t>
            </w:r>
          </w:p>
          <w:p w14:paraId="4355AFD6">
            <w:pPr>
              <w:widowControl/>
              <w:spacing w:line="400" w:lineRule="exact"/>
              <w:jc w:val="left"/>
            </w:pPr>
            <w:r>
              <w:rPr>
                <w:rFonts w:hint="eastAsia" w:ascii="宋体" w:hAnsi="宋体" w:cs="宋体"/>
                <w:kern w:val="0"/>
                <w:sz w:val="24"/>
                <w:szCs w:val="24"/>
              </w:rPr>
              <w:t>③质疑受理的其它要求：A.供应商在法定质疑期内须一次性提出针对同一采购程序环节的质疑；B.接收质疑函原件的方式：现场书面方式；C.接收质疑函的联系部门</w:t>
            </w:r>
            <w:r>
              <w:rPr>
                <w:rFonts w:hint="eastAsia" w:ascii="宋体" w:hAnsi="宋体" w:cs="宋体"/>
                <w:b/>
                <w:bCs/>
                <w:kern w:val="0"/>
                <w:sz w:val="24"/>
                <w:szCs w:val="24"/>
              </w:rPr>
              <w:t>：</w:t>
            </w:r>
            <w:r>
              <w:rPr>
                <w:rFonts w:hint="eastAsia" w:ascii="宋体" w:hAnsi="宋体" w:cs="宋体"/>
                <w:kern w:val="0"/>
                <w:sz w:val="24"/>
                <w:szCs w:val="24"/>
              </w:rPr>
              <w:t>办公室；D.接收质疑函的联系电话：</w:t>
            </w:r>
            <w:r>
              <w:rPr>
                <w:rFonts w:hint="eastAsia" w:ascii="宋体" w:hAnsi="宋体" w:cs="宋体"/>
                <w:sz w:val="24"/>
                <w:szCs w:val="24"/>
              </w:rPr>
              <w:t>0591-87679372、87679352</w:t>
            </w:r>
            <w:r>
              <w:rPr>
                <w:rFonts w:hint="eastAsia" w:ascii="宋体" w:hAnsi="宋体" w:cs="宋体"/>
                <w:kern w:val="0"/>
                <w:sz w:val="24"/>
                <w:szCs w:val="24"/>
              </w:rPr>
              <w:t>；E.接收质疑函的通讯地址：</w:t>
            </w:r>
            <w:r>
              <w:rPr>
                <w:rFonts w:hint="eastAsia" w:ascii="宋体" w:hAnsi="宋体" w:cs="宋体"/>
                <w:sz w:val="24"/>
                <w:szCs w:val="24"/>
              </w:rPr>
              <w:t>福州市鼓楼区华润万象城一期S2号四层</w:t>
            </w:r>
            <w:r>
              <w:rPr>
                <w:rFonts w:hint="eastAsia" w:ascii="宋体" w:hAnsi="宋体" w:cs="宋体"/>
                <w:kern w:val="0"/>
                <w:sz w:val="24"/>
                <w:szCs w:val="24"/>
              </w:rPr>
              <w:t xml:space="preserve">。 </w:t>
            </w:r>
          </w:p>
          <w:p w14:paraId="5F47052F">
            <w:pPr>
              <w:widowControl/>
              <w:spacing w:line="400" w:lineRule="exact"/>
              <w:jc w:val="left"/>
            </w:pPr>
            <w:r>
              <w:rPr>
                <w:rFonts w:hint="eastAsia" w:ascii="宋体" w:hAnsi="宋体" w:cs="宋体"/>
                <w:kern w:val="0"/>
                <w:sz w:val="24"/>
                <w:szCs w:val="24"/>
              </w:rPr>
              <w:t xml:space="preserve">④响应无效条款：A.响应文件有效期不符合供应商须知前附表中表第3项号规定的；B.出现第二章竞争性磋商须知中响应无效规定的；C.出现第三章采购内容及要求中响应无效规定；D.出现第五章响应文件格式中响应无效规定的。 </w:t>
            </w:r>
          </w:p>
          <w:p w14:paraId="5532DA1E">
            <w:pPr>
              <w:widowControl/>
              <w:spacing w:line="400" w:lineRule="exact"/>
              <w:jc w:val="left"/>
            </w:pPr>
            <w:r>
              <w:rPr>
                <w:rFonts w:hint="eastAsia" w:ascii="宋体" w:hAnsi="宋体" w:cs="宋体"/>
                <w:kern w:val="0"/>
                <w:sz w:val="24"/>
                <w:szCs w:val="24"/>
              </w:rPr>
              <w:t xml:space="preserve">⑤关于最后报价计算错误修正的原则：A.报价一览表内容与分项报价表内容不一致的，以报价一览表为准；B.大写金额和小写金额不一致的，以大写金额为准；C.单价金额小数点或百分比有明显错位的，以报价一览表的总价为准，并修改单价；D.总价金额与按单价汇总金额不一致的，以单价金额计算结果为准； ※同时出现两种以上不一致的，按照前款规定的顺序修正。若磋商小组按照上述规定修正，则相应供应商应予接受且修正后的报价对其起约束作用。若供应商不接受修正或未按照磋商小组的要求提交修正后的报价确认意见，则视为该供应商未实质性响应竞争性磋商文件要求，其符合性检查不合格。 </w:t>
            </w:r>
          </w:p>
          <w:p w14:paraId="637EA31F">
            <w:pPr>
              <w:widowControl/>
              <w:spacing w:line="400" w:lineRule="exact"/>
              <w:jc w:val="left"/>
            </w:pPr>
            <w:r>
              <w:rPr>
                <w:rFonts w:hint="eastAsia" w:ascii="宋体" w:hAnsi="宋体" w:cs="宋体"/>
                <w:kern w:val="0"/>
                <w:sz w:val="24"/>
                <w:szCs w:val="24"/>
              </w:rPr>
              <w:t xml:space="preserve">⑥因政策享受缓缴或免缴社保、税款的企业，无法提供竞争性磋商文件要求的相关社保、税收缴纳证明材料的，须提供有关情况说明视同社保、税收缴纳证明材料提交完整。 </w:t>
            </w:r>
          </w:p>
          <w:p w14:paraId="0748CE80">
            <w:pPr>
              <w:widowControl/>
              <w:spacing w:line="400" w:lineRule="exact"/>
              <w:jc w:val="left"/>
            </w:pPr>
            <w:r>
              <w:rPr>
                <w:rFonts w:hint="eastAsia" w:ascii="宋体" w:hAnsi="宋体" w:cs="宋体"/>
                <w:kern w:val="0"/>
                <w:sz w:val="24"/>
                <w:szCs w:val="24"/>
              </w:rPr>
              <w:t xml:space="preserve">⑦经磋商小组评审，在提交的响应文件全部满足竞争性磋商文件实质性要求的供应商不少于三家的前提下，按各合格供应商的评审总得分由高到低顺序推荐三名成交候选供应商。 </w:t>
            </w:r>
          </w:p>
          <w:p w14:paraId="29847799">
            <w:pPr>
              <w:widowControl/>
              <w:spacing w:line="400" w:lineRule="exact"/>
              <w:jc w:val="left"/>
              <w:rPr>
                <w:rFonts w:ascii="宋体" w:hAnsi="宋体" w:cs="宋体"/>
                <w:b/>
                <w:bCs/>
              </w:rPr>
            </w:pPr>
            <w:r>
              <w:rPr>
                <w:rFonts w:hint="eastAsia" w:ascii="宋体" w:hAnsi="宋体" w:cs="宋体"/>
                <w:kern w:val="0"/>
                <w:sz w:val="24"/>
                <w:szCs w:val="24"/>
              </w:rPr>
              <w:t>⑧参加磋商活动的供应商代表应当在规定的磋商地点等待，并根据磋商小组的要求和安排配合相应磋商工作直至结束。提交最后报价程序结束前，如果在场的合格供应商委派的“供应商代表”不是其响应文件中约定的供应商（为法人或其他组织的）的单位负责人或由其授权的委托代理人或者供应商代表无故中途退场或者自身通讯中断无法联系或者其他原因离场等造成不能按照磋商小组要求参加磋商的，均视同为该供应商自动放弃相应权利并完全认可磋商小组在磋商活动中公布的各项数据、意见和结论，且该供应商将被退出本项目磋商，其提交的响应文件和报价将被否决。供应商的上述行为后果由供应商自行承担且不影响磋商小组依法开展后续相应竞争性磋商活动。</w:t>
            </w:r>
          </w:p>
        </w:tc>
      </w:tr>
    </w:tbl>
    <w:p w14:paraId="7E2EE4E3">
      <w:pPr>
        <w:spacing w:line="380" w:lineRule="exact"/>
        <w:rPr>
          <w:rFonts w:ascii="宋体" w:hAnsi="宋体" w:cs="宋体"/>
          <w:b/>
          <w:sz w:val="28"/>
        </w:rPr>
      </w:pPr>
      <w:r>
        <w:rPr>
          <w:rFonts w:hint="eastAsia" w:ascii="宋体" w:hAnsi="宋体" w:cs="宋体"/>
          <w:b/>
          <w:sz w:val="28"/>
        </w:rPr>
        <w:t xml:space="preserve">附件A </w:t>
      </w:r>
    </w:p>
    <w:p w14:paraId="29B914CB">
      <w:pPr>
        <w:spacing w:line="380" w:lineRule="exact"/>
        <w:rPr>
          <w:rFonts w:ascii="宋体" w:hAnsi="宋体" w:cs="宋体"/>
          <w:kern w:val="0"/>
          <w:sz w:val="24"/>
          <w:lang w:val="zh-CN"/>
        </w:rPr>
      </w:pPr>
      <w:bookmarkStart w:id="25" w:name="_Toc15605_WPSOffice_Level2"/>
      <w:bookmarkStart w:id="26" w:name="_Toc20991_WPSOffice_Level2"/>
      <w:r>
        <w:rPr>
          <w:rFonts w:hint="eastAsia" w:ascii="宋体" w:hAnsi="宋体" w:cs="宋体"/>
          <w:b/>
          <w:sz w:val="28"/>
        </w:rPr>
        <w:t>评审标准与方法</w:t>
      </w:r>
      <w:bookmarkEnd w:id="25"/>
      <w:bookmarkEnd w:id="26"/>
    </w:p>
    <w:p w14:paraId="0CCAD78F">
      <w:pPr>
        <w:spacing w:line="430" w:lineRule="exact"/>
        <w:ind w:firstLine="480" w:firstLineChars="200"/>
        <w:rPr>
          <w:rFonts w:ascii="宋体" w:hAnsi="宋体" w:cs="宋体"/>
          <w:spacing w:val="-2"/>
          <w:sz w:val="24"/>
        </w:rPr>
      </w:pPr>
      <w:bookmarkStart w:id="27" w:name="_Toc19576_WPSOffice_Level2"/>
      <w:bookmarkStart w:id="28" w:name="_Toc7011_WPSOffice_Level2"/>
      <w:r>
        <w:rPr>
          <w:rFonts w:hint="eastAsia" w:ascii="宋体" w:hAnsi="宋体" w:cs="宋体"/>
          <w:sz w:val="24"/>
        </w:rPr>
        <w:t>（1）</w:t>
      </w:r>
      <w:r>
        <w:rPr>
          <w:rFonts w:hint="eastAsia" w:ascii="宋体" w:hAnsi="宋体" w:cs="宋体"/>
          <w:spacing w:val="-2"/>
          <w:sz w:val="24"/>
        </w:rPr>
        <w:t>评审采用综合评分法，实行两轮报价。</w:t>
      </w:r>
      <w:bookmarkEnd w:id="27"/>
      <w:bookmarkEnd w:id="28"/>
    </w:p>
    <w:p w14:paraId="242E6398">
      <w:pPr>
        <w:spacing w:line="400" w:lineRule="exact"/>
        <w:ind w:firstLine="472" w:firstLineChars="200"/>
        <w:rPr>
          <w:rFonts w:ascii="宋体" w:hAnsi="宋体" w:cs="宋体"/>
          <w:spacing w:val="-2"/>
          <w:sz w:val="24"/>
        </w:rPr>
      </w:pPr>
      <w:r>
        <w:rPr>
          <w:rFonts w:hint="eastAsia" w:ascii="宋体" w:hAnsi="宋体" w:cs="宋体"/>
          <w:spacing w:val="-2"/>
          <w:sz w:val="24"/>
        </w:rPr>
        <w:t>磋商小组对各供应商的资格及响应文件的符合性进行评审，资格及符合性检查不合格的供应商不进入下一步详细评审及评分。磋商小组对通过资格及符合性检查的供应商的响应文件进行详细评审。并与单一供应商分别进行磋商。</w:t>
      </w:r>
    </w:p>
    <w:p w14:paraId="58B120D3">
      <w:pPr>
        <w:spacing w:line="400" w:lineRule="exact"/>
        <w:ind w:firstLine="472" w:firstLineChars="200"/>
        <w:rPr>
          <w:rFonts w:ascii="宋体" w:hAnsi="宋体" w:cs="宋体"/>
          <w:spacing w:val="-2"/>
          <w:sz w:val="24"/>
        </w:rPr>
      </w:pPr>
      <w:r>
        <w:rPr>
          <w:rFonts w:hint="eastAsia" w:ascii="宋体" w:hAnsi="宋体" w:cs="宋体"/>
          <w:spacing w:val="-2"/>
          <w:sz w:val="24"/>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磋商小组要求供应商澄清、说明或者更正响应文件应当以书面形式作出。供应商的澄清、说明或者更正应当由法定代表人或其授权代表签字或者加盖公章。</w:t>
      </w:r>
    </w:p>
    <w:p w14:paraId="78E2DC5F">
      <w:pPr>
        <w:spacing w:line="400" w:lineRule="exact"/>
        <w:ind w:firstLine="472" w:firstLineChars="200"/>
        <w:rPr>
          <w:rFonts w:ascii="宋体" w:hAnsi="宋体" w:cs="宋体"/>
          <w:spacing w:val="-2"/>
          <w:sz w:val="24"/>
        </w:rPr>
      </w:pPr>
      <w:r>
        <w:rPr>
          <w:rFonts w:hint="eastAsia" w:ascii="宋体" w:hAnsi="宋体" w:cs="宋体"/>
          <w:spacing w:val="-2"/>
          <w:sz w:val="24"/>
        </w:rPr>
        <w:t>磋商小组可以根据磋商文件和磋商情况实质性变动采购需求中的技术、服务要求以及合同草案条款，但不变动磋商文件中的其他内容。实质性变动的内容，须经采购人代表确认。对磋商文件作出的实质性变动是磋商文件的有效组成部分，磋商小组应当及时以书面形式同时通知所有参加磋商的供应商。供应商应当按照磋商文件的变动情况和磋商小组的要求重新提交响应文件，并由其法定代表人签章或授权代表签字或者加盖公章。</w:t>
      </w:r>
    </w:p>
    <w:p w14:paraId="4F8AD110">
      <w:pPr>
        <w:spacing w:line="400" w:lineRule="exact"/>
        <w:ind w:firstLine="472" w:firstLineChars="200"/>
        <w:rPr>
          <w:rFonts w:ascii="宋体" w:hAnsi="宋体" w:cs="宋体"/>
          <w:spacing w:val="-2"/>
          <w:sz w:val="24"/>
        </w:rPr>
      </w:pPr>
      <w:r>
        <w:rPr>
          <w:rFonts w:hint="eastAsia" w:ascii="宋体" w:hAnsi="宋体" w:cs="宋体"/>
          <w:spacing w:val="-2"/>
          <w:sz w:val="24"/>
        </w:rPr>
        <w:t>磋商结束后，磋商小组应当要求所有实质性响应的供应商在规定时间内提交最后报价。</w:t>
      </w:r>
    </w:p>
    <w:p w14:paraId="418148C8">
      <w:pPr>
        <w:pStyle w:val="30"/>
        <w:spacing w:line="400" w:lineRule="exact"/>
        <w:ind w:left="0" w:leftChars="0" w:firstLine="472" w:firstLineChars="200"/>
        <w:rPr>
          <w:rFonts w:ascii="宋体" w:hAnsi="宋体" w:cs="宋体"/>
          <w:spacing w:val="-2"/>
          <w:sz w:val="24"/>
          <w:szCs w:val="24"/>
        </w:rPr>
      </w:pPr>
      <w:r>
        <w:rPr>
          <w:rFonts w:hint="eastAsia" w:ascii="宋体" w:hAnsi="宋体" w:cs="宋体"/>
          <w:spacing w:val="-2"/>
          <w:sz w:val="24"/>
          <w:szCs w:val="24"/>
        </w:rPr>
        <w:t>磋商小组按磋商文件规定的评分标准，将对相应合同包提交最后报价的合格供应商从技术、商务及报价部分分别进行评议并评分，并汇总出技术、商务及报价部分的综合得分。各合同包综合得分最高的供应商将被推荐为第一成交候选供应商，综合得分排序第二的供应商将被推荐为第二成交候选供应商，综合得分排序第三的供应商将被推荐为第三成交候选供应商。如果出现相同的综合得分，则最后报价低的供应商排序在前优先推荐；如果最后报价仍相同，则技术部分得分高的供应商优先排序在前推荐；如果最后报价及技术均相同，则随机抽取。</w:t>
      </w:r>
    </w:p>
    <w:p w14:paraId="306D4E8E">
      <w:pPr>
        <w:tabs>
          <w:tab w:val="left" w:pos="-1080"/>
          <w:tab w:val="left" w:pos="180"/>
          <w:tab w:val="left" w:pos="1080"/>
        </w:tabs>
        <w:snapToGrid w:val="0"/>
        <w:spacing w:line="380" w:lineRule="exact"/>
        <w:jc w:val="left"/>
        <w:outlineLvl w:val="1"/>
        <w:rPr>
          <w:rFonts w:ascii="宋体" w:hAnsi="宋体" w:cs="宋体"/>
          <w:sz w:val="24"/>
          <w:szCs w:val="24"/>
        </w:rPr>
      </w:pPr>
      <w:r>
        <w:rPr>
          <w:rFonts w:hint="eastAsia" w:ascii="宋体" w:hAnsi="宋体" w:cs="宋体"/>
          <w:sz w:val="24"/>
          <w:szCs w:val="24"/>
        </w:rPr>
        <w:t>各部分评分分值分布如下：</w:t>
      </w:r>
    </w:p>
    <w:p w14:paraId="1B9BF179">
      <w:pPr>
        <w:tabs>
          <w:tab w:val="left" w:pos="-1080"/>
          <w:tab w:val="left" w:pos="180"/>
          <w:tab w:val="left" w:pos="1080"/>
        </w:tabs>
        <w:snapToGrid w:val="0"/>
        <w:spacing w:line="380" w:lineRule="exact"/>
        <w:ind w:firstLine="360" w:firstLineChars="150"/>
        <w:jc w:val="left"/>
        <w:rPr>
          <w:rFonts w:ascii="宋体" w:hAnsi="宋体" w:cs="宋体"/>
          <w:sz w:val="24"/>
          <w:szCs w:val="24"/>
        </w:rPr>
      </w:pPr>
      <w:bookmarkStart w:id="29" w:name="_Toc266745669"/>
      <w:bookmarkStart w:id="30" w:name="_Toc266745667"/>
      <w:r>
        <w:rPr>
          <w:rFonts w:hint="eastAsia" w:ascii="宋体" w:hAnsi="宋体" w:cs="宋体"/>
          <w:sz w:val="24"/>
          <w:szCs w:val="24"/>
        </w:rPr>
        <w:t>PF ：报价部分评分           满分10分</w:t>
      </w:r>
      <w:bookmarkEnd w:id="29"/>
    </w:p>
    <w:p w14:paraId="713253B1">
      <w:pPr>
        <w:tabs>
          <w:tab w:val="left" w:pos="-1080"/>
          <w:tab w:val="left" w:pos="180"/>
          <w:tab w:val="left" w:pos="1080"/>
        </w:tabs>
        <w:snapToGrid w:val="0"/>
        <w:spacing w:line="380" w:lineRule="exact"/>
        <w:ind w:firstLine="360" w:firstLineChars="150"/>
        <w:jc w:val="left"/>
        <w:rPr>
          <w:rFonts w:ascii="宋体" w:hAnsi="宋体" w:cs="宋体"/>
          <w:sz w:val="24"/>
          <w:szCs w:val="24"/>
        </w:rPr>
      </w:pPr>
      <w:r>
        <w:rPr>
          <w:rFonts w:hint="eastAsia" w:ascii="宋体" w:hAnsi="宋体" w:cs="宋体"/>
          <w:sz w:val="24"/>
          <w:szCs w:val="24"/>
        </w:rPr>
        <w:t>PT ：技术部分评分           满分75分</w:t>
      </w:r>
      <w:bookmarkEnd w:id="30"/>
    </w:p>
    <w:p w14:paraId="6BDADB1E">
      <w:pPr>
        <w:tabs>
          <w:tab w:val="left" w:pos="-1080"/>
          <w:tab w:val="left" w:pos="180"/>
          <w:tab w:val="left" w:pos="1080"/>
        </w:tabs>
        <w:snapToGrid w:val="0"/>
        <w:spacing w:line="380" w:lineRule="exact"/>
        <w:ind w:firstLine="360" w:firstLineChars="150"/>
        <w:jc w:val="left"/>
        <w:rPr>
          <w:rFonts w:ascii="宋体" w:hAnsi="宋体" w:cs="宋体"/>
          <w:sz w:val="24"/>
          <w:szCs w:val="24"/>
        </w:rPr>
      </w:pPr>
      <w:bookmarkStart w:id="31" w:name="_Toc266745668"/>
      <w:r>
        <w:rPr>
          <w:rFonts w:hint="eastAsia" w:ascii="宋体" w:hAnsi="宋体" w:cs="宋体"/>
          <w:sz w:val="24"/>
          <w:szCs w:val="24"/>
        </w:rPr>
        <w:t>PB ：商务部分评分           满分15分</w:t>
      </w:r>
      <w:bookmarkEnd w:id="31"/>
    </w:p>
    <w:tbl>
      <w:tblPr>
        <w:tblStyle w:val="49"/>
        <w:tblW w:w="99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4"/>
        <w:gridCol w:w="1371"/>
        <w:gridCol w:w="6765"/>
        <w:gridCol w:w="977"/>
      </w:tblGrid>
      <w:tr w14:paraId="09E97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4" w:type="dxa"/>
            <w:tcBorders>
              <w:top w:val="single" w:color="auto" w:sz="4" w:space="0"/>
              <w:left w:val="single" w:color="auto" w:sz="4" w:space="0"/>
              <w:bottom w:val="single" w:color="auto" w:sz="4" w:space="0"/>
              <w:right w:val="single" w:color="auto" w:sz="4" w:space="0"/>
            </w:tcBorders>
            <w:vAlign w:val="center"/>
          </w:tcPr>
          <w:p w14:paraId="100B7970">
            <w:pPr>
              <w:widowControl/>
              <w:spacing w:line="400" w:lineRule="exact"/>
              <w:jc w:val="center"/>
              <w:rPr>
                <w:rFonts w:ascii="宋体" w:hAnsi="宋体" w:cs="宋体"/>
                <w:sz w:val="24"/>
                <w:szCs w:val="24"/>
              </w:rPr>
            </w:pPr>
          </w:p>
        </w:tc>
        <w:tc>
          <w:tcPr>
            <w:tcW w:w="1371" w:type="dxa"/>
            <w:tcBorders>
              <w:top w:val="single" w:color="auto" w:sz="4" w:space="0"/>
              <w:left w:val="single" w:color="auto" w:sz="4" w:space="0"/>
              <w:bottom w:val="single" w:color="auto" w:sz="4" w:space="0"/>
              <w:right w:val="single" w:color="auto" w:sz="4" w:space="0"/>
            </w:tcBorders>
            <w:vAlign w:val="center"/>
          </w:tcPr>
          <w:p w14:paraId="2095521F">
            <w:pPr>
              <w:widowControl/>
              <w:spacing w:line="400" w:lineRule="exact"/>
              <w:jc w:val="center"/>
              <w:rPr>
                <w:rFonts w:ascii="宋体" w:hAnsi="宋体" w:cs="宋体"/>
                <w:sz w:val="24"/>
                <w:szCs w:val="24"/>
              </w:rPr>
            </w:pPr>
            <w:r>
              <w:rPr>
                <w:rFonts w:hint="eastAsia" w:ascii="宋体" w:hAnsi="宋体" w:cs="宋体"/>
                <w:kern w:val="0"/>
                <w:sz w:val="24"/>
                <w:szCs w:val="24"/>
              </w:rPr>
              <w:t>评审项目</w:t>
            </w:r>
          </w:p>
        </w:tc>
        <w:tc>
          <w:tcPr>
            <w:tcW w:w="6765" w:type="dxa"/>
            <w:tcBorders>
              <w:top w:val="single" w:color="auto" w:sz="4" w:space="0"/>
              <w:left w:val="single" w:color="auto" w:sz="4" w:space="0"/>
              <w:bottom w:val="single" w:color="auto" w:sz="4" w:space="0"/>
              <w:right w:val="single" w:color="auto" w:sz="4" w:space="0"/>
            </w:tcBorders>
            <w:vAlign w:val="center"/>
          </w:tcPr>
          <w:p w14:paraId="081B96D5">
            <w:pPr>
              <w:widowControl/>
              <w:spacing w:line="400" w:lineRule="exact"/>
              <w:jc w:val="center"/>
              <w:rPr>
                <w:rFonts w:ascii="宋体" w:hAnsi="宋体" w:cs="宋体"/>
                <w:kern w:val="0"/>
                <w:sz w:val="24"/>
                <w:szCs w:val="24"/>
              </w:rPr>
            </w:pPr>
            <w:r>
              <w:rPr>
                <w:rFonts w:hint="eastAsia" w:ascii="宋体" w:hAnsi="宋体" w:cs="宋体"/>
                <w:kern w:val="0"/>
                <w:sz w:val="24"/>
                <w:szCs w:val="24"/>
              </w:rPr>
              <w:t>评审方法</w:t>
            </w:r>
          </w:p>
        </w:tc>
        <w:tc>
          <w:tcPr>
            <w:tcW w:w="977" w:type="dxa"/>
            <w:tcBorders>
              <w:top w:val="single" w:color="auto" w:sz="4" w:space="0"/>
              <w:left w:val="single" w:color="auto" w:sz="4" w:space="0"/>
              <w:bottom w:val="single" w:color="auto" w:sz="4" w:space="0"/>
              <w:right w:val="single" w:color="auto" w:sz="4" w:space="0"/>
            </w:tcBorders>
            <w:vAlign w:val="center"/>
          </w:tcPr>
          <w:p w14:paraId="7718EBF0">
            <w:pPr>
              <w:widowControl/>
              <w:spacing w:line="400" w:lineRule="exact"/>
              <w:jc w:val="center"/>
              <w:rPr>
                <w:rFonts w:ascii="宋体" w:hAnsi="宋体" w:cs="宋体"/>
                <w:sz w:val="24"/>
                <w:szCs w:val="24"/>
              </w:rPr>
            </w:pPr>
            <w:r>
              <w:rPr>
                <w:rFonts w:hint="eastAsia" w:ascii="宋体" w:hAnsi="宋体" w:cs="宋体"/>
                <w:kern w:val="0"/>
                <w:sz w:val="24"/>
                <w:szCs w:val="24"/>
              </w:rPr>
              <w:t>分值</w:t>
            </w:r>
          </w:p>
        </w:tc>
      </w:tr>
      <w:tr w14:paraId="13C70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34" w:type="dxa"/>
            <w:vMerge w:val="restart"/>
            <w:tcBorders>
              <w:top w:val="single" w:color="auto" w:sz="4" w:space="0"/>
              <w:left w:val="single" w:color="auto" w:sz="4" w:space="0"/>
              <w:right w:val="single" w:color="auto" w:sz="4" w:space="0"/>
            </w:tcBorders>
            <w:vAlign w:val="center"/>
          </w:tcPr>
          <w:p w14:paraId="1E92E3EC">
            <w:pPr>
              <w:spacing w:line="400" w:lineRule="exact"/>
              <w:jc w:val="center"/>
              <w:rPr>
                <w:rFonts w:ascii="宋体" w:hAnsi="宋体" w:cs="宋体"/>
                <w:sz w:val="24"/>
                <w:szCs w:val="24"/>
              </w:rPr>
            </w:pPr>
            <w:r>
              <w:rPr>
                <w:rFonts w:hint="eastAsia" w:ascii="宋体" w:hAnsi="宋体" w:cs="宋体"/>
                <w:sz w:val="24"/>
                <w:szCs w:val="24"/>
              </w:rPr>
              <w:t>1、T技术</w:t>
            </w:r>
          </w:p>
          <w:p w14:paraId="05DC50DC">
            <w:pPr>
              <w:spacing w:line="400" w:lineRule="exact"/>
              <w:jc w:val="center"/>
              <w:rPr>
                <w:rFonts w:ascii="宋体" w:hAnsi="宋体" w:cs="宋体"/>
                <w:sz w:val="24"/>
                <w:szCs w:val="24"/>
              </w:rPr>
            </w:pPr>
            <w:r>
              <w:rPr>
                <w:rFonts w:hint="eastAsia" w:ascii="宋体" w:hAnsi="宋体" w:cs="宋体"/>
                <w:sz w:val="24"/>
                <w:szCs w:val="24"/>
              </w:rPr>
              <w:t>部分评分 （满75分）</w:t>
            </w:r>
          </w:p>
          <w:p w14:paraId="01357C5F">
            <w:pPr>
              <w:snapToGrid w:val="0"/>
              <w:spacing w:line="400" w:lineRule="exact"/>
              <w:jc w:val="center"/>
              <w:rPr>
                <w:rFonts w:ascii="宋体" w:hAnsi="宋体" w:cs="宋体"/>
                <w:sz w:val="24"/>
                <w:szCs w:val="24"/>
              </w:rPr>
            </w:pPr>
          </w:p>
        </w:tc>
        <w:tc>
          <w:tcPr>
            <w:tcW w:w="1371" w:type="dxa"/>
            <w:tcBorders>
              <w:top w:val="single" w:color="auto" w:sz="4" w:space="0"/>
              <w:left w:val="single" w:color="auto" w:sz="4" w:space="0"/>
              <w:right w:val="single" w:color="auto" w:sz="4" w:space="0"/>
            </w:tcBorders>
          </w:tcPr>
          <w:p w14:paraId="67B8493B">
            <w:pPr>
              <w:pStyle w:val="301"/>
              <w:spacing w:line="400" w:lineRule="exact"/>
              <w:rPr>
                <w:rFonts w:hint="default" w:ascii="宋体" w:hAnsi="宋体" w:cs="宋体"/>
                <w:sz w:val="24"/>
                <w:szCs w:val="24"/>
              </w:rPr>
            </w:pPr>
            <w:r>
              <w:rPr>
                <w:rFonts w:ascii="宋体" w:hAnsi="宋体" w:cs="宋体"/>
                <w:sz w:val="24"/>
                <w:szCs w:val="24"/>
              </w:rPr>
              <w:t>A1、技术服务响应</w:t>
            </w:r>
          </w:p>
        </w:tc>
        <w:tc>
          <w:tcPr>
            <w:tcW w:w="6765" w:type="dxa"/>
            <w:tcBorders>
              <w:top w:val="single" w:color="auto" w:sz="4" w:space="0"/>
              <w:left w:val="single" w:color="auto" w:sz="4" w:space="0"/>
              <w:bottom w:val="single" w:color="auto" w:sz="4" w:space="0"/>
              <w:right w:val="single" w:color="auto" w:sz="4" w:space="0"/>
            </w:tcBorders>
          </w:tcPr>
          <w:p w14:paraId="24058ED0">
            <w:pPr>
              <w:pStyle w:val="301"/>
              <w:spacing w:line="400" w:lineRule="exact"/>
              <w:rPr>
                <w:rFonts w:hint="default" w:ascii="宋体" w:hAnsi="宋体" w:cs="宋体"/>
                <w:sz w:val="24"/>
                <w:szCs w:val="24"/>
              </w:rPr>
            </w:pPr>
            <w:r>
              <w:rPr>
                <w:rFonts w:ascii="宋体" w:hAnsi="宋体" w:cs="宋体"/>
                <w:sz w:val="24"/>
                <w:szCs w:val="24"/>
              </w:rPr>
              <w:t>根据供应商按照第三章“技术和服务要求”的响应情况，由磋商小组进行评审，带“★”的技术要求为不可偏离项，若负偏离按无效响应处理；未带“★”的技术要求完全满足磋商文件技术和服务要求，技术参数（共计18项）每负偏离一项扣3分，（满分54分）。注：每个评审项下任意一点参数负偏离，视为本项负偏离，磋商文件中技术和服务要求中若有要求供应商提供相应佐证材料的，供应商未提供相应佐证材料或者供应商的响应承诺与其佐证材料不一致的，磋商小组将以不利于供应商的内容为准进行评审（负偏离）。</w:t>
            </w:r>
          </w:p>
        </w:tc>
        <w:tc>
          <w:tcPr>
            <w:tcW w:w="977" w:type="dxa"/>
            <w:tcBorders>
              <w:top w:val="single" w:color="auto" w:sz="4" w:space="0"/>
              <w:left w:val="single" w:color="auto" w:sz="4" w:space="0"/>
              <w:bottom w:val="single" w:color="auto" w:sz="4" w:space="0"/>
              <w:right w:val="single" w:color="auto" w:sz="4" w:space="0"/>
            </w:tcBorders>
          </w:tcPr>
          <w:p w14:paraId="788A3BCA">
            <w:pPr>
              <w:pStyle w:val="301"/>
              <w:spacing w:line="400" w:lineRule="exact"/>
              <w:jc w:val="right"/>
              <w:rPr>
                <w:rFonts w:hint="default" w:ascii="宋体" w:hAnsi="宋体" w:cs="宋体"/>
                <w:sz w:val="24"/>
                <w:szCs w:val="24"/>
              </w:rPr>
            </w:pPr>
            <w:r>
              <w:rPr>
                <w:rFonts w:ascii="宋体" w:hAnsi="宋体" w:cs="宋体"/>
                <w:sz w:val="24"/>
                <w:szCs w:val="24"/>
              </w:rPr>
              <w:t>54.00</w:t>
            </w:r>
          </w:p>
        </w:tc>
      </w:tr>
      <w:tr w14:paraId="17A1B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4" w:type="dxa"/>
            <w:vMerge w:val="continue"/>
            <w:tcBorders>
              <w:left w:val="single" w:color="auto" w:sz="4" w:space="0"/>
              <w:right w:val="single" w:color="auto" w:sz="4" w:space="0"/>
            </w:tcBorders>
            <w:vAlign w:val="center"/>
          </w:tcPr>
          <w:p w14:paraId="165C611B">
            <w:pPr>
              <w:snapToGrid w:val="0"/>
              <w:spacing w:line="400" w:lineRule="exact"/>
              <w:jc w:val="center"/>
              <w:rPr>
                <w:rFonts w:ascii="宋体" w:hAnsi="宋体" w:cs="宋体"/>
                <w:sz w:val="24"/>
                <w:szCs w:val="24"/>
              </w:rPr>
            </w:pPr>
          </w:p>
        </w:tc>
        <w:tc>
          <w:tcPr>
            <w:tcW w:w="1371" w:type="dxa"/>
            <w:tcBorders>
              <w:top w:val="single" w:color="auto" w:sz="4" w:space="0"/>
              <w:left w:val="single" w:color="auto" w:sz="4" w:space="0"/>
              <w:right w:val="single" w:color="auto" w:sz="4" w:space="0"/>
            </w:tcBorders>
          </w:tcPr>
          <w:p w14:paraId="171A804F">
            <w:pPr>
              <w:pStyle w:val="301"/>
              <w:spacing w:line="400" w:lineRule="exact"/>
              <w:rPr>
                <w:rFonts w:hint="default" w:ascii="宋体" w:hAnsi="宋体" w:cs="宋体"/>
                <w:sz w:val="24"/>
                <w:szCs w:val="24"/>
              </w:rPr>
            </w:pPr>
            <w:r>
              <w:rPr>
                <w:rFonts w:ascii="宋体" w:hAnsi="宋体" w:cs="宋体"/>
                <w:sz w:val="24"/>
                <w:szCs w:val="24"/>
              </w:rPr>
              <w:t>A2、施工组织</w:t>
            </w:r>
          </w:p>
        </w:tc>
        <w:tc>
          <w:tcPr>
            <w:tcW w:w="6765" w:type="dxa"/>
            <w:tcBorders>
              <w:top w:val="single" w:color="auto" w:sz="4" w:space="0"/>
              <w:left w:val="single" w:color="auto" w:sz="4" w:space="0"/>
              <w:bottom w:val="single" w:color="auto" w:sz="4" w:space="0"/>
              <w:right w:val="single" w:color="auto" w:sz="4" w:space="0"/>
            </w:tcBorders>
          </w:tcPr>
          <w:p w14:paraId="0D5E4448">
            <w:pPr>
              <w:pStyle w:val="301"/>
              <w:spacing w:line="400" w:lineRule="exact"/>
              <w:rPr>
                <w:rFonts w:hint="default" w:ascii="宋体" w:hAnsi="宋体" w:cs="宋体"/>
                <w:sz w:val="24"/>
                <w:szCs w:val="24"/>
              </w:rPr>
            </w:pPr>
            <w:r>
              <w:rPr>
                <w:rFonts w:ascii="宋体" w:hAnsi="宋体" w:cs="宋体"/>
                <w:sz w:val="24"/>
                <w:szCs w:val="24"/>
              </w:rPr>
              <w:t>根据供应商针对本项目提供的施工组织方案，（包括但不限于：①项目管理的总体安排；②岗位设置及相应的规章制度；③工程施工管理）由磋商小组进行评分：方案包含的要点齐全无缺漏项、内容与要点相符、内容完善且能够适用于本项目的得3分；方案所包含的要点齐全、内容与要点相符，但仅有纲要内容简略，未展开阐述的得2.8分；方案所包含的要点有缺漏或内容存在错误的得2.6分；未提供或提供的内容存在明显不足或与本项目情况不符的对应要点方案不得分。</w:t>
            </w:r>
          </w:p>
        </w:tc>
        <w:tc>
          <w:tcPr>
            <w:tcW w:w="977" w:type="dxa"/>
            <w:tcBorders>
              <w:top w:val="single" w:color="auto" w:sz="4" w:space="0"/>
              <w:left w:val="single" w:color="auto" w:sz="4" w:space="0"/>
              <w:bottom w:val="single" w:color="auto" w:sz="4" w:space="0"/>
              <w:right w:val="single" w:color="auto" w:sz="4" w:space="0"/>
            </w:tcBorders>
          </w:tcPr>
          <w:p w14:paraId="2EE2FF03">
            <w:pPr>
              <w:pStyle w:val="301"/>
              <w:spacing w:line="400" w:lineRule="exact"/>
              <w:jc w:val="right"/>
              <w:rPr>
                <w:rFonts w:hint="default" w:ascii="宋体" w:hAnsi="宋体" w:cs="宋体"/>
                <w:sz w:val="24"/>
                <w:szCs w:val="24"/>
              </w:rPr>
            </w:pPr>
            <w:r>
              <w:rPr>
                <w:rFonts w:ascii="宋体" w:hAnsi="宋体" w:cs="宋体"/>
                <w:sz w:val="24"/>
                <w:szCs w:val="24"/>
              </w:rPr>
              <w:t>3.00</w:t>
            </w:r>
          </w:p>
        </w:tc>
      </w:tr>
      <w:tr w14:paraId="4905F4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34" w:type="dxa"/>
            <w:vMerge w:val="continue"/>
            <w:tcBorders>
              <w:left w:val="single" w:color="auto" w:sz="4" w:space="0"/>
              <w:right w:val="single" w:color="auto" w:sz="4" w:space="0"/>
            </w:tcBorders>
            <w:vAlign w:val="center"/>
          </w:tcPr>
          <w:p w14:paraId="00CDA95C">
            <w:pPr>
              <w:snapToGrid w:val="0"/>
              <w:spacing w:line="400" w:lineRule="exact"/>
              <w:jc w:val="center"/>
              <w:rPr>
                <w:rFonts w:ascii="宋体" w:hAnsi="宋体" w:cs="宋体"/>
                <w:sz w:val="24"/>
                <w:szCs w:val="24"/>
              </w:rPr>
            </w:pPr>
          </w:p>
        </w:tc>
        <w:tc>
          <w:tcPr>
            <w:tcW w:w="1371" w:type="dxa"/>
            <w:tcBorders>
              <w:top w:val="single" w:color="auto" w:sz="4" w:space="0"/>
              <w:left w:val="single" w:color="auto" w:sz="4" w:space="0"/>
              <w:right w:val="single" w:color="auto" w:sz="4" w:space="0"/>
            </w:tcBorders>
          </w:tcPr>
          <w:p w14:paraId="31C0A1DC">
            <w:pPr>
              <w:pStyle w:val="301"/>
              <w:spacing w:line="400" w:lineRule="exact"/>
              <w:rPr>
                <w:rFonts w:hint="default" w:ascii="宋体" w:hAnsi="宋体" w:cs="宋体"/>
                <w:sz w:val="24"/>
                <w:szCs w:val="24"/>
              </w:rPr>
            </w:pPr>
            <w:r>
              <w:rPr>
                <w:rFonts w:ascii="宋体" w:hAnsi="宋体" w:cs="宋体"/>
                <w:sz w:val="24"/>
                <w:szCs w:val="24"/>
              </w:rPr>
              <w:t>A3、工程概况及特点分析总体概述</w:t>
            </w:r>
          </w:p>
        </w:tc>
        <w:tc>
          <w:tcPr>
            <w:tcW w:w="6765" w:type="dxa"/>
            <w:tcBorders>
              <w:top w:val="single" w:color="auto" w:sz="4" w:space="0"/>
              <w:left w:val="single" w:color="auto" w:sz="4" w:space="0"/>
              <w:bottom w:val="single" w:color="auto" w:sz="4" w:space="0"/>
              <w:right w:val="single" w:color="auto" w:sz="4" w:space="0"/>
            </w:tcBorders>
          </w:tcPr>
          <w:p w14:paraId="34804BD6">
            <w:pPr>
              <w:pStyle w:val="301"/>
              <w:spacing w:line="400" w:lineRule="exact"/>
              <w:rPr>
                <w:rFonts w:hint="default" w:ascii="宋体" w:hAnsi="宋体" w:cs="宋体"/>
                <w:sz w:val="24"/>
                <w:szCs w:val="24"/>
              </w:rPr>
            </w:pPr>
            <w:r>
              <w:rPr>
                <w:rFonts w:ascii="宋体" w:hAnsi="宋体" w:cs="宋体"/>
                <w:sz w:val="24"/>
                <w:szCs w:val="24"/>
              </w:rPr>
              <w:t>根据供应商针对本项目提供的工程概况及特点分析总体概述，（包括但不限于：①本项目重难点的分析；②本项目重难点解决对策；③本项目施工平面部署）由磋商小组进行评分：方案包含的要点齐全无缺漏项、内容与要点相符、内容完善且能够适用于本项目的得3分；方案所包含的要点齐全、内容与要点相符，但仅有纲要内容简略，未展开阐述的得2.8分；方案所包含的要点有缺漏或内容存在错误的得2.6分；未提供或提供的内容存在明显不足或与本项目情况不符的对应要点方案不得分。</w:t>
            </w:r>
          </w:p>
        </w:tc>
        <w:tc>
          <w:tcPr>
            <w:tcW w:w="977" w:type="dxa"/>
            <w:tcBorders>
              <w:top w:val="single" w:color="auto" w:sz="4" w:space="0"/>
              <w:left w:val="single" w:color="auto" w:sz="4" w:space="0"/>
              <w:bottom w:val="single" w:color="auto" w:sz="4" w:space="0"/>
              <w:right w:val="single" w:color="auto" w:sz="4" w:space="0"/>
            </w:tcBorders>
          </w:tcPr>
          <w:p w14:paraId="090630DC">
            <w:pPr>
              <w:pStyle w:val="301"/>
              <w:spacing w:line="400" w:lineRule="exact"/>
              <w:jc w:val="right"/>
              <w:rPr>
                <w:rFonts w:hint="default" w:ascii="宋体" w:hAnsi="宋体" w:cs="宋体"/>
                <w:sz w:val="24"/>
                <w:szCs w:val="24"/>
              </w:rPr>
            </w:pPr>
            <w:r>
              <w:rPr>
                <w:rFonts w:ascii="宋体" w:hAnsi="宋体" w:cs="宋体"/>
                <w:sz w:val="24"/>
                <w:szCs w:val="24"/>
              </w:rPr>
              <w:t>3.00</w:t>
            </w:r>
          </w:p>
        </w:tc>
      </w:tr>
      <w:tr w14:paraId="10866B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4" w:type="dxa"/>
            <w:vMerge w:val="continue"/>
            <w:tcBorders>
              <w:left w:val="single" w:color="auto" w:sz="4" w:space="0"/>
              <w:right w:val="single" w:color="auto" w:sz="4" w:space="0"/>
            </w:tcBorders>
            <w:vAlign w:val="center"/>
          </w:tcPr>
          <w:p w14:paraId="67C409EB">
            <w:pPr>
              <w:snapToGrid w:val="0"/>
              <w:spacing w:line="400" w:lineRule="exact"/>
              <w:jc w:val="center"/>
              <w:rPr>
                <w:rFonts w:ascii="宋体" w:hAnsi="宋体" w:cs="宋体"/>
                <w:sz w:val="24"/>
                <w:szCs w:val="24"/>
              </w:rPr>
            </w:pPr>
          </w:p>
        </w:tc>
        <w:tc>
          <w:tcPr>
            <w:tcW w:w="1371" w:type="dxa"/>
            <w:tcBorders>
              <w:top w:val="single" w:color="auto" w:sz="4" w:space="0"/>
              <w:left w:val="single" w:color="auto" w:sz="4" w:space="0"/>
              <w:right w:val="single" w:color="auto" w:sz="4" w:space="0"/>
            </w:tcBorders>
          </w:tcPr>
          <w:p w14:paraId="5299A057">
            <w:pPr>
              <w:pStyle w:val="301"/>
              <w:spacing w:line="400" w:lineRule="exact"/>
              <w:rPr>
                <w:rFonts w:hint="default" w:ascii="宋体" w:hAnsi="宋体" w:cs="宋体"/>
                <w:sz w:val="24"/>
                <w:szCs w:val="24"/>
              </w:rPr>
            </w:pPr>
            <w:r>
              <w:rPr>
                <w:rFonts w:ascii="宋体" w:hAnsi="宋体" w:cs="宋体"/>
                <w:sz w:val="24"/>
                <w:szCs w:val="24"/>
              </w:rPr>
              <w:t>A4、服务质量控制方案</w:t>
            </w:r>
          </w:p>
        </w:tc>
        <w:tc>
          <w:tcPr>
            <w:tcW w:w="6765" w:type="dxa"/>
            <w:tcBorders>
              <w:top w:val="single" w:color="auto" w:sz="4" w:space="0"/>
              <w:left w:val="single" w:color="auto" w:sz="4" w:space="0"/>
              <w:bottom w:val="single" w:color="auto" w:sz="4" w:space="0"/>
              <w:right w:val="single" w:color="auto" w:sz="4" w:space="0"/>
            </w:tcBorders>
          </w:tcPr>
          <w:p w14:paraId="0A345689">
            <w:pPr>
              <w:pStyle w:val="301"/>
              <w:spacing w:line="400" w:lineRule="exact"/>
              <w:rPr>
                <w:rFonts w:hint="default" w:ascii="宋体" w:hAnsi="宋体" w:cs="宋体"/>
                <w:sz w:val="24"/>
                <w:szCs w:val="24"/>
              </w:rPr>
            </w:pPr>
            <w:r>
              <w:rPr>
                <w:rFonts w:ascii="宋体" w:hAnsi="宋体" w:cs="宋体"/>
                <w:sz w:val="24"/>
                <w:szCs w:val="24"/>
              </w:rPr>
              <w:t>根据供应商针对本项目提供的服务质量控制方案，（包括但不限于：①工程项目标准；②质量保证方案；③质量违约承诺） 由磋商小组进行评分：方案包含的要点齐全无缺漏项、内容与要点相符、内容完善且能够适用于本项目的得3分；方案所包含的要点齐全、内容与要点相符，但仅有纲要内容简略，未展开阐述的得2.8分；方案所包含的要点有缺漏或内容存在错误的得2.6分；未提供或提供的内容存在明显不足或与本项目情况不符的对应要点方案不得分。</w:t>
            </w:r>
          </w:p>
        </w:tc>
        <w:tc>
          <w:tcPr>
            <w:tcW w:w="977" w:type="dxa"/>
            <w:tcBorders>
              <w:top w:val="single" w:color="auto" w:sz="4" w:space="0"/>
              <w:left w:val="single" w:color="auto" w:sz="4" w:space="0"/>
              <w:bottom w:val="single" w:color="auto" w:sz="4" w:space="0"/>
              <w:right w:val="single" w:color="auto" w:sz="4" w:space="0"/>
            </w:tcBorders>
          </w:tcPr>
          <w:p w14:paraId="18A1D6AB">
            <w:pPr>
              <w:pStyle w:val="301"/>
              <w:spacing w:line="400" w:lineRule="exact"/>
              <w:jc w:val="right"/>
              <w:rPr>
                <w:rFonts w:hint="default" w:ascii="宋体" w:hAnsi="宋体" w:cs="宋体"/>
                <w:sz w:val="24"/>
                <w:szCs w:val="24"/>
              </w:rPr>
            </w:pPr>
            <w:r>
              <w:rPr>
                <w:rFonts w:ascii="宋体" w:hAnsi="宋体" w:cs="宋体"/>
                <w:sz w:val="24"/>
                <w:szCs w:val="24"/>
              </w:rPr>
              <w:t>3.00</w:t>
            </w:r>
          </w:p>
        </w:tc>
      </w:tr>
      <w:tr w14:paraId="5951F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4" w:type="dxa"/>
            <w:vMerge w:val="continue"/>
            <w:tcBorders>
              <w:left w:val="single" w:color="auto" w:sz="4" w:space="0"/>
              <w:right w:val="single" w:color="auto" w:sz="4" w:space="0"/>
            </w:tcBorders>
            <w:vAlign w:val="center"/>
          </w:tcPr>
          <w:p w14:paraId="137DF2B0">
            <w:pPr>
              <w:snapToGrid w:val="0"/>
              <w:spacing w:line="400" w:lineRule="exact"/>
              <w:jc w:val="center"/>
              <w:rPr>
                <w:rFonts w:ascii="宋体" w:hAnsi="宋体" w:cs="宋体"/>
                <w:sz w:val="24"/>
                <w:szCs w:val="24"/>
              </w:rPr>
            </w:pPr>
          </w:p>
        </w:tc>
        <w:tc>
          <w:tcPr>
            <w:tcW w:w="1371" w:type="dxa"/>
            <w:tcBorders>
              <w:top w:val="single" w:color="auto" w:sz="4" w:space="0"/>
              <w:left w:val="single" w:color="auto" w:sz="4" w:space="0"/>
              <w:right w:val="single" w:color="auto" w:sz="4" w:space="0"/>
            </w:tcBorders>
          </w:tcPr>
          <w:p w14:paraId="7C175D8C">
            <w:pPr>
              <w:pStyle w:val="301"/>
              <w:spacing w:line="400" w:lineRule="exact"/>
              <w:rPr>
                <w:rFonts w:hint="default" w:ascii="宋体" w:hAnsi="宋体" w:cs="宋体"/>
                <w:sz w:val="24"/>
                <w:szCs w:val="24"/>
              </w:rPr>
            </w:pPr>
            <w:r>
              <w:rPr>
                <w:rFonts w:ascii="宋体" w:hAnsi="宋体" w:cs="宋体"/>
                <w:sz w:val="24"/>
                <w:szCs w:val="24"/>
              </w:rPr>
              <w:t>A5、文明施工方案</w:t>
            </w:r>
          </w:p>
        </w:tc>
        <w:tc>
          <w:tcPr>
            <w:tcW w:w="6765" w:type="dxa"/>
            <w:tcBorders>
              <w:top w:val="single" w:color="auto" w:sz="4" w:space="0"/>
              <w:left w:val="single" w:color="auto" w:sz="4" w:space="0"/>
              <w:bottom w:val="single" w:color="auto" w:sz="4" w:space="0"/>
              <w:right w:val="single" w:color="auto" w:sz="4" w:space="0"/>
            </w:tcBorders>
          </w:tcPr>
          <w:p w14:paraId="77278356">
            <w:pPr>
              <w:pStyle w:val="301"/>
              <w:spacing w:line="400" w:lineRule="exact"/>
              <w:rPr>
                <w:rFonts w:hint="default" w:ascii="宋体" w:hAnsi="宋体" w:cs="宋体"/>
                <w:sz w:val="24"/>
                <w:szCs w:val="24"/>
              </w:rPr>
            </w:pPr>
            <w:r>
              <w:rPr>
                <w:rFonts w:ascii="宋体" w:hAnsi="宋体" w:cs="宋体"/>
                <w:sz w:val="24"/>
                <w:szCs w:val="24"/>
              </w:rPr>
              <w:t>根据供应商针对本项目提供的文明施工方案，（包括但不限于： ①施工现场采取环保及消防措施；②降低噪声的措施；③其他文明施工技术措施）由磋商小组进行评分：方案包含的要点齐全无缺漏项、内容与要点相符、内容完善且能够适用于本项目的得3分；方案所包含的要点齐全、内容与要点相符，但仅有纲要内容简略，未展开阐述的得2.8分；方案所包含的要点有缺漏或内容存在错误的得2.6分；未提供或提供的内容存在明显不足或与本项目情况不符的对应要点方案不得分。</w:t>
            </w:r>
          </w:p>
        </w:tc>
        <w:tc>
          <w:tcPr>
            <w:tcW w:w="977" w:type="dxa"/>
            <w:tcBorders>
              <w:top w:val="single" w:color="auto" w:sz="4" w:space="0"/>
              <w:left w:val="single" w:color="auto" w:sz="4" w:space="0"/>
              <w:bottom w:val="single" w:color="auto" w:sz="4" w:space="0"/>
              <w:right w:val="single" w:color="auto" w:sz="4" w:space="0"/>
            </w:tcBorders>
          </w:tcPr>
          <w:p w14:paraId="49AA0683">
            <w:pPr>
              <w:pStyle w:val="301"/>
              <w:spacing w:line="400" w:lineRule="exact"/>
              <w:jc w:val="right"/>
              <w:rPr>
                <w:rFonts w:hint="default" w:ascii="宋体" w:hAnsi="宋体" w:cs="宋体"/>
                <w:sz w:val="24"/>
                <w:szCs w:val="24"/>
              </w:rPr>
            </w:pPr>
            <w:r>
              <w:rPr>
                <w:rFonts w:ascii="宋体" w:hAnsi="宋体" w:cs="宋体"/>
                <w:sz w:val="24"/>
                <w:szCs w:val="24"/>
              </w:rPr>
              <w:t>3.00</w:t>
            </w:r>
          </w:p>
        </w:tc>
      </w:tr>
      <w:tr w14:paraId="05FE41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4" w:type="dxa"/>
            <w:vMerge w:val="continue"/>
            <w:tcBorders>
              <w:left w:val="single" w:color="auto" w:sz="4" w:space="0"/>
              <w:right w:val="single" w:color="auto" w:sz="4" w:space="0"/>
            </w:tcBorders>
            <w:vAlign w:val="center"/>
          </w:tcPr>
          <w:p w14:paraId="600CFBDC">
            <w:pPr>
              <w:snapToGrid w:val="0"/>
              <w:spacing w:line="400" w:lineRule="exact"/>
              <w:jc w:val="center"/>
              <w:rPr>
                <w:rFonts w:ascii="宋体" w:hAnsi="宋体" w:cs="宋体"/>
                <w:sz w:val="24"/>
                <w:szCs w:val="24"/>
              </w:rPr>
            </w:pPr>
          </w:p>
        </w:tc>
        <w:tc>
          <w:tcPr>
            <w:tcW w:w="1371" w:type="dxa"/>
            <w:tcBorders>
              <w:top w:val="single" w:color="auto" w:sz="4" w:space="0"/>
              <w:left w:val="single" w:color="auto" w:sz="4" w:space="0"/>
              <w:right w:val="single" w:color="auto" w:sz="4" w:space="0"/>
            </w:tcBorders>
          </w:tcPr>
          <w:p w14:paraId="1BE4EAB3">
            <w:pPr>
              <w:pStyle w:val="301"/>
              <w:spacing w:line="400" w:lineRule="exact"/>
              <w:rPr>
                <w:rFonts w:hint="default" w:ascii="宋体" w:hAnsi="宋体" w:cs="宋体"/>
                <w:sz w:val="24"/>
                <w:szCs w:val="24"/>
              </w:rPr>
            </w:pPr>
            <w:r>
              <w:rPr>
                <w:rFonts w:ascii="宋体" w:hAnsi="宋体" w:cs="宋体"/>
                <w:sz w:val="24"/>
                <w:szCs w:val="24"/>
              </w:rPr>
              <w:t>A6、安全施工方案</w:t>
            </w:r>
          </w:p>
        </w:tc>
        <w:tc>
          <w:tcPr>
            <w:tcW w:w="6765" w:type="dxa"/>
            <w:tcBorders>
              <w:top w:val="single" w:color="auto" w:sz="4" w:space="0"/>
              <w:left w:val="single" w:color="auto" w:sz="4" w:space="0"/>
              <w:bottom w:val="single" w:color="auto" w:sz="4" w:space="0"/>
              <w:right w:val="single" w:color="auto" w:sz="4" w:space="0"/>
            </w:tcBorders>
          </w:tcPr>
          <w:p w14:paraId="13FD71D8">
            <w:pPr>
              <w:pStyle w:val="301"/>
              <w:spacing w:line="400" w:lineRule="exact"/>
              <w:rPr>
                <w:rFonts w:hint="default" w:ascii="宋体" w:hAnsi="宋体" w:cs="宋体"/>
                <w:sz w:val="24"/>
                <w:szCs w:val="24"/>
              </w:rPr>
            </w:pPr>
            <w:r>
              <w:rPr>
                <w:rFonts w:ascii="宋体" w:hAnsi="宋体" w:cs="宋体"/>
                <w:sz w:val="24"/>
                <w:szCs w:val="24"/>
              </w:rPr>
              <w:t>根据供应商针对本项目提供的安全施工方案，（包括但不限于：①安全生产责任制度；②安全人员职责；③安全防护用品配备情况）由磋商小组进行评分：方案包含的要点齐全无缺漏项、内容与要点相符、内容完善且能够适用于本项目的得3分；方案所包含的要点齐全、内容与要点相符，但仅有纲要内容简略，未展开阐述的得2.8分；方案所包含的要点有缺漏或内容存在错误的得2.6分；未提供或提供的内容存在明显不足或与本项目情况不符的对应要点方案不得分。</w:t>
            </w:r>
          </w:p>
        </w:tc>
        <w:tc>
          <w:tcPr>
            <w:tcW w:w="977" w:type="dxa"/>
            <w:tcBorders>
              <w:top w:val="single" w:color="auto" w:sz="4" w:space="0"/>
              <w:left w:val="single" w:color="auto" w:sz="4" w:space="0"/>
              <w:bottom w:val="single" w:color="auto" w:sz="4" w:space="0"/>
              <w:right w:val="single" w:color="auto" w:sz="4" w:space="0"/>
            </w:tcBorders>
          </w:tcPr>
          <w:p w14:paraId="67B89744">
            <w:pPr>
              <w:pStyle w:val="301"/>
              <w:spacing w:line="400" w:lineRule="exact"/>
              <w:jc w:val="right"/>
              <w:rPr>
                <w:rFonts w:hint="default" w:ascii="宋体" w:hAnsi="宋体" w:cs="宋体"/>
                <w:sz w:val="24"/>
                <w:szCs w:val="24"/>
              </w:rPr>
            </w:pPr>
            <w:r>
              <w:rPr>
                <w:rFonts w:ascii="宋体" w:hAnsi="宋体" w:cs="宋体"/>
                <w:sz w:val="24"/>
                <w:szCs w:val="24"/>
              </w:rPr>
              <w:t>3.00</w:t>
            </w:r>
          </w:p>
        </w:tc>
      </w:tr>
      <w:tr w14:paraId="41E490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4" w:type="dxa"/>
            <w:vMerge w:val="continue"/>
            <w:tcBorders>
              <w:left w:val="single" w:color="auto" w:sz="4" w:space="0"/>
              <w:right w:val="single" w:color="auto" w:sz="4" w:space="0"/>
            </w:tcBorders>
            <w:vAlign w:val="center"/>
          </w:tcPr>
          <w:p w14:paraId="31438F0E">
            <w:pPr>
              <w:snapToGrid w:val="0"/>
              <w:spacing w:line="400" w:lineRule="exact"/>
              <w:jc w:val="center"/>
              <w:rPr>
                <w:rFonts w:ascii="宋体" w:hAnsi="宋体" w:cs="宋体"/>
                <w:sz w:val="24"/>
                <w:szCs w:val="24"/>
              </w:rPr>
            </w:pPr>
          </w:p>
        </w:tc>
        <w:tc>
          <w:tcPr>
            <w:tcW w:w="1371" w:type="dxa"/>
            <w:tcBorders>
              <w:top w:val="single" w:color="auto" w:sz="4" w:space="0"/>
              <w:left w:val="single" w:color="auto" w:sz="4" w:space="0"/>
              <w:right w:val="single" w:color="auto" w:sz="4" w:space="0"/>
            </w:tcBorders>
          </w:tcPr>
          <w:p w14:paraId="3464AA54">
            <w:pPr>
              <w:pStyle w:val="301"/>
              <w:spacing w:line="400" w:lineRule="exact"/>
              <w:rPr>
                <w:rFonts w:hint="default" w:ascii="宋体" w:hAnsi="宋体" w:cs="宋体"/>
                <w:sz w:val="24"/>
                <w:szCs w:val="24"/>
              </w:rPr>
            </w:pPr>
            <w:r>
              <w:rPr>
                <w:rFonts w:ascii="宋体" w:hAnsi="宋体" w:cs="宋体"/>
                <w:sz w:val="24"/>
                <w:szCs w:val="24"/>
              </w:rPr>
              <w:t>A7、保障措施</w:t>
            </w:r>
          </w:p>
        </w:tc>
        <w:tc>
          <w:tcPr>
            <w:tcW w:w="6765" w:type="dxa"/>
            <w:tcBorders>
              <w:top w:val="single" w:color="auto" w:sz="4" w:space="0"/>
              <w:left w:val="single" w:color="auto" w:sz="4" w:space="0"/>
              <w:bottom w:val="single" w:color="auto" w:sz="4" w:space="0"/>
              <w:right w:val="single" w:color="auto" w:sz="4" w:space="0"/>
            </w:tcBorders>
          </w:tcPr>
          <w:p w14:paraId="1573650C">
            <w:pPr>
              <w:pStyle w:val="301"/>
              <w:spacing w:line="400" w:lineRule="exact"/>
              <w:rPr>
                <w:rFonts w:hint="default" w:ascii="宋体" w:hAnsi="宋体" w:cs="宋体"/>
                <w:sz w:val="24"/>
                <w:szCs w:val="24"/>
              </w:rPr>
            </w:pPr>
            <w:r>
              <w:rPr>
                <w:rFonts w:ascii="宋体" w:hAnsi="宋体" w:cs="宋体"/>
                <w:sz w:val="24"/>
                <w:szCs w:val="24"/>
              </w:rPr>
              <w:t>根据供应商针对本项目提供的保障措施（包括但不限于：①施工进度划分；②各阶段进度保证措施；③进度保证承诺）由磋商小组进行评分：方案包含的要点齐全无缺漏项、内容与要点相符、内容完善且能够适用于本项目的得3分；方案所包含的要点齐全、内容与要点相符，但仅有纲要内容简略，未展开阐述的得2.9分；方案所包含的要点有缺漏或内容存在错误的得2.8分；未提供或提供的内容存在明显不足或与本项目情况不符的对应要点方案不得分。</w:t>
            </w:r>
          </w:p>
        </w:tc>
        <w:tc>
          <w:tcPr>
            <w:tcW w:w="977" w:type="dxa"/>
            <w:tcBorders>
              <w:top w:val="single" w:color="auto" w:sz="4" w:space="0"/>
              <w:left w:val="single" w:color="auto" w:sz="4" w:space="0"/>
              <w:bottom w:val="single" w:color="auto" w:sz="4" w:space="0"/>
              <w:right w:val="single" w:color="auto" w:sz="4" w:space="0"/>
            </w:tcBorders>
          </w:tcPr>
          <w:p w14:paraId="78052D91">
            <w:pPr>
              <w:pStyle w:val="301"/>
              <w:spacing w:line="400" w:lineRule="exact"/>
              <w:jc w:val="right"/>
              <w:rPr>
                <w:rFonts w:hint="default" w:ascii="宋体" w:hAnsi="宋体" w:cs="宋体"/>
                <w:sz w:val="24"/>
                <w:szCs w:val="24"/>
              </w:rPr>
            </w:pPr>
            <w:r>
              <w:rPr>
                <w:rFonts w:ascii="宋体" w:hAnsi="宋体" w:cs="宋体"/>
                <w:sz w:val="24"/>
                <w:szCs w:val="24"/>
              </w:rPr>
              <w:t>3.00</w:t>
            </w:r>
          </w:p>
        </w:tc>
      </w:tr>
      <w:tr w14:paraId="4D12C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4" w:type="dxa"/>
            <w:vMerge w:val="continue"/>
            <w:tcBorders>
              <w:left w:val="single" w:color="auto" w:sz="4" w:space="0"/>
              <w:right w:val="single" w:color="auto" w:sz="4" w:space="0"/>
            </w:tcBorders>
            <w:vAlign w:val="center"/>
          </w:tcPr>
          <w:p w14:paraId="5C3B4B43">
            <w:pPr>
              <w:snapToGrid w:val="0"/>
              <w:spacing w:line="400" w:lineRule="exact"/>
              <w:jc w:val="center"/>
              <w:rPr>
                <w:rFonts w:ascii="宋体" w:hAnsi="宋体" w:cs="宋体"/>
                <w:sz w:val="24"/>
                <w:szCs w:val="24"/>
              </w:rPr>
            </w:pPr>
          </w:p>
        </w:tc>
        <w:tc>
          <w:tcPr>
            <w:tcW w:w="1371" w:type="dxa"/>
            <w:tcBorders>
              <w:top w:val="single" w:color="auto" w:sz="4" w:space="0"/>
              <w:left w:val="single" w:color="auto" w:sz="4" w:space="0"/>
              <w:right w:val="single" w:color="auto" w:sz="4" w:space="0"/>
            </w:tcBorders>
          </w:tcPr>
          <w:p w14:paraId="7CC8BEC2">
            <w:pPr>
              <w:pStyle w:val="301"/>
              <w:spacing w:line="400" w:lineRule="exact"/>
              <w:rPr>
                <w:rFonts w:hint="default" w:ascii="宋体" w:hAnsi="宋体" w:cs="宋体"/>
                <w:sz w:val="24"/>
                <w:szCs w:val="24"/>
              </w:rPr>
            </w:pPr>
            <w:r>
              <w:rPr>
                <w:rFonts w:ascii="宋体" w:hAnsi="宋体" w:cs="宋体"/>
                <w:sz w:val="24"/>
                <w:szCs w:val="24"/>
              </w:rPr>
              <w:t>A8、应急救援预案</w:t>
            </w:r>
          </w:p>
        </w:tc>
        <w:tc>
          <w:tcPr>
            <w:tcW w:w="6765" w:type="dxa"/>
            <w:tcBorders>
              <w:top w:val="single" w:color="auto" w:sz="4" w:space="0"/>
              <w:left w:val="single" w:color="auto" w:sz="4" w:space="0"/>
              <w:bottom w:val="single" w:color="auto" w:sz="4" w:space="0"/>
              <w:right w:val="single" w:color="auto" w:sz="4" w:space="0"/>
            </w:tcBorders>
          </w:tcPr>
          <w:p w14:paraId="0A685921">
            <w:pPr>
              <w:pStyle w:val="301"/>
              <w:spacing w:line="400" w:lineRule="exact"/>
              <w:rPr>
                <w:rFonts w:hint="default" w:ascii="宋体" w:hAnsi="宋体" w:cs="宋体"/>
                <w:sz w:val="24"/>
                <w:szCs w:val="24"/>
              </w:rPr>
            </w:pPr>
            <w:r>
              <w:rPr>
                <w:rFonts w:ascii="宋体" w:hAnsi="宋体" w:cs="宋体"/>
                <w:sz w:val="24"/>
                <w:szCs w:val="24"/>
              </w:rPr>
              <w:t>根据供应商针对本项目提供的应急措施救援预案（包括但不限于：①物体打击、机械伤害的应急措施救援方案；②触电事故、高处坠落应急措施救援方案）由磋商小组进行评分：方案包含的要点齐全无缺漏项、内容与要点相符、内容完善且能够适用于本项目的得3分；方案所包含的要点齐全、内容与要点相符，但仅有纲要内容简略，未展开阐述的得2.8分；方案所包含的要点有缺漏或内容存在错误的得2.6分；未提供或提供的内容存在明显不足或与本项目情况不符的对应要点方案不得分。</w:t>
            </w:r>
          </w:p>
        </w:tc>
        <w:tc>
          <w:tcPr>
            <w:tcW w:w="977" w:type="dxa"/>
            <w:tcBorders>
              <w:top w:val="single" w:color="auto" w:sz="4" w:space="0"/>
              <w:left w:val="single" w:color="auto" w:sz="4" w:space="0"/>
              <w:bottom w:val="single" w:color="auto" w:sz="4" w:space="0"/>
              <w:right w:val="single" w:color="auto" w:sz="4" w:space="0"/>
            </w:tcBorders>
          </w:tcPr>
          <w:p w14:paraId="0645DFB3">
            <w:pPr>
              <w:pStyle w:val="301"/>
              <w:spacing w:line="400" w:lineRule="exact"/>
              <w:jc w:val="right"/>
              <w:rPr>
                <w:rFonts w:hint="default" w:ascii="宋体" w:hAnsi="宋体" w:cs="宋体"/>
                <w:sz w:val="24"/>
                <w:szCs w:val="24"/>
              </w:rPr>
            </w:pPr>
            <w:r>
              <w:rPr>
                <w:rFonts w:ascii="宋体" w:hAnsi="宋体" w:cs="宋体"/>
                <w:sz w:val="24"/>
                <w:szCs w:val="24"/>
              </w:rPr>
              <w:t>3.00</w:t>
            </w:r>
          </w:p>
        </w:tc>
      </w:tr>
      <w:tr w14:paraId="7697C0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4" w:type="dxa"/>
            <w:vMerge w:val="restart"/>
            <w:tcBorders>
              <w:left w:val="single" w:color="auto" w:sz="4" w:space="0"/>
              <w:right w:val="single" w:color="auto" w:sz="4" w:space="0"/>
            </w:tcBorders>
            <w:vAlign w:val="center"/>
          </w:tcPr>
          <w:p w14:paraId="2F5868AD">
            <w:pPr>
              <w:spacing w:line="400" w:lineRule="exact"/>
              <w:jc w:val="center"/>
              <w:rPr>
                <w:rFonts w:ascii="宋体" w:hAnsi="宋体" w:cs="宋体"/>
                <w:sz w:val="24"/>
                <w:szCs w:val="24"/>
              </w:rPr>
            </w:pPr>
            <w:r>
              <w:rPr>
                <w:rFonts w:hint="eastAsia" w:ascii="宋体" w:hAnsi="宋体" w:cs="宋体"/>
                <w:sz w:val="24"/>
                <w:szCs w:val="24"/>
              </w:rPr>
              <w:t>2、B商务部分评分（满分15分）</w:t>
            </w:r>
          </w:p>
        </w:tc>
        <w:tc>
          <w:tcPr>
            <w:tcW w:w="1371" w:type="dxa"/>
            <w:tcBorders>
              <w:top w:val="single" w:color="auto" w:sz="4" w:space="0"/>
              <w:left w:val="single" w:color="auto" w:sz="4" w:space="0"/>
              <w:right w:val="single" w:color="auto" w:sz="4" w:space="0"/>
            </w:tcBorders>
          </w:tcPr>
          <w:p w14:paraId="43763C9C">
            <w:pPr>
              <w:pStyle w:val="301"/>
              <w:spacing w:line="400" w:lineRule="exact"/>
              <w:rPr>
                <w:rFonts w:hint="default" w:ascii="宋体" w:hAnsi="宋体" w:cs="宋体"/>
                <w:sz w:val="24"/>
                <w:szCs w:val="24"/>
              </w:rPr>
            </w:pPr>
            <w:r>
              <w:rPr>
                <w:rFonts w:ascii="宋体" w:hAnsi="宋体" w:cs="宋体"/>
                <w:sz w:val="24"/>
                <w:szCs w:val="24"/>
              </w:rPr>
              <w:t>B1、业绩情况</w:t>
            </w:r>
          </w:p>
        </w:tc>
        <w:tc>
          <w:tcPr>
            <w:tcW w:w="6765" w:type="dxa"/>
            <w:tcBorders>
              <w:top w:val="single" w:color="auto" w:sz="4" w:space="0"/>
              <w:left w:val="single" w:color="auto" w:sz="4" w:space="0"/>
              <w:right w:val="single" w:color="auto" w:sz="4" w:space="0"/>
            </w:tcBorders>
          </w:tcPr>
          <w:p w14:paraId="5267A154">
            <w:pPr>
              <w:pStyle w:val="301"/>
              <w:spacing w:line="400" w:lineRule="exact"/>
              <w:rPr>
                <w:rFonts w:hint="default" w:ascii="宋体" w:hAnsi="宋体" w:cs="宋体"/>
                <w:sz w:val="24"/>
                <w:szCs w:val="24"/>
              </w:rPr>
            </w:pPr>
            <w:r>
              <w:rPr>
                <w:rFonts w:ascii="宋体" w:hAnsi="宋体" w:cs="宋体"/>
                <w:sz w:val="24"/>
                <w:szCs w:val="24"/>
              </w:rPr>
              <w:t>根据供应商自2022年1月1日以来至首次响应文件递交截止时间止（以工程竣工验收证书签订时间为准）由自身所完成的与本项目相关的同类业绩，每提供1份得1分，满分3分。注：须同时提供项目双方签订的合同复印件及竣工验收合格证明文件（需加盖业主单位公章），否则不得分。（若成交签订合同时需带原件给采购人复核）</w:t>
            </w:r>
          </w:p>
        </w:tc>
        <w:tc>
          <w:tcPr>
            <w:tcW w:w="977" w:type="dxa"/>
            <w:tcBorders>
              <w:top w:val="single" w:color="auto" w:sz="4" w:space="0"/>
              <w:left w:val="single" w:color="auto" w:sz="4" w:space="0"/>
              <w:bottom w:val="single" w:color="auto" w:sz="4" w:space="0"/>
              <w:right w:val="single" w:color="auto" w:sz="4" w:space="0"/>
            </w:tcBorders>
          </w:tcPr>
          <w:p w14:paraId="3058B96C">
            <w:pPr>
              <w:pStyle w:val="301"/>
              <w:spacing w:line="400" w:lineRule="exact"/>
              <w:jc w:val="right"/>
              <w:rPr>
                <w:rFonts w:hint="default" w:ascii="宋体" w:hAnsi="宋体" w:cs="宋体"/>
                <w:sz w:val="24"/>
                <w:szCs w:val="24"/>
              </w:rPr>
            </w:pPr>
            <w:r>
              <w:rPr>
                <w:rFonts w:ascii="宋体" w:hAnsi="宋体" w:cs="宋体"/>
                <w:sz w:val="24"/>
                <w:szCs w:val="24"/>
              </w:rPr>
              <w:t>3.00</w:t>
            </w:r>
          </w:p>
        </w:tc>
      </w:tr>
      <w:tr w14:paraId="793BCF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4" w:type="dxa"/>
            <w:vMerge w:val="continue"/>
            <w:tcBorders>
              <w:left w:val="single" w:color="auto" w:sz="4" w:space="0"/>
              <w:right w:val="single" w:color="auto" w:sz="4" w:space="0"/>
            </w:tcBorders>
            <w:vAlign w:val="center"/>
          </w:tcPr>
          <w:p w14:paraId="5BBB8DCF">
            <w:pPr>
              <w:spacing w:line="400" w:lineRule="exact"/>
              <w:jc w:val="center"/>
              <w:rPr>
                <w:rFonts w:ascii="宋体" w:hAnsi="宋体" w:cs="宋体"/>
                <w:sz w:val="24"/>
                <w:szCs w:val="24"/>
              </w:rPr>
            </w:pPr>
          </w:p>
        </w:tc>
        <w:tc>
          <w:tcPr>
            <w:tcW w:w="1371" w:type="dxa"/>
            <w:tcBorders>
              <w:top w:val="single" w:color="auto" w:sz="4" w:space="0"/>
              <w:left w:val="single" w:color="auto" w:sz="4" w:space="0"/>
              <w:right w:val="single" w:color="auto" w:sz="4" w:space="0"/>
            </w:tcBorders>
          </w:tcPr>
          <w:p w14:paraId="36F4159F">
            <w:pPr>
              <w:pStyle w:val="301"/>
              <w:spacing w:line="400" w:lineRule="exact"/>
              <w:rPr>
                <w:rFonts w:hint="default" w:ascii="宋体" w:hAnsi="宋体" w:cs="宋体"/>
                <w:sz w:val="24"/>
                <w:szCs w:val="24"/>
              </w:rPr>
            </w:pPr>
            <w:r>
              <w:rPr>
                <w:rFonts w:ascii="宋体" w:hAnsi="宋体" w:cs="宋体"/>
                <w:sz w:val="24"/>
                <w:szCs w:val="24"/>
              </w:rPr>
              <w:t>B2、服务团队1</w:t>
            </w:r>
          </w:p>
        </w:tc>
        <w:tc>
          <w:tcPr>
            <w:tcW w:w="6765" w:type="dxa"/>
            <w:tcBorders>
              <w:top w:val="single" w:color="auto" w:sz="4" w:space="0"/>
              <w:left w:val="single" w:color="auto" w:sz="4" w:space="0"/>
              <w:right w:val="single" w:color="auto" w:sz="4" w:space="0"/>
            </w:tcBorders>
          </w:tcPr>
          <w:p w14:paraId="3F158BBA">
            <w:pPr>
              <w:pStyle w:val="301"/>
              <w:spacing w:line="400" w:lineRule="exact"/>
              <w:rPr>
                <w:rFonts w:hint="default" w:ascii="宋体" w:hAnsi="宋体" w:cs="宋体"/>
                <w:sz w:val="24"/>
                <w:szCs w:val="24"/>
              </w:rPr>
            </w:pPr>
            <w:r>
              <w:rPr>
                <w:rFonts w:ascii="宋体" w:hAnsi="宋体" w:cs="宋体"/>
                <w:sz w:val="24"/>
                <w:szCs w:val="24"/>
              </w:rPr>
              <w:t>供应商拟为本项目配备的团队成员中具备特种作业人员（高处作业）由磋商小组进行评分：每配备一名得1分，满分3分。需提供有效身份证复印件、相应资质证书复印件及供应商磋商截止时间前六个月（不含磋商当月）中任意一个月为其缴纳社保的证明材料，未提供不得分。(本项与其他评分项提供同一人员的不得重复得分。)</w:t>
            </w:r>
          </w:p>
        </w:tc>
        <w:tc>
          <w:tcPr>
            <w:tcW w:w="977" w:type="dxa"/>
            <w:tcBorders>
              <w:top w:val="single" w:color="auto" w:sz="4" w:space="0"/>
              <w:left w:val="single" w:color="auto" w:sz="4" w:space="0"/>
              <w:bottom w:val="single" w:color="auto" w:sz="4" w:space="0"/>
              <w:right w:val="single" w:color="auto" w:sz="4" w:space="0"/>
            </w:tcBorders>
          </w:tcPr>
          <w:p w14:paraId="623A31D0">
            <w:pPr>
              <w:pStyle w:val="301"/>
              <w:spacing w:line="400" w:lineRule="exact"/>
              <w:jc w:val="right"/>
              <w:rPr>
                <w:rFonts w:hint="default" w:ascii="宋体" w:hAnsi="宋体" w:cs="宋体"/>
                <w:sz w:val="24"/>
                <w:szCs w:val="24"/>
              </w:rPr>
            </w:pPr>
            <w:r>
              <w:rPr>
                <w:rFonts w:ascii="宋体" w:hAnsi="宋体" w:cs="宋体"/>
                <w:sz w:val="24"/>
                <w:szCs w:val="24"/>
              </w:rPr>
              <w:t>3.00</w:t>
            </w:r>
          </w:p>
        </w:tc>
      </w:tr>
      <w:tr w14:paraId="6E8BC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4" w:type="dxa"/>
            <w:vMerge w:val="continue"/>
            <w:tcBorders>
              <w:left w:val="single" w:color="auto" w:sz="4" w:space="0"/>
              <w:right w:val="single" w:color="auto" w:sz="4" w:space="0"/>
            </w:tcBorders>
            <w:vAlign w:val="center"/>
          </w:tcPr>
          <w:p w14:paraId="17E101FF">
            <w:pPr>
              <w:spacing w:line="400" w:lineRule="exact"/>
              <w:jc w:val="center"/>
              <w:rPr>
                <w:rFonts w:ascii="宋体" w:hAnsi="宋体" w:cs="宋体"/>
                <w:sz w:val="24"/>
                <w:szCs w:val="24"/>
              </w:rPr>
            </w:pPr>
          </w:p>
        </w:tc>
        <w:tc>
          <w:tcPr>
            <w:tcW w:w="1371" w:type="dxa"/>
            <w:tcBorders>
              <w:top w:val="single" w:color="auto" w:sz="4" w:space="0"/>
              <w:left w:val="single" w:color="auto" w:sz="4" w:space="0"/>
              <w:right w:val="single" w:color="auto" w:sz="4" w:space="0"/>
            </w:tcBorders>
          </w:tcPr>
          <w:p w14:paraId="692DDA38">
            <w:pPr>
              <w:pStyle w:val="301"/>
              <w:spacing w:line="400" w:lineRule="exact"/>
              <w:rPr>
                <w:rFonts w:hint="default" w:ascii="宋体" w:hAnsi="宋体" w:cs="宋体"/>
                <w:sz w:val="24"/>
                <w:szCs w:val="24"/>
              </w:rPr>
            </w:pPr>
            <w:r>
              <w:rPr>
                <w:rFonts w:ascii="宋体" w:hAnsi="宋体" w:cs="宋体"/>
                <w:sz w:val="24"/>
                <w:szCs w:val="24"/>
              </w:rPr>
              <w:t>B3、服务团队2</w:t>
            </w:r>
          </w:p>
        </w:tc>
        <w:tc>
          <w:tcPr>
            <w:tcW w:w="6765" w:type="dxa"/>
            <w:tcBorders>
              <w:top w:val="single" w:color="auto" w:sz="4" w:space="0"/>
              <w:left w:val="single" w:color="auto" w:sz="4" w:space="0"/>
              <w:right w:val="single" w:color="auto" w:sz="4" w:space="0"/>
            </w:tcBorders>
          </w:tcPr>
          <w:p w14:paraId="7CA11C5E">
            <w:pPr>
              <w:pStyle w:val="301"/>
              <w:spacing w:line="400" w:lineRule="exact"/>
              <w:rPr>
                <w:rFonts w:hint="default" w:ascii="宋体" w:hAnsi="宋体" w:cs="宋体"/>
                <w:sz w:val="24"/>
                <w:szCs w:val="24"/>
              </w:rPr>
            </w:pPr>
            <w:r>
              <w:rPr>
                <w:rFonts w:ascii="宋体" w:hAnsi="宋体" w:cs="宋体"/>
                <w:sz w:val="24"/>
                <w:szCs w:val="24"/>
              </w:rPr>
              <w:t>供应商拟为本项目配备的团队成员中具备设备安装或土建施工员、设备安装或土建质量员、材料员、机械员、劳务员、资料员，每提供上述一个不同岗位人员的得0.5分（同一人不同岗位不重复得分），满分3分。需提供相应资质证书复印件及供磋商截止时间前六个月（不含磋商当月）中任意一个月为其缴纳社保的证明材未提供不得分。(本项与其他评分项人员的不得重复得分)</w:t>
            </w:r>
          </w:p>
        </w:tc>
        <w:tc>
          <w:tcPr>
            <w:tcW w:w="977" w:type="dxa"/>
            <w:tcBorders>
              <w:top w:val="single" w:color="auto" w:sz="4" w:space="0"/>
              <w:left w:val="single" w:color="auto" w:sz="4" w:space="0"/>
              <w:bottom w:val="single" w:color="auto" w:sz="4" w:space="0"/>
              <w:right w:val="single" w:color="auto" w:sz="4" w:space="0"/>
            </w:tcBorders>
          </w:tcPr>
          <w:p w14:paraId="7D5EB7C2">
            <w:pPr>
              <w:pStyle w:val="301"/>
              <w:spacing w:line="400" w:lineRule="exact"/>
              <w:jc w:val="right"/>
              <w:rPr>
                <w:rFonts w:hint="default" w:ascii="宋体" w:hAnsi="宋体" w:cs="宋体"/>
                <w:sz w:val="24"/>
                <w:szCs w:val="24"/>
              </w:rPr>
            </w:pPr>
            <w:r>
              <w:rPr>
                <w:rFonts w:ascii="宋体" w:hAnsi="宋体" w:cs="宋体"/>
                <w:sz w:val="24"/>
                <w:szCs w:val="24"/>
              </w:rPr>
              <w:t>3.00</w:t>
            </w:r>
          </w:p>
        </w:tc>
      </w:tr>
      <w:tr w14:paraId="15392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4" w:type="dxa"/>
            <w:vMerge w:val="continue"/>
            <w:tcBorders>
              <w:left w:val="single" w:color="auto" w:sz="4" w:space="0"/>
              <w:right w:val="single" w:color="auto" w:sz="4" w:space="0"/>
            </w:tcBorders>
            <w:vAlign w:val="center"/>
          </w:tcPr>
          <w:p w14:paraId="2F06348F">
            <w:pPr>
              <w:spacing w:line="400" w:lineRule="exact"/>
              <w:jc w:val="center"/>
              <w:rPr>
                <w:rFonts w:ascii="宋体" w:hAnsi="宋体" w:cs="宋体"/>
                <w:sz w:val="24"/>
                <w:szCs w:val="24"/>
              </w:rPr>
            </w:pPr>
          </w:p>
        </w:tc>
        <w:tc>
          <w:tcPr>
            <w:tcW w:w="1371" w:type="dxa"/>
            <w:tcBorders>
              <w:top w:val="single" w:color="auto" w:sz="4" w:space="0"/>
              <w:left w:val="single" w:color="auto" w:sz="4" w:space="0"/>
              <w:right w:val="single" w:color="auto" w:sz="4" w:space="0"/>
            </w:tcBorders>
          </w:tcPr>
          <w:p w14:paraId="53292F69">
            <w:pPr>
              <w:pStyle w:val="301"/>
              <w:spacing w:line="400" w:lineRule="exact"/>
              <w:rPr>
                <w:rFonts w:hint="default" w:ascii="宋体" w:hAnsi="宋体" w:cs="宋体"/>
                <w:sz w:val="24"/>
                <w:szCs w:val="24"/>
              </w:rPr>
            </w:pPr>
            <w:r>
              <w:rPr>
                <w:rFonts w:ascii="宋体" w:hAnsi="宋体" w:cs="宋体"/>
                <w:sz w:val="24"/>
                <w:szCs w:val="24"/>
              </w:rPr>
              <w:t>B4、服务团队3</w:t>
            </w:r>
          </w:p>
        </w:tc>
        <w:tc>
          <w:tcPr>
            <w:tcW w:w="6765" w:type="dxa"/>
            <w:tcBorders>
              <w:top w:val="single" w:color="auto" w:sz="4" w:space="0"/>
              <w:left w:val="single" w:color="auto" w:sz="4" w:space="0"/>
              <w:right w:val="single" w:color="auto" w:sz="4" w:space="0"/>
            </w:tcBorders>
          </w:tcPr>
          <w:p w14:paraId="4552577C">
            <w:pPr>
              <w:pStyle w:val="301"/>
              <w:spacing w:line="400" w:lineRule="exact"/>
              <w:rPr>
                <w:rFonts w:hint="default" w:ascii="宋体" w:hAnsi="宋体" w:cs="宋体"/>
                <w:sz w:val="24"/>
                <w:szCs w:val="24"/>
              </w:rPr>
            </w:pPr>
            <w:r>
              <w:rPr>
                <w:rFonts w:ascii="宋体" w:hAnsi="宋体" w:cs="宋体"/>
                <w:sz w:val="24"/>
                <w:szCs w:val="24"/>
              </w:rPr>
              <w:t>供应商拟为本项目配备的团队成员中具备专职安全员的情况由磋商小组进行评分：每配备一名得0.5分，满分3分。需提供有效身份证复印件、相应资质证书复印件及磋商截止时间前六个月（不含磋商当月）中任意一个月为其缴纳社保的证明材料，未提供不得分。(本项与其他评分项人员的不得重复得分)</w:t>
            </w:r>
          </w:p>
        </w:tc>
        <w:tc>
          <w:tcPr>
            <w:tcW w:w="977" w:type="dxa"/>
            <w:tcBorders>
              <w:top w:val="single" w:color="auto" w:sz="4" w:space="0"/>
              <w:left w:val="single" w:color="auto" w:sz="4" w:space="0"/>
              <w:bottom w:val="single" w:color="auto" w:sz="4" w:space="0"/>
              <w:right w:val="single" w:color="auto" w:sz="4" w:space="0"/>
            </w:tcBorders>
          </w:tcPr>
          <w:p w14:paraId="1A551CEC">
            <w:pPr>
              <w:pStyle w:val="301"/>
              <w:spacing w:line="400" w:lineRule="exact"/>
              <w:jc w:val="right"/>
              <w:rPr>
                <w:rFonts w:hint="default" w:ascii="宋体" w:hAnsi="宋体" w:cs="宋体"/>
                <w:sz w:val="24"/>
                <w:szCs w:val="24"/>
              </w:rPr>
            </w:pPr>
            <w:r>
              <w:rPr>
                <w:rFonts w:ascii="宋体" w:hAnsi="宋体" w:cs="宋体"/>
                <w:sz w:val="24"/>
                <w:szCs w:val="24"/>
              </w:rPr>
              <w:t>3.00</w:t>
            </w:r>
          </w:p>
        </w:tc>
      </w:tr>
      <w:tr w14:paraId="3AC40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4" w:type="dxa"/>
            <w:vMerge w:val="continue"/>
            <w:tcBorders>
              <w:left w:val="single" w:color="auto" w:sz="4" w:space="0"/>
              <w:right w:val="single" w:color="auto" w:sz="4" w:space="0"/>
            </w:tcBorders>
            <w:vAlign w:val="center"/>
          </w:tcPr>
          <w:p w14:paraId="103C70CC">
            <w:pPr>
              <w:spacing w:line="400" w:lineRule="exact"/>
              <w:jc w:val="center"/>
              <w:rPr>
                <w:rFonts w:ascii="宋体" w:hAnsi="宋体" w:cs="宋体"/>
                <w:sz w:val="24"/>
                <w:szCs w:val="24"/>
              </w:rPr>
            </w:pPr>
          </w:p>
        </w:tc>
        <w:tc>
          <w:tcPr>
            <w:tcW w:w="1371" w:type="dxa"/>
            <w:tcBorders>
              <w:top w:val="single" w:color="auto" w:sz="4" w:space="0"/>
              <w:left w:val="single" w:color="auto" w:sz="4" w:space="0"/>
              <w:right w:val="single" w:color="auto" w:sz="4" w:space="0"/>
            </w:tcBorders>
          </w:tcPr>
          <w:p w14:paraId="58CF8C62">
            <w:pPr>
              <w:spacing w:line="400" w:lineRule="exact"/>
              <w:jc w:val="left"/>
              <w:rPr>
                <w:rFonts w:ascii="宋体" w:hAnsi="宋体" w:cs="宋体"/>
                <w:sz w:val="24"/>
                <w:szCs w:val="24"/>
              </w:rPr>
            </w:pPr>
            <w:r>
              <w:rPr>
                <w:rFonts w:hint="eastAsia" w:ascii="宋体" w:hAnsi="宋体" w:cs="宋体"/>
                <w:sz w:val="24"/>
                <w:szCs w:val="24"/>
              </w:rPr>
              <w:t>B5、售后服务方案</w:t>
            </w:r>
          </w:p>
        </w:tc>
        <w:tc>
          <w:tcPr>
            <w:tcW w:w="6765" w:type="dxa"/>
            <w:tcBorders>
              <w:top w:val="single" w:color="auto" w:sz="4" w:space="0"/>
              <w:left w:val="single" w:color="auto" w:sz="4" w:space="0"/>
              <w:right w:val="single" w:color="auto" w:sz="4" w:space="0"/>
            </w:tcBorders>
          </w:tcPr>
          <w:p w14:paraId="641AC985">
            <w:pPr>
              <w:spacing w:line="400" w:lineRule="exact"/>
              <w:jc w:val="left"/>
              <w:rPr>
                <w:rFonts w:ascii="宋体" w:hAnsi="宋体" w:cs="宋体"/>
                <w:sz w:val="24"/>
                <w:szCs w:val="24"/>
              </w:rPr>
            </w:pPr>
            <w:r>
              <w:rPr>
                <w:rFonts w:hint="eastAsia" w:ascii="宋体" w:hAnsi="宋体" w:cs="宋体"/>
                <w:sz w:val="24"/>
                <w:szCs w:val="24"/>
              </w:rPr>
              <w:t>根据供应商针对本项目提供的售后服务方案（包括但不限于：①售后服务机构设置、②人员配备情况、③响应时间及方式等）由</w:t>
            </w:r>
            <w:r>
              <w:rPr>
                <w:rFonts w:ascii="宋体" w:hAnsi="宋体" w:cs="宋体"/>
                <w:sz w:val="24"/>
                <w:szCs w:val="24"/>
              </w:rPr>
              <w:t>磋商小组</w:t>
            </w:r>
            <w:r>
              <w:rPr>
                <w:rFonts w:hint="eastAsia" w:ascii="宋体" w:hAnsi="宋体" w:cs="宋体"/>
                <w:sz w:val="24"/>
                <w:szCs w:val="24"/>
              </w:rPr>
              <w:t>进行评分：提供的方案包含以上全部要点、内容与要点相符、内容详实、各要点内容之间关联性强，逻辑清晰，且按现有客观实际情况可以有效实施的得3分；提供的方案包含以上全部要点、内容与要点相符，但仅有纲要内容简略，未展开阐述的得2.8分；方案所包含的要点有缺漏的得2.6分；未提供或内容存在错误的不得分。</w:t>
            </w:r>
          </w:p>
        </w:tc>
        <w:tc>
          <w:tcPr>
            <w:tcW w:w="977" w:type="dxa"/>
            <w:tcBorders>
              <w:top w:val="single" w:color="auto" w:sz="4" w:space="0"/>
              <w:left w:val="single" w:color="auto" w:sz="4" w:space="0"/>
              <w:bottom w:val="single" w:color="auto" w:sz="4" w:space="0"/>
              <w:right w:val="single" w:color="auto" w:sz="4" w:space="0"/>
            </w:tcBorders>
          </w:tcPr>
          <w:p w14:paraId="35DE83D7">
            <w:pPr>
              <w:spacing w:line="400" w:lineRule="exact"/>
              <w:jc w:val="left"/>
              <w:rPr>
                <w:rFonts w:ascii="宋体" w:hAnsi="宋体" w:cs="宋体"/>
                <w:sz w:val="24"/>
                <w:szCs w:val="24"/>
              </w:rPr>
            </w:pPr>
            <w:r>
              <w:rPr>
                <w:rFonts w:hint="eastAsia" w:ascii="宋体" w:hAnsi="宋体" w:cs="宋体"/>
                <w:sz w:val="24"/>
                <w:szCs w:val="24"/>
              </w:rPr>
              <w:t>3.00</w:t>
            </w:r>
          </w:p>
        </w:tc>
      </w:tr>
      <w:tr w14:paraId="28A49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4" w:type="dxa"/>
            <w:tcBorders>
              <w:top w:val="single" w:color="auto" w:sz="4" w:space="0"/>
              <w:left w:val="single" w:color="auto" w:sz="4" w:space="0"/>
              <w:bottom w:val="single" w:color="auto" w:sz="4" w:space="0"/>
              <w:right w:val="single" w:color="auto" w:sz="4" w:space="0"/>
            </w:tcBorders>
            <w:vAlign w:val="center"/>
          </w:tcPr>
          <w:p w14:paraId="549839AF">
            <w:pPr>
              <w:spacing w:line="400" w:lineRule="exact"/>
              <w:jc w:val="center"/>
              <w:rPr>
                <w:rFonts w:ascii="宋体" w:hAnsi="宋体" w:cs="宋体"/>
                <w:sz w:val="24"/>
                <w:szCs w:val="24"/>
              </w:rPr>
            </w:pPr>
            <w:r>
              <w:rPr>
                <w:rFonts w:hint="eastAsia" w:ascii="宋体" w:hAnsi="宋体" w:cs="宋体"/>
                <w:sz w:val="24"/>
                <w:szCs w:val="24"/>
              </w:rPr>
              <w:t>3、F价格部分（满分10分）</w:t>
            </w:r>
          </w:p>
        </w:tc>
        <w:tc>
          <w:tcPr>
            <w:tcW w:w="9113" w:type="dxa"/>
            <w:gridSpan w:val="3"/>
            <w:tcBorders>
              <w:top w:val="single" w:color="auto" w:sz="4" w:space="0"/>
              <w:left w:val="single" w:color="auto" w:sz="4" w:space="0"/>
              <w:bottom w:val="single" w:color="auto" w:sz="4" w:space="0"/>
              <w:right w:val="single" w:color="auto" w:sz="4" w:space="0"/>
            </w:tcBorders>
            <w:vAlign w:val="center"/>
          </w:tcPr>
          <w:p w14:paraId="601EA20A">
            <w:pPr>
              <w:snapToGrid w:val="0"/>
              <w:spacing w:line="400" w:lineRule="exact"/>
              <w:jc w:val="left"/>
              <w:rPr>
                <w:rFonts w:ascii="宋体" w:hAnsi="宋体" w:cs="宋体"/>
                <w:sz w:val="24"/>
                <w:szCs w:val="24"/>
              </w:rPr>
            </w:pPr>
            <w:r>
              <w:rPr>
                <w:rFonts w:hint="eastAsia" w:ascii="宋体" w:hAnsi="宋体" w:cs="宋体"/>
                <w:sz w:val="24"/>
                <w:szCs w:val="24"/>
              </w:rPr>
              <w:t>PF =Fn/F×Q×100</w:t>
            </w:r>
          </w:p>
          <w:p w14:paraId="631AFE34">
            <w:pPr>
              <w:snapToGrid w:val="0"/>
              <w:spacing w:line="400" w:lineRule="exact"/>
              <w:jc w:val="left"/>
              <w:rPr>
                <w:rFonts w:ascii="宋体" w:hAnsi="宋体" w:cs="宋体"/>
                <w:sz w:val="24"/>
                <w:szCs w:val="24"/>
              </w:rPr>
            </w:pPr>
            <w:r>
              <w:rPr>
                <w:rFonts w:hint="eastAsia" w:ascii="宋体" w:hAnsi="宋体" w:cs="宋体"/>
                <w:sz w:val="24"/>
                <w:szCs w:val="24"/>
              </w:rPr>
              <w:t>PF：供应商报价得分</w:t>
            </w:r>
          </w:p>
          <w:p w14:paraId="352AB1CC">
            <w:pPr>
              <w:snapToGrid w:val="0"/>
              <w:spacing w:line="400" w:lineRule="exact"/>
              <w:jc w:val="left"/>
              <w:rPr>
                <w:rFonts w:ascii="宋体" w:hAnsi="宋体" w:cs="宋体"/>
                <w:sz w:val="24"/>
                <w:szCs w:val="24"/>
              </w:rPr>
            </w:pPr>
            <w:r>
              <w:rPr>
                <w:rFonts w:hint="eastAsia" w:ascii="宋体" w:hAnsi="宋体" w:cs="宋体"/>
                <w:sz w:val="24"/>
                <w:szCs w:val="24"/>
              </w:rPr>
              <w:t>F：各供应商报价</w:t>
            </w:r>
          </w:p>
          <w:p w14:paraId="019EECF5">
            <w:pPr>
              <w:snapToGrid w:val="0"/>
              <w:spacing w:line="400" w:lineRule="exact"/>
              <w:jc w:val="left"/>
              <w:rPr>
                <w:rFonts w:ascii="宋体" w:hAnsi="宋体" w:cs="宋体"/>
                <w:sz w:val="24"/>
                <w:szCs w:val="24"/>
              </w:rPr>
            </w:pPr>
            <w:r>
              <w:rPr>
                <w:rFonts w:hint="eastAsia" w:ascii="宋体" w:hAnsi="宋体" w:cs="宋体"/>
                <w:sz w:val="24"/>
                <w:szCs w:val="24"/>
              </w:rPr>
              <w:t>Fn：评标基准价即满足磋商文件要求且最后报价最低的供应商的价格为磋商基准价，其价格分为满分。</w:t>
            </w:r>
          </w:p>
          <w:p w14:paraId="39A0CF87">
            <w:pPr>
              <w:snapToGrid w:val="0"/>
              <w:spacing w:line="400" w:lineRule="exact"/>
              <w:jc w:val="left"/>
              <w:rPr>
                <w:rFonts w:ascii="宋体" w:hAnsi="宋体" w:cs="宋体"/>
                <w:sz w:val="24"/>
                <w:szCs w:val="24"/>
              </w:rPr>
            </w:pPr>
            <w:r>
              <w:rPr>
                <w:rFonts w:hint="eastAsia" w:ascii="宋体" w:hAnsi="宋体" w:cs="宋体"/>
                <w:sz w:val="24"/>
                <w:szCs w:val="24"/>
              </w:rPr>
              <w:t>Q：价格权值：Q=10%</w:t>
            </w:r>
          </w:p>
        </w:tc>
      </w:tr>
    </w:tbl>
    <w:p w14:paraId="116B9779">
      <w:pPr>
        <w:tabs>
          <w:tab w:val="left" w:pos="-1080"/>
          <w:tab w:val="left" w:pos="180"/>
          <w:tab w:val="left" w:pos="1080"/>
        </w:tabs>
        <w:snapToGrid w:val="0"/>
        <w:spacing w:line="380" w:lineRule="exact"/>
        <w:ind w:firstLine="360" w:firstLineChars="150"/>
        <w:jc w:val="left"/>
        <w:rPr>
          <w:rFonts w:hAnsi="宋体" w:cs="宋体"/>
          <w:b/>
          <w:sz w:val="28"/>
        </w:rPr>
      </w:pPr>
      <w:r>
        <w:rPr>
          <w:rFonts w:hint="eastAsia" w:ascii="宋体" w:hAnsi="宋体" w:cs="宋体"/>
          <w:sz w:val="24"/>
          <w:szCs w:val="24"/>
        </w:rPr>
        <w:t xml:space="preserve">综合得分为：PF+PT+PB </w:t>
      </w:r>
    </w:p>
    <w:p w14:paraId="1C447D6E">
      <w:pPr>
        <w:pStyle w:val="27"/>
        <w:snapToGrid w:val="0"/>
        <w:spacing w:line="360" w:lineRule="auto"/>
        <w:jc w:val="center"/>
        <w:outlineLvl w:val="1"/>
        <w:rPr>
          <w:rFonts w:hAnsi="宋体" w:cs="宋体"/>
          <w:b/>
          <w:sz w:val="28"/>
        </w:rPr>
      </w:pPr>
    </w:p>
    <w:p w14:paraId="5EBF3E98">
      <w:pPr>
        <w:pStyle w:val="27"/>
        <w:snapToGrid w:val="0"/>
        <w:spacing w:line="360" w:lineRule="auto"/>
        <w:jc w:val="center"/>
        <w:outlineLvl w:val="1"/>
        <w:rPr>
          <w:rFonts w:hAnsi="宋体" w:cs="宋体"/>
          <w:b/>
          <w:sz w:val="28"/>
        </w:rPr>
      </w:pPr>
    </w:p>
    <w:p w14:paraId="44533EFE">
      <w:pPr>
        <w:pStyle w:val="27"/>
        <w:snapToGrid w:val="0"/>
        <w:spacing w:line="360" w:lineRule="auto"/>
        <w:jc w:val="center"/>
        <w:outlineLvl w:val="1"/>
        <w:rPr>
          <w:rFonts w:hAnsi="宋体" w:cs="宋体"/>
          <w:b/>
          <w:sz w:val="28"/>
        </w:rPr>
      </w:pPr>
      <w:r>
        <w:rPr>
          <w:rFonts w:hint="eastAsia" w:hAnsi="宋体" w:cs="宋体"/>
          <w:b/>
          <w:sz w:val="28"/>
        </w:rPr>
        <w:t>一、说明</w:t>
      </w:r>
      <w:bookmarkEnd w:id="22"/>
      <w:bookmarkEnd w:id="23"/>
      <w:bookmarkEnd w:id="24"/>
    </w:p>
    <w:p w14:paraId="6323233D">
      <w:pPr>
        <w:snapToGrid w:val="0"/>
        <w:spacing w:line="360" w:lineRule="auto"/>
        <w:rPr>
          <w:rFonts w:ascii="宋体" w:hAnsi="宋体" w:cs="宋体"/>
          <w:b/>
          <w:sz w:val="24"/>
        </w:rPr>
      </w:pPr>
      <w:bookmarkStart w:id="32" w:name="_Toc15828_WPSOffice_Level3"/>
      <w:bookmarkStart w:id="33" w:name="_Toc23906_WPSOffice_Level3"/>
      <w:r>
        <w:rPr>
          <w:rFonts w:hint="eastAsia" w:ascii="宋体" w:hAnsi="宋体" w:cs="宋体"/>
          <w:b/>
          <w:sz w:val="24"/>
        </w:rPr>
        <w:t xml:space="preserve">1. </w:t>
      </w:r>
      <w:bookmarkStart w:id="34" w:name="适用范围"/>
      <w:r>
        <w:rPr>
          <w:rFonts w:hint="eastAsia" w:ascii="宋体" w:hAnsi="宋体" w:cs="宋体"/>
          <w:b/>
          <w:sz w:val="24"/>
        </w:rPr>
        <w:t>适用范围</w:t>
      </w:r>
      <w:bookmarkEnd w:id="32"/>
      <w:bookmarkEnd w:id="33"/>
      <w:bookmarkEnd w:id="34"/>
    </w:p>
    <w:p w14:paraId="327A463A">
      <w:pPr>
        <w:snapToGrid w:val="0"/>
        <w:spacing w:line="360" w:lineRule="auto"/>
        <w:rPr>
          <w:rFonts w:ascii="宋体" w:hAnsi="宋体" w:cs="宋体"/>
          <w:sz w:val="24"/>
        </w:rPr>
      </w:pPr>
      <w:r>
        <w:rPr>
          <w:rFonts w:hint="eastAsia" w:ascii="宋体" w:hAnsi="宋体" w:cs="宋体"/>
          <w:sz w:val="24"/>
        </w:rPr>
        <w:t xml:space="preserve">    1.1本竞争性磋商文件仅适用于磋商邀请中所叙述项目的货物及服务采购。</w:t>
      </w:r>
    </w:p>
    <w:p w14:paraId="72027DE4">
      <w:pPr>
        <w:snapToGrid w:val="0"/>
        <w:spacing w:line="360" w:lineRule="auto"/>
        <w:rPr>
          <w:rFonts w:ascii="宋体" w:hAnsi="宋体" w:cs="宋体"/>
          <w:b/>
          <w:sz w:val="24"/>
        </w:rPr>
      </w:pPr>
      <w:bookmarkStart w:id="35" w:name="_Toc4743_WPSOffice_Level3"/>
      <w:bookmarkStart w:id="36" w:name="_Toc4616_WPSOffice_Level3"/>
      <w:r>
        <w:rPr>
          <w:rFonts w:hint="eastAsia" w:ascii="宋体" w:hAnsi="宋体" w:cs="宋体"/>
          <w:b/>
          <w:sz w:val="24"/>
        </w:rPr>
        <w:t xml:space="preserve">2. </w:t>
      </w:r>
      <w:bookmarkStart w:id="37" w:name="定义"/>
      <w:r>
        <w:rPr>
          <w:rFonts w:hint="eastAsia" w:ascii="宋体" w:hAnsi="宋体" w:cs="宋体"/>
          <w:b/>
          <w:sz w:val="24"/>
        </w:rPr>
        <w:t>定义</w:t>
      </w:r>
      <w:bookmarkEnd w:id="35"/>
      <w:bookmarkEnd w:id="36"/>
      <w:bookmarkEnd w:id="37"/>
    </w:p>
    <w:p w14:paraId="5DA33023">
      <w:pPr>
        <w:spacing w:line="360" w:lineRule="auto"/>
        <w:ind w:firstLine="480" w:firstLineChars="200"/>
        <w:rPr>
          <w:rFonts w:ascii="宋体" w:hAnsi="宋体" w:cs="宋体"/>
          <w:sz w:val="24"/>
        </w:rPr>
      </w:pPr>
      <w:r>
        <w:rPr>
          <w:rFonts w:hint="eastAsia" w:ascii="宋体" w:hAnsi="宋体" w:cs="宋体"/>
          <w:sz w:val="24"/>
        </w:rPr>
        <w:t>2.1 “采购”系指以合同方式有偿取得货物、工程和服务的行为，包括购买、租赁、委托、雇用等。</w:t>
      </w:r>
    </w:p>
    <w:p w14:paraId="4FA22012">
      <w:pPr>
        <w:spacing w:line="360" w:lineRule="auto"/>
        <w:ind w:firstLine="480" w:firstLineChars="200"/>
        <w:rPr>
          <w:rFonts w:ascii="宋体" w:hAnsi="宋体" w:cs="宋体"/>
          <w:sz w:val="24"/>
        </w:rPr>
      </w:pPr>
      <w:r>
        <w:rPr>
          <w:rFonts w:hint="eastAsia" w:ascii="宋体" w:hAnsi="宋体" w:cs="宋体"/>
          <w:sz w:val="24"/>
        </w:rPr>
        <w:t>2.2 “购买服务”，是指通过发挥市场机制作用，把政府直接提供的一部分公共服务事项以及政府履职所需服务事项，按照一定的方式和程序，交由具备条件的社会力量和事业单位承担，并由政府根据合同约定向其支付费用。</w:t>
      </w:r>
    </w:p>
    <w:p w14:paraId="2898E765">
      <w:pPr>
        <w:spacing w:line="360" w:lineRule="auto"/>
        <w:ind w:firstLine="480" w:firstLineChars="200"/>
        <w:rPr>
          <w:rFonts w:ascii="宋体" w:hAnsi="宋体" w:cs="宋体"/>
          <w:sz w:val="24"/>
        </w:rPr>
      </w:pPr>
      <w:r>
        <w:rPr>
          <w:rFonts w:hint="eastAsia" w:ascii="宋体" w:hAnsi="宋体" w:cs="宋体"/>
          <w:sz w:val="24"/>
        </w:rPr>
        <w:t>2.3 “采购人”系指本次项目的购买主体。</w:t>
      </w:r>
    </w:p>
    <w:p w14:paraId="2FCF9E74">
      <w:pPr>
        <w:spacing w:line="360" w:lineRule="auto"/>
        <w:ind w:firstLine="480" w:firstLineChars="200"/>
        <w:rPr>
          <w:rFonts w:ascii="宋体" w:hAnsi="宋体" w:cs="宋体"/>
          <w:sz w:val="24"/>
        </w:rPr>
      </w:pPr>
      <w:r>
        <w:rPr>
          <w:rFonts w:hint="eastAsia" w:ascii="宋体" w:hAnsi="宋体" w:cs="宋体"/>
          <w:sz w:val="24"/>
        </w:rPr>
        <w:t>2.4 “采购单位”系指组织本次采购活动的采购人或采购代理机构。</w:t>
      </w:r>
    </w:p>
    <w:p w14:paraId="3883BC9E">
      <w:pPr>
        <w:spacing w:line="360" w:lineRule="auto"/>
        <w:ind w:firstLine="480" w:firstLineChars="200"/>
        <w:rPr>
          <w:rFonts w:ascii="宋体" w:hAnsi="宋体" w:cs="宋体"/>
          <w:sz w:val="24"/>
        </w:rPr>
      </w:pPr>
      <w:r>
        <w:rPr>
          <w:rFonts w:hint="eastAsia" w:ascii="宋体" w:hAnsi="宋体" w:cs="宋体"/>
          <w:sz w:val="24"/>
        </w:rPr>
        <w:t>2.5 “采购代理机构”系指本次采购项目活动组织方。</w:t>
      </w:r>
    </w:p>
    <w:p w14:paraId="08F09BD5">
      <w:pPr>
        <w:spacing w:line="360" w:lineRule="auto"/>
        <w:ind w:firstLine="480" w:firstLineChars="200"/>
        <w:rPr>
          <w:rFonts w:ascii="宋体" w:hAnsi="宋体" w:cs="宋体"/>
          <w:sz w:val="24"/>
        </w:rPr>
      </w:pPr>
      <w:r>
        <w:rPr>
          <w:rFonts w:hint="eastAsia" w:ascii="宋体" w:hAnsi="宋体" w:cs="宋体"/>
          <w:sz w:val="24"/>
        </w:rPr>
        <w:t>2.6 “供应商”系指购买了本磋商文件，且已经提交或者准备提交本次响应文件的承接主体。</w:t>
      </w:r>
    </w:p>
    <w:p w14:paraId="13BF4FB7">
      <w:pPr>
        <w:spacing w:line="360" w:lineRule="auto"/>
        <w:ind w:firstLine="480" w:firstLineChars="200"/>
        <w:rPr>
          <w:rFonts w:ascii="宋体" w:hAnsi="宋体" w:cs="宋体"/>
          <w:sz w:val="24"/>
        </w:rPr>
      </w:pPr>
      <w:r>
        <w:rPr>
          <w:rFonts w:hint="eastAsia" w:ascii="宋体" w:hAnsi="宋体" w:cs="宋体"/>
          <w:sz w:val="24"/>
        </w:rPr>
        <w:t>2.7 “成交人”系指参加了本项目的磋商采购，经评审并确认为本项目的承接主体。</w:t>
      </w:r>
    </w:p>
    <w:p w14:paraId="1D790CBF">
      <w:pPr>
        <w:snapToGrid w:val="0"/>
        <w:spacing w:line="360" w:lineRule="auto"/>
        <w:rPr>
          <w:rFonts w:ascii="宋体" w:hAnsi="宋体" w:cs="宋体"/>
          <w:b/>
          <w:sz w:val="24"/>
          <w:szCs w:val="24"/>
        </w:rPr>
      </w:pPr>
      <w:bookmarkStart w:id="38" w:name="_Toc289_WPSOffice_Level3"/>
      <w:bookmarkStart w:id="39" w:name="_Toc21951_WPSOffice_Level3"/>
      <w:r>
        <w:rPr>
          <w:rFonts w:hint="eastAsia" w:ascii="宋体" w:hAnsi="宋体" w:cs="宋体"/>
          <w:b/>
          <w:sz w:val="24"/>
          <w:szCs w:val="24"/>
        </w:rPr>
        <w:t xml:space="preserve">3. </w:t>
      </w:r>
      <w:bookmarkStart w:id="40" w:name="合格的投标人"/>
      <w:r>
        <w:rPr>
          <w:rFonts w:hint="eastAsia" w:ascii="宋体" w:hAnsi="宋体" w:cs="宋体"/>
          <w:b/>
          <w:sz w:val="24"/>
          <w:szCs w:val="24"/>
        </w:rPr>
        <w:t>合格的</w:t>
      </w:r>
      <w:bookmarkEnd w:id="38"/>
      <w:bookmarkEnd w:id="39"/>
      <w:bookmarkEnd w:id="40"/>
      <w:r>
        <w:rPr>
          <w:rFonts w:hint="eastAsia" w:ascii="宋体" w:hAnsi="宋体" w:cs="宋体"/>
          <w:b/>
          <w:sz w:val="24"/>
          <w:szCs w:val="24"/>
        </w:rPr>
        <w:t>供应商</w:t>
      </w:r>
    </w:p>
    <w:p w14:paraId="757A0BA6">
      <w:pPr>
        <w:snapToGrid w:val="0"/>
        <w:spacing w:line="360" w:lineRule="auto"/>
        <w:ind w:firstLine="480" w:firstLineChars="200"/>
        <w:rPr>
          <w:rFonts w:ascii="宋体" w:hAnsi="宋体" w:cs="宋体"/>
          <w:sz w:val="24"/>
          <w:szCs w:val="24"/>
        </w:rPr>
      </w:pPr>
      <w:r>
        <w:rPr>
          <w:rFonts w:hint="eastAsia" w:ascii="宋体" w:hAnsi="宋体" w:cs="宋体"/>
          <w:sz w:val="24"/>
        </w:rPr>
        <w:t>3.1</w:t>
      </w:r>
      <w:r>
        <w:rPr>
          <w:rFonts w:hint="eastAsia" w:ascii="宋体" w:hAnsi="宋体" w:cs="宋体"/>
          <w:sz w:val="24"/>
          <w:szCs w:val="24"/>
        </w:rPr>
        <w:t>具备相关法律法规、行政规章条例和本磋商文件中规定的参加采购活动应当具备的条件的境内法人单位均可能成为合格的供应商。</w:t>
      </w:r>
    </w:p>
    <w:p w14:paraId="27D90778">
      <w:pPr>
        <w:spacing w:line="360" w:lineRule="auto"/>
        <w:ind w:firstLine="480" w:firstLineChars="200"/>
        <w:rPr>
          <w:rFonts w:ascii="宋体" w:hAnsi="宋体" w:cs="宋体"/>
          <w:sz w:val="24"/>
          <w:szCs w:val="24"/>
        </w:rPr>
      </w:pPr>
      <w:r>
        <w:rPr>
          <w:rFonts w:hint="eastAsia" w:ascii="宋体" w:hAnsi="宋体" w:cs="宋体"/>
          <w:sz w:val="24"/>
          <w:szCs w:val="24"/>
        </w:rPr>
        <w:t>3.2</w:t>
      </w:r>
      <w:r>
        <w:rPr>
          <w:rFonts w:hint="eastAsia" w:ascii="宋体" w:hAnsi="宋体" w:cs="宋体"/>
          <w:sz w:val="24"/>
        </w:rPr>
        <w:t>供应商</w:t>
      </w:r>
      <w:r>
        <w:rPr>
          <w:rFonts w:hint="eastAsia" w:ascii="宋体" w:hAnsi="宋体" w:cs="宋体"/>
          <w:sz w:val="24"/>
          <w:szCs w:val="24"/>
        </w:rPr>
        <w:t>应遵守中国的有关法律、法规和规章的规定。</w:t>
      </w:r>
    </w:p>
    <w:p w14:paraId="62DCF7E0">
      <w:pPr>
        <w:spacing w:line="360" w:lineRule="auto"/>
        <w:ind w:firstLine="600" w:firstLineChars="250"/>
        <w:rPr>
          <w:rFonts w:ascii="宋体" w:hAnsi="宋体" w:cs="宋体"/>
          <w:sz w:val="24"/>
          <w:szCs w:val="24"/>
        </w:rPr>
      </w:pPr>
      <w:r>
        <w:rPr>
          <w:rFonts w:hint="eastAsia" w:ascii="宋体" w:hAnsi="宋体" w:cs="宋体"/>
          <w:sz w:val="24"/>
          <w:szCs w:val="24"/>
        </w:rPr>
        <w:t>a具有独立承担民事责任的能力；</w:t>
      </w:r>
    </w:p>
    <w:p w14:paraId="3C0272DC">
      <w:pPr>
        <w:spacing w:line="360" w:lineRule="auto"/>
        <w:ind w:firstLine="600" w:firstLineChars="250"/>
        <w:rPr>
          <w:rFonts w:ascii="宋体" w:hAnsi="宋体" w:cs="宋体"/>
          <w:sz w:val="24"/>
          <w:szCs w:val="24"/>
        </w:rPr>
      </w:pPr>
      <w:r>
        <w:rPr>
          <w:rFonts w:hint="eastAsia" w:ascii="宋体" w:hAnsi="宋体" w:cs="宋体"/>
          <w:sz w:val="24"/>
          <w:szCs w:val="24"/>
        </w:rPr>
        <w:t>b具有良好的商业信誉和健全的财务会计制度；</w:t>
      </w:r>
    </w:p>
    <w:p w14:paraId="2694A04B">
      <w:pPr>
        <w:spacing w:line="360" w:lineRule="auto"/>
        <w:ind w:firstLine="600" w:firstLineChars="250"/>
        <w:rPr>
          <w:rFonts w:ascii="宋体" w:hAnsi="宋体" w:cs="宋体"/>
          <w:sz w:val="24"/>
          <w:szCs w:val="24"/>
        </w:rPr>
      </w:pPr>
      <w:r>
        <w:rPr>
          <w:rFonts w:hint="eastAsia" w:ascii="宋体" w:hAnsi="宋体" w:cs="宋体"/>
          <w:sz w:val="24"/>
          <w:szCs w:val="24"/>
        </w:rPr>
        <w:t>c具有履行合同所必需的设备和专业技术能力；</w:t>
      </w:r>
    </w:p>
    <w:p w14:paraId="4C62F835">
      <w:pPr>
        <w:spacing w:line="360" w:lineRule="auto"/>
        <w:ind w:firstLine="600" w:firstLineChars="250"/>
        <w:rPr>
          <w:rFonts w:ascii="宋体" w:hAnsi="宋体" w:cs="宋体"/>
          <w:sz w:val="24"/>
          <w:szCs w:val="24"/>
        </w:rPr>
      </w:pPr>
      <w:r>
        <w:rPr>
          <w:rFonts w:hint="eastAsia" w:ascii="宋体" w:hAnsi="宋体" w:cs="宋体"/>
          <w:sz w:val="24"/>
          <w:szCs w:val="24"/>
        </w:rPr>
        <w:t>d有依法缴纳税收和社会保障资金的良好记录；</w:t>
      </w:r>
    </w:p>
    <w:p w14:paraId="181F649E">
      <w:pPr>
        <w:spacing w:line="360" w:lineRule="auto"/>
        <w:ind w:firstLine="600" w:firstLineChars="250"/>
        <w:rPr>
          <w:rFonts w:ascii="宋体" w:hAnsi="宋体" w:cs="宋体"/>
          <w:sz w:val="24"/>
          <w:szCs w:val="24"/>
        </w:rPr>
      </w:pPr>
      <w:r>
        <w:rPr>
          <w:rFonts w:hint="eastAsia" w:ascii="宋体" w:hAnsi="宋体" w:cs="宋体"/>
          <w:sz w:val="24"/>
          <w:szCs w:val="24"/>
        </w:rPr>
        <w:t>e参加政府采购活动前三年内，在经营活动中没有重大违法记录；</w:t>
      </w:r>
    </w:p>
    <w:p w14:paraId="7CA4064A">
      <w:pPr>
        <w:spacing w:line="360" w:lineRule="auto"/>
        <w:ind w:firstLine="600" w:firstLineChars="250"/>
        <w:rPr>
          <w:rFonts w:ascii="宋体" w:hAnsi="宋体" w:cs="宋体"/>
          <w:sz w:val="24"/>
          <w:szCs w:val="24"/>
        </w:rPr>
      </w:pPr>
      <w:r>
        <w:rPr>
          <w:rFonts w:hint="eastAsia" w:ascii="宋体" w:hAnsi="宋体" w:cs="宋体"/>
          <w:sz w:val="24"/>
          <w:szCs w:val="24"/>
        </w:rPr>
        <w:t>f法律、行政法规规定的其它条件。</w:t>
      </w:r>
    </w:p>
    <w:p w14:paraId="5FC65088">
      <w:pPr>
        <w:spacing w:line="360" w:lineRule="auto"/>
        <w:ind w:firstLine="480" w:firstLineChars="200"/>
        <w:rPr>
          <w:rFonts w:ascii="宋体" w:hAnsi="宋体" w:cs="宋体"/>
          <w:sz w:val="24"/>
          <w:szCs w:val="24"/>
        </w:rPr>
      </w:pPr>
      <w:r>
        <w:rPr>
          <w:rFonts w:hint="eastAsia" w:ascii="宋体" w:hAnsi="宋体" w:cs="宋体"/>
          <w:sz w:val="24"/>
          <w:szCs w:val="24"/>
        </w:rPr>
        <w:t>3.3一个</w:t>
      </w:r>
      <w:r>
        <w:rPr>
          <w:rFonts w:hint="eastAsia" w:ascii="宋体" w:hAnsi="宋体" w:cs="宋体"/>
          <w:sz w:val="24"/>
        </w:rPr>
        <w:t>供应商</w:t>
      </w:r>
      <w:r>
        <w:rPr>
          <w:rFonts w:hint="eastAsia" w:ascii="宋体" w:hAnsi="宋体" w:cs="宋体"/>
          <w:sz w:val="24"/>
          <w:szCs w:val="24"/>
        </w:rPr>
        <w:t>只能提交一个响应文件。但如果</w:t>
      </w:r>
      <w:r>
        <w:rPr>
          <w:rFonts w:hint="eastAsia" w:ascii="宋体" w:hAnsi="宋体" w:cs="宋体"/>
          <w:sz w:val="24"/>
        </w:rPr>
        <w:t>供应商</w:t>
      </w:r>
      <w:r>
        <w:rPr>
          <w:rFonts w:hint="eastAsia" w:ascii="宋体" w:hAnsi="宋体" w:cs="宋体"/>
          <w:sz w:val="24"/>
          <w:szCs w:val="24"/>
        </w:rPr>
        <w:t>之间存在下列互为关联关系的情形之一的，不得同时参加本项目磋商：</w:t>
      </w:r>
    </w:p>
    <w:p w14:paraId="17048A67">
      <w:pPr>
        <w:pStyle w:val="230"/>
        <w:spacing w:line="360" w:lineRule="auto"/>
        <w:ind w:firstLine="480" w:firstLineChars="200"/>
        <w:rPr>
          <w:rFonts w:ascii="宋体" w:hAnsi="宋体" w:cs="宋体"/>
          <w:sz w:val="24"/>
        </w:rPr>
      </w:pPr>
      <w:r>
        <w:rPr>
          <w:rFonts w:hint="eastAsia" w:ascii="宋体" w:hAnsi="宋体" w:cs="宋体"/>
          <w:sz w:val="24"/>
        </w:rPr>
        <w:t>(1) 法定代表人为同一人的两个及两个以上法人；</w:t>
      </w:r>
    </w:p>
    <w:p w14:paraId="60E55449">
      <w:pPr>
        <w:pStyle w:val="230"/>
        <w:spacing w:line="360" w:lineRule="auto"/>
        <w:ind w:firstLine="480" w:firstLineChars="200"/>
        <w:rPr>
          <w:rFonts w:ascii="宋体" w:hAnsi="宋体" w:cs="宋体"/>
          <w:sz w:val="24"/>
        </w:rPr>
      </w:pPr>
      <w:r>
        <w:rPr>
          <w:rFonts w:hint="eastAsia" w:ascii="宋体" w:hAnsi="宋体" w:cs="宋体"/>
          <w:sz w:val="24"/>
        </w:rPr>
        <w:t>(2) 母公司、直接或间接持股50％及以上的被投资公司；</w:t>
      </w:r>
    </w:p>
    <w:p w14:paraId="4A1A3E7E">
      <w:pPr>
        <w:pStyle w:val="230"/>
        <w:spacing w:line="360" w:lineRule="auto"/>
        <w:ind w:firstLine="480" w:firstLineChars="200"/>
        <w:rPr>
          <w:rFonts w:ascii="宋体" w:hAnsi="宋体" w:cs="宋体"/>
          <w:sz w:val="24"/>
        </w:rPr>
      </w:pPr>
      <w:r>
        <w:rPr>
          <w:rFonts w:hint="eastAsia" w:ascii="宋体" w:hAnsi="宋体" w:cs="宋体"/>
          <w:sz w:val="24"/>
        </w:rPr>
        <w:t>(3) 均为同一家母公司直接或间接持股50％及以上的被投资公司。</w:t>
      </w:r>
    </w:p>
    <w:p w14:paraId="1F54D1BC">
      <w:pPr>
        <w:pStyle w:val="230"/>
        <w:spacing w:line="360" w:lineRule="auto"/>
        <w:ind w:firstLine="480" w:firstLineChars="200"/>
        <w:rPr>
          <w:rFonts w:ascii="宋体" w:hAnsi="宋体" w:cs="宋体"/>
          <w:sz w:val="24"/>
        </w:rPr>
      </w:pPr>
      <w:r>
        <w:rPr>
          <w:rFonts w:hint="eastAsia" w:ascii="宋体" w:hAnsi="宋体" w:cs="宋体"/>
          <w:sz w:val="24"/>
        </w:rPr>
        <w:t>3.4供应商不得与本次采购项下设计、编制技术规格和其它文件的公司或提供咨询服务的公司包括其附属机构有任何关联。</w:t>
      </w:r>
    </w:p>
    <w:p w14:paraId="7EA58D73">
      <w:pPr>
        <w:spacing w:line="360" w:lineRule="auto"/>
        <w:ind w:firstLine="480" w:firstLineChars="200"/>
        <w:rPr>
          <w:rFonts w:ascii="宋体" w:hAnsi="宋体" w:cs="宋体"/>
          <w:sz w:val="24"/>
          <w:szCs w:val="24"/>
        </w:rPr>
      </w:pPr>
      <w:r>
        <w:rPr>
          <w:rFonts w:hint="eastAsia" w:ascii="宋体" w:hAnsi="宋体" w:cs="宋体"/>
          <w:sz w:val="24"/>
          <w:szCs w:val="24"/>
        </w:rPr>
        <w:t>3.5本项目拒绝联合体参加磋商。</w:t>
      </w:r>
    </w:p>
    <w:p w14:paraId="3988430F">
      <w:pPr>
        <w:pStyle w:val="230"/>
        <w:spacing w:line="360" w:lineRule="auto"/>
        <w:rPr>
          <w:rFonts w:ascii="宋体" w:hAnsi="宋体" w:cs="宋体"/>
          <w:sz w:val="24"/>
        </w:rPr>
      </w:pPr>
      <w:r>
        <w:rPr>
          <w:rFonts w:hint="eastAsia" w:ascii="宋体" w:hAnsi="宋体" w:cs="宋体"/>
          <w:sz w:val="24"/>
        </w:rPr>
        <w:t xml:space="preserve">    3.6报价授权代表人在同一个项目中只能接受一个供应商的委托参加磋商。</w:t>
      </w:r>
    </w:p>
    <w:p w14:paraId="5772FE4B">
      <w:pPr>
        <w:snapToGrid w:val="0"/>
        <w:spacing w:line="360" w:lineRule="auto"/>
        <w:ind w:firstLine="480" w:firstLineChars="200"/>
        <w:rPr>
          <w:rFonts w:ascii="宋体" w:hAnsi="宋体" w:cs="宋体"/>
          <w:sz w:val="24"/>
          <w:szCs w:val="24"/>
        </w:rPr>
      </w:pPr>
      <w:r>
        <w:rPr>
          <w:rFonts w:hint="eastAsia" w:ascii="宋体" w:hAnsi="宋体" w:cs="宋体"/>
          <w:sz w:val="24"/>
          <w:szCs w:val="24"/>
        </w:rPr>
        <w:t>3.7</w:t>
      </w:r>
      <w:r>
        <w:rPr>
          <w:rFonts w:hint="eastAsia" w:ascii="宋体" w:hAnsi="宋体" w:cs="宋体"/>
          <w:sz w:val="24"/>
        </w:rPr>
        <w:t>在本项目竞争性磋商公告发布后、磋商截止时间止，经在“信用中国”网站（www.creditchina.gov.cn）、中国政府采购网（www.ccgp.gov.cn）查询，未列入失信被执行人、重大税收违法案件当事人、政府采购严重违法失信行为记录名单。</w:t>
      </w:r>
    </w:p>
    <w:p w14:paraId="27C3EA49">
      <w:pPr>
        <w:snapToGrid w:val="0"/>
        <w:spacing w:line="360" w:lineRule="auto"/>
        <w:rPr>
          <w:rFonts w:ascii="宋体" w:hAnsi="宋体" w:cs="宋体"/>
          <w:b/>
          <w:sz w:val="24"/>
        </w:rPr>
      </w:pPr>
      <w:bookmarkStart w:id="41" w:name="_Toc21776_WPSOffice_Level3"/>
      <w:bookmarkStart w:id="42" w:name="_Toc28645_WPSOffice_Level3"/>
      <w:r>
        <w:rPr>
          <w:rFonts w:hint="eastAsia" w:ascii="宋体" w:hAnsi="宋体" w:cs="宋体"/>
          <w:b/>
          <w:sz w:val="24"/>
        </w:rPr>
        <w:t xml:space="preserve">4. </w:t>
      </w:r>
      <w:bookmarkStart w:id="43" w:name="投标费用"/>
      <w:r>
        <w:rPr>
          <w:rFonts w:hint="eastAsia" w:ascii="宋体" w:hAnsi="宋体" w:cs="宋体"/>
          <w:b/>
          <w:sz w:val="24"/>
        </w:rPr>
        <w:t>报价费用</w:t>
      </w:r>
      <w:bookmarkEnd w:id="41"/>
      <w:bookmarkEnd w:id="42"/>
      <w:bookmarkEnd w:id="43"/>
    </w:p>
    <w:p w14:paraId="316A941D">
      <w:pPr>
        <w:snapToGrid w:val="0"/>
        <w:spacing w:line="360" w:lineRule="auto"/>
        <w:ind w:firstLine="480"/>
        <w:rPr>
          <w:rFonts w:ascii="宋体" w:hAnsi="宋体" w:cs="宋体"/>
          <w:sz w:val="24"/>
        </w:rPr>
      </w:pPr>
      <w:r>
        <w:rPr>
          <w:rFonts w:hint="eastAsia" w:ascii="宋体" w:hAnsi="宋体" w:cs="宋体"/>
          <w:sz w:val="24"/>
        </w:rPr>
        <w:t>4.1 供应商自行承担其参加报价所涉及的一切费用。</w:t>
      </w:r>
    </w:p>
    <w:p w14:paraId="12EEC70D">
      <w:pPr>
        <w:snapToGrid w:val="0"/>
        <w:spacing w:line="360" w:lineRule="auto"/>
        <w:ind w:firstLine="480"/>
        <w:rPr>
          <w:rFonts w:ascii="宋体" w:hAnsi="宋体" w:cs="宋体"/>
          <w:sz w:val="24"/>
        </w:rPr>
      </w:pPr>
    </w:p>
    <w:p w14:paraId="40E3ABF4">
      <w:pPr>
        <w:pStyle w:val="27"/>
        <w:snapToGrid w:val="0"/>
        <w:spacing w:line="360" w:lineRule="auto"/>
        <w:jc w:val="center"/>
        <w:outlineLvl w:val="1"/>
        <w:rPr>
          <w:rFonts w:hAnsi="宋体" w:cs="宋体"/>
          <w:b/>
          <w:sz w:val="28"/>
        </w:rPr>
      </w:pPr>
      <w:bookmarkStart w:id="44" w:name="_Toc26975_WPSOffice_Level2"/>
      <w:bookmarkStart w:id="45" w:name="_Toc12767_WPSOffice_Level2"/>
      <w:bookmarkStart w:id="46" w:name="_Toc15484"/>
      <w:r>
        <w:rPr>
          <w:rFonts w:hint="eastAsia" w:hAnsi="宋体" w:cs="宋体"/>
          <w:b/>
          <w:sz w:val="28"/>
        </w:rPr>
        <w:t>二、  竞争性磋商文件</w:t>
      </w:r>
      <w:bookmarkEnd w:id="44"/>
      <w:bookmarkEnd w:id="45"/>
      <w:bookmarkEnd w:id="46"/>
    </w:p>
    <w:p w14:paraId="3C52E518">
      <w:pPr>
        <w:snapToGrid w:val="0"/>
        <w:spacing w:line="360" w:lineRule="auto"/>
        <w:rPr>
          <w:rFonts w:ascii="宋体" w:hAnsi="宋体" w:cs="宋体"/>
          <w:b/>
          <w:sz w:val="24"/>
        </w:rPr>
      </w:pPr>
      <w:bookmarkStart w:id="47" w:name="_Toc28185_WPSOffice_Level3"/>
      <w:bookmarkStart w:id="48" w:name="_Toc14798_WPSOffice_Level3"/>
      <w:r>
        <w:rPr>
          <w:rFonts w:hint="eastAsia" w:ascii="宋体" w:hAnsi="宋体" w:cs="宋体"/>
          <w:b/>
          <w:sz w:val="24"/>
        </w:rPr>
        <w:t xml:space="preserve">5. </w:t>
      </w:r>
      <w:bookmarkStart w:id="49" w:name="招标文件的组成"/>
      <w:r>
        <w:rPr>
          <w:rFonts w:hint="eastAsia" w:ascii="宋体" w:hAnsi="宋体" w:cs="宋体"/>
          <w:b/>
          <w:sz w:val="24"/>
        </w:rPr>
        <w:t>竞争性磋商文件的组成</w:t>
      </w:r>
      <w:bookmarkEnd w:id="47"/>
      <w:bookmarkEnd w:id="48"/>
      <w:bookmarkEnd w:id="49"/>
    </w:p>
    <w:p w14:paraId="668760C8">
      <w:pPr>
        <w:snapToGrid w:val="0"/>
        <w:spacing w:line="360" w:lineRule="auto"/>
        <w:ind w:firstLine="523" w:firstLineChars="218"/>
        <w:rPr>
          <w:rFonts w:ascii="宋体" w:hAnsi="宋体" w:cs="宋体"/>
          <w:sz w:val="24"/>
        </w:rPr>
      </w:pPr>
      <w:r>
        <w:rPr>
          <w:rFonts w:hint="eastAsia" w:ascii="宋体" w:hAnsi="宋体" w:cs="宋体"/>
          <w:sz w:val="24"/>
        </w:rPr>
        <w:t>5.1竞争性磋商文件用以阐明所需货物及服务采购程序和合同主要条款。竞争性磋商文件由下述部分组成：</w:t>
      </w:r>
    </w:p>
    <w:p w14:paraId="1CA51CEE">
      <w:pPr>
        <w:snapToGrid w:val="0"/>
        <w:spacing w:line="360" w:lineRule="auto"/>
        <w:ind w:firstLine="523" w:firstLineChars="218"/>
        <w:rPr>
          <w:rFonts w:ascii="宋体" w:hAnsi="宋体" w:cs="宋体"/>
          <w:sz w:val="24"/>
        </w:rPr>
      </w:pPr>
      <w:r>
        <w:rPr>
          <w:rFonts w:hint="eastAsia" w:ascii="宋体" w:hAnsi="宋体" w:cs="宋体"/>
          <w:sz w:val="24"/>
        </w:rPr>
        <w:t>⑴ 磋商邀请</w:t>
      </w:r>
    </w:p>
    <w:p w14:paraId="5B14E75E">
      <w:pPr>
        <w:snapToGrid w:val="0"/>
        <w:spacing w:line="360" w:lineRule="auto"/>
        <w:ind w:firstLine="523" w:firstLineChars="218"/>
        <w:rPr>
          <w:rFonts w:ascii="宋体" w:hAnsi="宋体" w:cs="宋体"/>
          <w:sz w:val="24"/>
        </w:rPr>
      </w:pPr>
      <w:r>
        <w:rPr>
          <w:rFonts w:hint="eastAsia" w:ascii="宋体" w:hAnsi="宋体" w:cs="宋体"/>
          <w:sz w:val="24"/>
        </w:rPr>
        <w:t>⑵ 供应商须知</w:t>
      </w:r>
    </w:p>
    <w:p w14:paraId="4AECFC69">
      <w:pPr>
        <w:snapToGrid w:val="0"/>
        <w:spacing w:line="360" w:lineRule="auto"/>
        <w:ind w:firstLine="523" w:firstLineChars="218"/>
        <w:rPr>
          <w:rFonts w:ascii="宋体" w:hAnsi="宋体" w:cs="宋体"/>
          <w:sz w:val="24"/>
        </w:rPr>
      </w:pPr>
      <w:r>
        <w:rPr>
          <w:rFonts w:hint="eastAsia" w:ascii="宋体" w:hAnsi="宋体" w:cs="宋体"/>
          <w:sz w:val="24"/>
        </w:rPr>
        <w:t>⑶ 采购内容及要求</w:t>
      </w:r>
    </w:p>
    <w:p w14:paraId="7851F9C9">
      <w:pPr>
        <w:snapToGrid w:val="0"/>
        <w:spacing w:line="360" w:lineRule="auto"/>
        <w:ind w:firstLine="523" w:firstLineChars="218"/>
        <w:rPr>
          <w:rFonts w:ascii="宋体" w:hAnsi="宋体" w:cs="宋体"/>
          <w:sz w:val="24"/>
        </w:rPr>
      </w:pPr>
      <w:r>
        <w:rPr>
          <w:rFonts w:hint="eastAsia" w:ascii="宋体" w:hAnsi="宋体" w:cs="宋体"/>
          <w:sz w:val="24"/>
        </w:rPr>
        <w:t>⑷ 合同主要条款</w:t>
      </w:r>
    </w:p>
    <w:p w14:paraId="173C40F7">
      <w:pPr>
        <w:snapToGrid w:val="0"/>
        <w:spacing w:line="360" w:lineRule="auto"/>
        <w:ind w:firstLine="523" w:firstLineChars="218"/>
        <w:rPr>
          <w:rFonts w:ascii="宋体" w:hAnsi="宋体" w:cs="宋体"/>
          <w:sz w:val="24"/>
        </w:rPr>
      </w:pPr>
      <w:r>
        <w:rPr>
          <w:rFonts w:hint="eastAsia" w:ascii="宋体" w:hAnsi="宋体" w:cs="宋体"/>
          <w:sz w:val="24"/>
        </w:rPr>
        <w:t>⑸ 响应文件格式</w:t>
      </w:r>
    </w:p>
    <w:p w14:paraId="5F1915F1">
      <w:pPr>
        <w:snapToGrid w:val="0"/>
        <w:spacing w:line="360" w:lineRule="auto"/>
        <w:rPr>
          <w:rFonts w:ascii="宋体" w:hAnsi="宋体" w:cs="宋体"/>
          <w:b/>
          <w:sz w:val="24"/>
        </w:rPr>
      </w:pPr>
      <w:bookmarkStart w:id="50" w:name="_Toc430488644"/>
      <w:bookmarkStart w:id="51" w:name="_Toc430488851"/>
      <w:bookmarkStart w:id="52" w:name="_Toc430422413"/>
      <w:bookmarkStart w:id="53" w:name="_Toc430489119"/>
      <w:bookmarkStart w:id="54" w:name="_Toc430492126"/>
      <w:bookmarkStart w:id="55" w:name="_Toc415567497"/>
      <w:bookmarkStart w:id="56" w:name="_Toc430490612"/>
      <w:bookmarkStart w:id="57" w:name="_Toc3675_WPSOffice_Level3"/>
      <w:bookmarkStart w:id="58" w:name="_Toc29096_WPSOffice_Level3"/>
      <w:r>
        <w:rPr>
          <w:rFonts w:hint="eastAsia" w:ascii="宋体" w:hAnsi="宋体" w:cs="宋体"/>
          <w:b/>
          <w:sz w:val="24"/>
        </w:rPr>
        <w:t>6.</w:t>
      </w:r>
      <w:bookmarkEnd w:id="50"/>
      <w:bookmarkEnd w:id="51"/>
      <w:bookmarkEnd w:id="52"/>
      <w:bookmarkEnd w:id="53"/>
      <w:bookmarkEnd w:id="54"/>
      <w:bookmarkEnd w:id="55"/>
      <w:bookmarkEnd w:id="56"/>
      <w:bookmarkStart w:id="59" w:name="招标文件的澄清"/>
      <w:r>
        <w:rPr>
          <w:rFonts w:hint="eastAsia" w:ascii="宋体" w:hAnsi="宋体" w:cs="宋体"/>
          <w:b/>
          <w:sz w:val="24"/>
        </w:rPr>
        <w:t>竞争性磋商文件的澄清</w:t>
      </w:r>
      <w:bookmarkEnd w:id="57"/>
      <w:bookmarkEnd w:id="58"/>
      <w:bookmarkEnd w:id="59"/>
    </w:p>
    <w:p w14:paraId="3F712351">
      <w:pPr>
        <w:snapToGrid w:val="0"/>
        <w:spacing w:line="360" w:lineRule="auto"/>
        <w:ind w:firstLine="420" w:firstLineChars="175"/>
        <w:rPr>
          <w:rFonts w:ascii="宋体" w:hAnsi="宋体" w:cs="宋体"/>
          <w:sz w:val="24"/>
        </w:rPr>
      </w:pPr>
      <w:r>
        <w:rPr>
          <w:rFonts w:hint="eastAsia" w:ascii="宋体" w:hAnsi="宋体" w:cs="宋体"/>
          <w:sz w:val="24"/>
        </w:rPr>
        <w:t>6.1供应商对竞争性磋商文件如有疑点，可要求澄清。要求澄清应按磋商邀请中载明的地址以书面形式通知采购代理机构。采购代理机构将视情况在响应文件递交截止时间5个日历日（如至原定截止时间不足5个日历日，则需延长提交响应文件截止时间）内将不标明来源的书面答复发给已购买竞争性磋商文件的所有供应商，并在采购信息发布的媒体上发布澄清公告。该澄清内容为竞争性磋商文件的组成部分。</w:t>
      </w:r>
    </w:p>
    <w:p w14:paraId="170062C1">
      <w:pPr>
        <w:snapToGrid w:val="0"/>
        <w:spacing w:line="360" w:lineRule="auto"/>
        <w:ind w:firstLine="420" w:firstLineChars="175"/>
        <w:rPr>
          <w:rFonts w:ascii="宋体" w:hAnsi="宋体" w:cs="宋体"/>
          <w:sz w:val="24"/>
        </w:rPr>
      </w:pPr>
      <w:r>
        <w:rPr>
          <w:rFonts w:hint="eastAsia" w:ascii="宋体" w:hAnsi="宋体" w:cs="宋体"/>
          <w:sz w:val="24"/>
        </w:rPr>
        <w:t>6.2供应商对本次采购活动事项提出疑问的，应在购买竞争性磋商文件之日起7个工作日内将问题以书面形式与本采购代理机构联系。</w:t>
      </w:r>
    </w:p>
    <w:p w14:paraId="1E371F15">
      <w:pPr>
        <w:snapToGrid w:val="0"/>
        <w:spacing w:line="360" w:lineRule="auto"/>
        <w:ind w:firstLine="420" w:firstLineChars="175"/>
        <w:rPr>
          <w:rFonts w:ascii="宋体" w:hAnsi="宋体" w:cs="宋体"/>
          <w:sz w:val="24"/>
        </w:rPr>
      </w:pPr>
      <w:r>
        <w:rPr>
          <w:rFonts w:hint="eastAsia" w:ascii="宋体" w:hAnsi="宋体" w:cs="宋体"/>
          <w:sz w:val="24"/>
        </w:rPr>
        <w:t>6.3供应商对竞争性磋商文件提出质疑，应在规定时间内提交由法定代表人或授权代表（提供授权函）签署的书面原件并携带相关资料及企业营业执照副本、税务登记证、组织机构代码证复印件（加盖供应商公章，原件备查，若无法提供原件或与原件不符的，视为虚假质疑）送达采购代理机构。</w:t>
      </w:r>
    </w:p>
    <w:p w14:paraId="7AAE203E">
      <w:pPr>
        <w:snapToGrid w:val="0"/>
        <w:spacing w:line="360" w:lineRule="auto"/>
        <w:ind w:firstLine="420" w:firstLineChars="175"/>
        <w:rPr>
          <w:rFonts w:ascii="宋体" w:hAnsi="宋体" w:cs="宋体"/>
          <w:sz w:val="24"/>
        </w:rPr>
      </w:pPr>
      <w:r>
        <w:rPr>
          <w:rFonts w:hint="eastAsia" w:ascii="宋体" w:hAnsi="宋体" w:cs="宋体"/>
          <w:sz w:val="24"/>
        </w:rPr>
        <w:t>6.4质疑的内容须提供事实依据，供应商在规定时间内未提出疑义的，视为认同本竞争性磋商文件中所有条款，今后将无权提出任何疑义。</w:t>
      </w:r>
    </w:p>
    <w:p w14:paraId="1870B1A6">
      <w:pPr>
        <w:snapToGrid w:val="0"/>
        <w:spacing w:line="360" w:lineRule="auto"/>
        <w:rPr>
          <w:rFonts w:ascii="宋体" w:hAnsi="宋体" w:cs="宋体"/>
          <w:b/>
          <w:sz w:val="24"/>
        </w:rPr>
      </w:pPr>
      <w:bookmarkStart w:id="60" w:name="_Toc430488645"/>
      <w:bookmarkStart w:id="61" w:name="_Toc430490613"/>
      <w:bookmarkStart w:id="62" w:name="_Toc430489120"/>
      <w:bookmarkStart w:id="63" w:name="_Toc2518_WPSOffice_Level3"/>
      <w:bookmarkStart w:id="64" w:name="_Toc430492127"/>
      <w:bookmarkStart w:id="65" w:name="_Toc430488852"/>
      <w:bookmarkStart w:id="66" w:name="_Toc415567498"/>
      <w:bookmarkStart w:id="67" w:name="_Toc28081_WPSOffice_Level3"/>
      <w:bookmarkStart w:id="68" w:name="_Toc430422414"/>
      <w:r>
        <w:rPr>
          <w:rFonts w:hint="eastAsia" w:ascii="宋体" w:hAnsi="宋体" w:cs="宋体"/>
          <w:b/>
          <w:sz w:val="24"/>
        </w:rPr>
        <w:t xml:space="preserve">7. </w:t>
      </w:r>
      <w:bookmarkStart w:id="69" w:name="招标文件的修改"/>
      <w:r>
        <w:rPr>
          <w:rFonts w:hint="eastAsia" w:ascii="宋体" w:hAnsi="宋体" w:cs="宋体"/>
          <w:b/>
          <w:sz w:val="24"/>
        </w:rPr>
        <w:t>竞争性磋商文件的修改</w:t>
      </w:r>
      <w:bookmarkEnd w:id="60"/>
      <w:bookmarkEnd w:id="61"/>
      <w:bookmarkEnd w:id="62"/>
      <w:bookmarkEnd w:id="63"/>
      <w:bookmarkEnd w:id="64"/>
      <w:bookmarkEnd w:id="65"/>
      <w:bookmarkEnd w:id="66"/>
      <w:bookmarkEnd w:id="67"/>
      <w:bookmarkEnd w:id="68"/>
      <w:bookmarkEnd w:id="69"/>
    </w:p>
    <w:p w14:paraId="6B24392D">
      <w:pPr>
        <w:snapToGrid w:val="0"/>
        <w:spacing w:line="360" w:lineRule="auto"/>
        <w:ind w:firstLine="420" w:firstLineChars="175"/>
        <w:rPr>
          <w:rFonts w:ascii="宋体" w:hAnsi="宋体" w:cs="宋体"/>
          <w:sz w:val="24"/>
        </w:rPr>
      </w:pPr>
      <w:r>
        <w:rPr>
          <w:rFonts w:hint="eastAsia" w:ascii="宋体" w:hAnsi="宋体" w:cs="宋体"/>
          <w:sz w:val="24"/>
        </w:rPr>
        <w:t>7.1至响应文件递交截止日期前5个日历日（如至原定截止时间不足5日，则需延长提交响应文件截止时间），采购代理机构可主动或依供应商要求澄清的问题而修改竞争性磋商文件，并在原信息发布的媒体上发布更正公告，并以书面形式通知所有供应商，供应商在收到该通知后应立即以电报或传真的形式予以确认。该修改内容为竞争性磋商文件的组成部分，对供应商具有约束力。但本须知第7.2条规定的推迟响应文件递交截止时间不受本条约束。</w:t>
      </w:r>
    </w:p>
    <w:p w14:paraId="7870F6EC">
      <w:pPr>
        <w:snapToGrid w:val="0"/>
        <w:spacing w:line="360" w:lineRule="auto"/>
        <w:ind w:firstLine="420" w:firstLineChars="175"/>
        <w:rPr>
          <w:rFonts w:ascii="宋体" w:hAnsi="宋体" w:cs="宋体"/>
          <w:sz w:val="24"/>
        </w:rPr>
      </w:pPr>
      <w:r>
        <w:rPr>
          <w:rFonts w:hint="eastAsia" w:ascii="宋体" w:hAnsi="宋体" w:cs="宋体"/>
          <w:sz w:val="24"/>
        </w:rPr>
        <w:t>7.2 为使供应商在准备响应文件时有合理的时间考虑竞争性磋商文件的修改，采购代理机构可酌情推迟响应文件递交截止时间，但应当至少在响应文件递交截止时间三个日历日前将变更时间以书面形式通知所有供应商，并在采购信息发布的媒体上发布更正公告。该修改内容为竞争性磋商文件的组成部分。在此情况下，采购人和供应商受响应文件递交截止期制约的所有权利和义务均应延长至新的截止日期。</w:t>
      </w:r>
    </w:p>
    <w:p w14:paraId="2965E72D">
      <w:pPr>
        <w:snapToGrid w:val="0"/>
        <w:spacing w:line="360" w:lineRule="auto"/>
        <w:rPr>
          <w:rFonts w:ascii="宋体" w:hAnsi="宋体" w:cs="宋体"/>
          <w:sz w:val="24"/>
        </w:rPr>
      </w:pPr>
    </w:p>
    <w:p w14:paraId="360CAC32">
      <w:pPr>
        <w:pStyle w:val="27"/>
        <w:snapToGrid w:val="0"/>
        <w:spacing w:line="360" w:lineRule="auto"/>
        <w:jc w:val="center"/>
        <w:outlineLvl w:val="1"/>
        <w:rPr>
          <w:rFonts w:hAnsi="宋体" w:cs="宋体"/>
          <w:b/>
          <w:sz w:val="28"/>
        </w:rPr>
      </w:pPr>
      <w:bookmarkStart w:id="70" w:name="_Toc18475"/>
      <w:bookmarkStart w:id="71" w:name="_Toc29094_WPSOffice_Level2"/>
      <w:bookmarkStart w:id="72" w:name="_Toc12654_WPSOffice_Level2"/>
      <w:r>
        <w:rPr>
          <w:rFonts w:hint="eastAsia" w:hAnsi="宋体" w:cs="宋体"/>
          <w:b/>
          <w:sz w:val="28"/>
        </w:rPr>
        <w:t xml:space="preserve">三、  </w:t>
      </w:r>
      <w:bookmarkStart w:id="73" w:name="投标文件的编写"/>
      <w:r>
        <w:rPr>
          <w:rFonts w:hint="eastAsia" w:hAnsi="宋体" w:cs="宋体"/>
          <w:b/>
          <w:sz w:val="28"/>
        </w:rPr>
        <w:t>响应文件的编写</w:t>
      </w:r>
      <w:bookmarkEnd w:id="70"/>
      <w:bookmarkEnd w:id="71"/>
      <w:bookmarkEnd w:id="72"/>
      <w:bookmarkEnd w:id="73"/>
    </w:p>
    <w:p w14:paraId="322BDDD6">
      <w:pPr>
        <w:snapToGrid w:val="0"/>
        <w:spacing w:line="360" w:lineRule="auto"/>
        <w:rPr>
          <w:rFonts w:ascii="宋体" w:hAnsi="宋体" w:cs="宋体"/>
          <w:b/>
          <w:sz w:val="24"/>
        </w:rPr>
      </w:pPr>
      <w:bookmarkStart w:id="74" w:name="_Toc7229_WPSOffice_Level3"/>
      <w:bookmarkStart w:id="75" w:name="_Toc6408_WPSOffice_Level3"/>
      <w:r>
        <w:rPr>
          <w:rFonts w:hint="eastAsia" w:ascii="宋体" w:hAnsi="宋体" w:cs="宋体"/>
          <w:b/>
          <w:sz w:val="24"/>
        </w:rPr>
        <w:t xml:space="preserve">8. </w:t>
      </w:r>
      <w:bookmarkStart w:id="76" w:name="要求"/>
      <w:r>
        <w:rPr>
          <w:rFonts w:hint="eastAsia" w:ascii="宋体" w:hAnsi="宋体" w:cs="宋体"/>
          <w:b/>
          <w:sz w:val="24"/>
        </w:rPr>
        <w:t>要求</w:t>
      </w:r>
      <w:bookmarkEnd w:id="74"/>
      <w:bookmarkEnd w:id="75"/>
      <w:bookmarkEnd w:id="76"/>
    </w:p>
    <w:p w14:paraId="314B78BF">
      <w:pPr>
        <w:snapToGrid w:val="0"/>
        <w:spacing w:line="360" w:lineRule="auto"/>
        <w:ind w:firstLine="420" w:firstLineChars="175"/>
        <w:rPr>
          <w:rFonts w:ascii="宋体" w:hAnsi="宋体" w:cs="宋体"/>
          <w:sz w:val="24"/>
        </w:rPr>
      </w:pPr>
      <w:r>
        <w:rPr>
          <w:rFonts w:hint="eastAsia" w:ascii="宋体" w:hAnsi="宋体" w:cs="宋体"/>
          <w:sz w:val="24"/>
        </w:rPr>
        <w:t>8.1各供应商应仔细阅读竞争性磋商文件所有内容，按竞争性磋商文件的要求提供响应文件，并保证所提供的全部资料的真实性及准确性，以使其报价对竞争性磋商文件做出实质性响应。各供应商若提供虚假资料，一经发现将取消其全部保证金；虚假资料若在评审过程中发现，还将视为无效报价；若在评审后发现，还将取消其成交资格；并根据本文件和相关法律法规追究其相关责任。</w:t>
      </w:r>
    </w:p>
    <w:p w14:paraId="63A9F928">
      <w:pPr>
        <w:snapToGrid w:val="0"/>
        <w:spacing w:line="360" w:lineRule="auto"/>
        <w:ind w:firstLine="420" w:firstLineChars="175"/>
        <w:rPr>
          <w:rFonts w:ascii="宋体" w:hAnsi="宋体" w:cs="宋体"/>
          <w:sz w:val="24"/>
        </w:rPr>
      </w:pPr>
      <w:r>
        <w:rPr>
          <w:rFonts w:hint="eastAsia" w:ascii="宋体" w:hAnsi="宋体" w:cs="宋体"/>
          <w:sz w:val="24"/>
        </w:rPr>
        <w:t>8.2 除非有另外的规定，供应商可对采购标的一览表所列的全部合同包或部分合同包进行报价，但不得对单一合同包中的货物拆分报价。采购人不接受有任何可选择性的报价，每一种货物和每一合同包只能有一个报价。总报价应为货物送达采购人指定地点、经采购人验收合格并交付使用及售后服务等所有可能发生的费用，包括货物运输等所有费用。</w:t>
      </w:r>
    </w:p>
    <w:p w14:paraId="53CFAA11">
      <w:pPr>
        <w:snapToGrid w:val="0"/>
        <w:spacing w:line="360" w:lineRule="auto"/>
        <w:ind w:firstLine="420" w:firstLineChars="175"/>
        <w:rPr>
          <w:rFonts w:ascii="宋体" w:hAnsi="宋体" w:cs="宋体"/>
          <w:sz w:val="24"/>
        </w:rPr>
      </w:pPr>
      <w:r>
        <w:rPr>
          <w:rFonts w:hint="eastAsia" w:ascii="宋体" w:hAnsi="宋体" w:cs="宋体"/>
          <w:sz w:val="24"/>
        </w:rPr>
        <w:t>8.3成交人应保证采购人和采购代理机构不受到第三方关于侵犯专利权、商标权或工业设计权等知识产权的指控，如果出现任何第三方提出指控，成交人应与第三方交涉，承担可能发生的一切法律责任、费用和后果，并赔偿采购人和采购代理机构的损失。</w:t>
      </w:r>
    </w:p>
    <w:p w14:paraId="0B141C4C">
      <w:pPr>
        <w:snapToGrid w:val="0"/>
        <w:spacing w:line="360" w:lineRule="auto"/>
        <w:ind w:firstLine="420" w:firstLineChars="175"/>
        <w:rPr>
          <w:rFonts w:ascii="宋体" w:hAnsi="宋体" w:cs="宋体"/>
          <w:sz w:val="24"/>
        </w:rPr>
      </w:pPr>
      <w:r>
        <w:rPr>
          <w:rFonts w:hint="eastAsia" w:ascii="宋体" w:hAnsi="宋体" w:cs="宋体"/>
          <w:sz w:val="24"/>
        </w:rPr>
        <w:t>8．4在合同履约期间，由于成交人与任何第三方之间的纠纷，影响到合同履约的，成交人需承担可能发生的一切法律责任、费用和后果，并赔偿采购人和采购代理机构的损失。</w:t>
      </w:r>
    </w:p>
    <w:p w14:paraId="4B2DF8FD">
      <w:pPr>
        <w:snapToGrid w:val="0"/>
        <w:spacing w:line="360" w:lineRule="auto"/>
        <w:ind w:firstLine="420" w:firstLineChars="175"/>
        <w:rPr>
          <w:rFonts w:ascii="宋体" w:hAnsi="宋体" w:cs="宋体"/>
          <w:sz w:val="24"/>
        </w:rPr>
      </w:pPr>
      <w:r>
        <w:rPr>
          <w:rFonts w:hint="eastAsia" w:ascii="宋体" w:hAnsi="宋体" w:cs="宋体"/>
          <w:sz w:val="24"/>
        </w:rPr>
        <w:t>8．5供应商不得以任何形式向与本项目无关的其他单位或人员提供竞争性磋商文件及所附的有关资料，如违反，必须赔偿采购人和采购代理机构的所有损失，且采购人和采购代理机构保留追究法律责任的权力。</w:t>
      </w:r>
    </w:p>
    <w:p w14:paraId="0C2F08D6">
      <w:pPr>
        <w:snapToGrid w:val="0"/>
        <w:spacing w:line="360" w:lineRule="auto"/>
        <w:rPr>
          <w:rFonts w:ascii="宋体" w:hAnsi="宋体" w:cs="宋体"/>
          <w:b/>
          <w:sz w:val="24"/>
        </w:rPr>
      </w:pPr>
      <w:bookmarkStart w:id="77" w:name="_Toc30419_WPSOffice_Level3"/>
      <w:bookmarkStart w:id="78" w:name="_Toc26618_WPSOffice_Level3"/>
      <w:r>
        <w:rPr>
          <w:rFonts w:hint="eastAsia" w:ascii="宋体" w:hAnsi="宋体" w:cs="宋体"/>
          <w:b/>
          <w:sz w:val="24"/>
        </w:rPr>
        <w:t xml:space="preserve">9. </w:t>
      </w:r>
      <w:bookmarkStart w:id="79" w:name="_Hlt221331530"/>
      <w:bookmarkEnd w:id="79"/>
      <w:bookmarkStart w:id="80" w:name="投标文件的语言"/>
      <w:r>
        <w:rPr>
          <w:rFonts w:hint="eastAsia" w:ascii="宋体" w:hAnsi="宋体" w:cs="宋体"/>
          <w:b/>
          <w:sz w:val="24"/>
        </w:rPr>
        <w:t>响应文件的语言</w:t>
      </w:r>
      <w:bookmarkEnd w:id="77"/>
      <w:bookmarkEnd w:id="78"/>
      <w:bookmarkEnd w:id="80"/>
    </w:p>
    <w:p w14:paraId="55D1E0B9">
      <w:pPr>
        <w:snapToGrid w:val="0"/>
        <w:spacing w:line="360" w:lineRule="auto"/>
        <w:ind w:firstLine="420" w:firstLineChars="175"/>
        <w:rPr>
          <w:rFonts w:ascii="宋体" w:hAnsi="宋体" w:cs="宋体"/>
          <w:sz w:val="24"/>
        </w:rPr>
      </w:pPr>
      <w:r>
        <w:rPr>
          <w:rFonts w:hint="eastAsia" w:ascii="宋体" w:hAnsi="宋体" w:cs="宋体"/>
          <w:sz w:val="24"/>
        </w:rPr>
        <w:t>9.1竞争性磋商文件中载明的资格或技术商务要求中涉及的供应商提供的证明文件原件属于非中文描述的，供应商必须提供具有翻译资质的机构翻译的中文译本。未按要求提供中文译本的，将认定为该项资格或技术商务要求不符合。翻译机构应为中国翻译协会成员单位，翻译的中文译本应由翻译人员签名并加盖翻译机构公章，同时提供翻译人员翻译资格证书。供应商报价时提供的中文译本、翻译机构及翻译人员资格证书可为复印件，并加盖供应商公章。</w:t>
      </w:r>
    </w:p>
    <w:p w14:paraId="501A61C8">
      <w:pPr>
        <w:snapToGrid w:val="0"/>
        <w:spacing w:line="360" w:lineRule="auto"/>
        <w:ind w:firstLine="420" w:firstLineChars="175"/>
        <w:rPr>
          <w:rFonts w:ascii="宋体" w:hAnsi="宋体" w:cs="宋体"/>
          <w:sz w:val="24"/>
        </w:rPr>
      </w:pPr>
      <w:r>
        <w:rPr>
          <w:rFonts w:hint="eastAsia" w:ascii="宋体" w:hAnsi="宋体" w:cs="宋体"/>
          <w:sz w:val="24"/>
        </w:rPr>
        <w:t>9.2各种计量单位及符号应采用国际上统一使用的公制计量单位和符号。</w:t>
      </w:r>
    </w:p>
    <w:p w14:paraId="3AF8F28D">
      <w:pPr>
        <w:snapToGrid w:val="0"/>
        <w:spacing w:line="360" w:lineRule="auto"/>
        <w:rPr>
          <w:rFonts w:ascii="宋体" w:hAnsi="宋体" w:cs="宋体"/>
          <w:sz w:val="24"/>
        </w:rPr>
      </w:pPr>
      <w:bookmarkStart w:id="81" w:name="_Toc3448_WPSOffice_Level3"/>
      <w:bookmarkStart w:id="82" w:name="_Toc22671_WPSOffice_Level3"/>
      <w:r>
        <w:rPr>
          <w:rFonts w:hint="eastAsia" w:ascii="宋体" w:hAnsi="宋体" w:cs="宋体"/>
          <w:b/>
          <w:sz w:val="24"/>
        </w:rPr>
        <w:t xml:space="preserve">10. </w:t>
      </w:r>
      <w:bookmarkStart w:id="83" w:name="投标文件的组成"/>
      <w:r>
        <w:rPr>
          <w:rFonts w:hint="eastAsia" w:ascii="宋体" w:hAnsi="宋体" w:cs="宋体"/>
          <w:b/>
          <w:sz w:val="24"/>
        </w:rPr>
        <w:t>响应文件的组成</w:t>
      </w:r>
      <w:bookmarkEnd w:id="83"/>
      <w:r>
        <w:rPr>
          <w:rFonts w:hint="eastAsia" w:ascii="宋体" w:hAnsi="宋体" w:cs="宋体"/>
          <w:sz w:val="24"/>
        </w:rPr>
        <w:t>：</w:t>
      </w:r>
      <w:bookmarkEnd w:id="81"/>
      <w:bookmarkEnd w:id="82"/>
    </w:p>
    <w:p w14:paraId="0B5F9E08">
      <w:pPr>
        <w:spacing w:line="360" w:lineRule="auto"/>
        <w:jc w:val="left"/>
        <w:rPr>
          <w:rFonts w:ascii="宋体" w:hAnsi="宋体" w:cs="宋体"/>
          <w:sz w:val="24"/>
          <w:szCs w:val="22"/>
        </w:rPr>
      </w:pPr>
      <w:bookmarkStart w:id="84" w:name="_Toc15188_WPSOffice_Level3"/>
      <w:bookmarkStart w:id="85" w:name="_Toc7477_WPSOffice_Level3"/>
      <w:r>
        <w:rPr>
          <w:rFonts w:hint="eastAsia" w:ascii="宋体" w:hAnsi="宋体" w:cs="宋体"/>
          <w:sz w:val="24"/>
        </w:rPr>
        <w:t>（1）</w:t>
      </w:r>
      <w:r>
        <w:rPr>
          <w:rFonts w:hint="eastAsia" w:ascii="宋体" w:hAnsi="宋体" w:cs="宋体"/>
          <w:sz w:val="24"/>
          <w:szCs w:val="22"/>
        </w:rPr>
        <w:t>报价一览表</w:t>
      </w:r>
    </w:p>
    <w:p w14:paraId="224F2FC9">
      <w:pPr>
        <w:spacing w:line="360" w:lineRule="auto"/>
        <w:jc w:val="left"/>
        <w:rPr>
          <w:rFonts w:ascii="宋体" w:hAnsi="宋体" w:cs="宋体"/>
          <w:sz w:val="24"/>
          <w:szCs w:val="22"/>
        </w:rPr>
      </w:pPr>
      <w:r>
        <w:rPr>
          <w:rFonts w:hint="eastAsia" w:ascii="宋体" w:hAnsi="宋体" w:cs="宋体"/>
          <w:sz w:val="24"/>
          <w:szCs w:val="22"/>
        </w:rPr>
        <w:t>（2）报价一览表（最终报价）</w:t>
      </w:r>
    </w:p>
    <w:p w14:paraId="6C2B4991">
      <w:pPr>
        <w:spacing w:line="360" w:lineRule="auto"/>
        <w:jc w:val="left"/>
        <w:rPr>
          <w:rFonts w:ascii="宋体" w:hAnsi="宋体" w:cs="宋体"/>
          <w:sz w:val="24"/>
          <w:szCs w:val="22"/>
        </w:rPr>
      </w:pPr>
      <w:r>
        <w:rPr>
          <w:rFonts w:hint="eastAsia" w:ascii="宋体" w:hAnsi="宋体" w:cs="宋体"/>
          <w:sz w:val="24"/>
          <w:szCs w:val="22"/>
        </w:rPr>
        <w:t>（3）报价书</w:t>
      </w:r>
    </w:p>
    <w:p w14:paraId="33F94047">
      <w:pPr>
        <w:spacing w:line="360" w:lineRule="auto"/>
        <w:jc w:val="left"/>
        <w:rPr>
          <w:rFonts w:ascii="宋体" w:hAnsi="宋体" w:cs="宋体"/>
          <w:sz w:val="24"/>
          <w:szCs w:val="22"/>
        </w:rPr>
      </w:pPr>
      <w:r>
        <w:rPr>
          <w:rFonts w:hint="eastAsia" w:ascii="宋体" w:hAnsi="宋体" w:cs="宋体"/>
          <w:sz w:val="24"/>
          <w:szCs w:val="22"/>
        </w:rPr>
        <w:t>（4）技术和服务要求响应表</w:t>
      </w:r>
    </w:p>
    <w:p w14:paraId="36D636AC">
      <w:pPr>
        <w:spacing w:line="360" w:lineRule="auto"/>
        <w:jc w:val="left"/>
        <w:rPr>
          <w:rFonts w:ascii="宋体" w:hAnsi="宋体" w:cs="宋体"/>
          <w:sz w:val="24"/>
          <w:szCs w:val="22"/>
        </w:rPr>
      </w:pPr>
      <w:r>
        <w:rPr>
          <w:rFonts w:hint="eastAsia" w:ascii="宋体" w:hAnsi="宋体" w:cs="宋体"/>
          <w:sz w:val="24"/>
          <w:szCs w:val="22"/>
        </w:rPr>
        <w:t>（5）商务条件和其他事项响应表</w:t>
      </w:r>
    </w:p>
    <w:p w14:paraId="7A544C31">
      <w:pPr>
        <w:spacing w:line="360" w:lineRule="auto"/>
        <w:jc w:val="left"/>
        <w:rPr>
          <w:rFonts w:ascii="宋体" w:hAnsi="宋体" w:cs="宋体"/>
          <w:sz w:val="24"/>
          <w:szCs w:val="22"/>
        </w:rPr>
      </w:pPr>
      <w:r>
        <w:rPr>
          <w:rFonts w:hint="eastAsia" w:ascii="宋体" w:hAnsi="宋体" w:cs="宋体"/>
          <w:sz w:val="24"/>
          <w:szCs w:val="22"/>
        </w:rPr>
        <w:t>（6）相关技术、商务、服务响应承诺及资料</w:t>
      </w:r>
    </w:p>
    <w:p w14:paraId="53404F1D">
      <w:pPr>
        <w:spacing w:line="360" w:lineRule="auto"/>
        <w:jc w:val="left"/>
        <w:rPr>
          <w:rFonts w:ascii="宋体" w:hAnsi="宋体" w:cs="宋体"/>
          <w:sz w:val="24"/>
          <w:szCs w:val="22"/>
        </w:rPr>
      </w:pPr>
      <w:r>
        <w:rPr>
          <w:rFonts w:hint="eastAsia" w:ascii="宋体" w:hAnsi="宋体" w:cs="宋体"/>
          <w:sz w:val="24"/>
          <w:szCs w:val="22"/>
        </w:rPr>
        <w:t>（7）供应商的资格证明文件</w:t>
      </w:r>
    </w:p>
    <w:p w14:paraId="26378E83">
      <w:pPr>
        <w:spacing w:line="360" w:lineRule="auto"/>
        <w:jc w:val="left"/>
        <w:rPr>
          <w:rFonts w:ascii="宋体" w:hAnsi="宋体" w:cs="宋体"/>
          <w:sz w:val="24"/>
          <w:szCs w:val="22"/>
        </w:rPr>
      </w:pPr>
      <w:r>
        <w:rPr>
          <w:rFonts w:hint="eastAsia" w:ascii="宋体" w:hAnsi="宋体" w:cs="宋体"/>
          <w:sz w:val="24"/>
          <w:szCs w:val="22"/>
        </w:rPr>
        <w:t>（8）磋商保证金提交说明函</w:t>
      </w:r>
    </w:p>
    <w:p w14:paraId="4F8B9104">
      <w:pPr>
        <w:spacing w:line="360" w:lineRule="auto"/>
        <w:jc w:val="left"/>
        <w:rPr>
          <w:rFonts w:ascii="宋体" w:hAnsi="宋体" w:cs="宋体"/>
          <w:sz w:val="24"/>
          <w:szCs w:val="22"/>
        </w:rPr>
      </w:pPr>
      <w:r>
        <w:rPr>
          <w:rFonts w:hint="eastAsia" w:ascii="宋体" w:hAnsi="宋体" w:cs="宋体"/>
          <w:sz w:val="24"/>
          <w:szCs w:val="22"/>
        </w:rPr>
        <w:t>（9）退还磋商保证金申请函</w:t>
      </w:r>
    </w:p>
    <w:p w14:paraId="2A44715C">
      <w:pPr>
        <w:spacing w:line="360" w:lineRule="auto"/>
        <w:jc w:val="left"/>
        <w:rPr>
          <w:rFonts w:ascii="宋体" w:hAnsi="宋体" w:cs="宋体"/>
          <w:sz w:val="24"/>
          <w:szCs w:val="22"/>
        </w:rPr>
      </w:pPr>
      <w:r>
        <w:rPr>
          <w:rFonts w:hint="eastAsia" w:ascii="宋体" w:hAnsi="宋体" w:cs="宋体"/>
          <w:sz w:val="24"/>
          <w:szCs w:val="22"/>
        </w:rPr>
        <w:t>（10）供应商应交的其他资料</w:t>
      </w:r>
    </w:p>
    <w:p w14:paraId="5C80497F">
      <w:pPr>
        <w:snapToGrid w:val="0"/>
        <w:spacing w:line="440" w:lineRule="exact"/>
        <w:rPr>
          <w:rFonts w:ascii="宋体" w:hAnsi="宋体" w:cs="宋体"/>
          <w:sz w:val="24"/>
        </w:rPr>
      </w:pPr>
      <w:r>
        <w:rPr>
          <w:rFonts w:hint="eastAsia" w:ascii="宋体" w:hAnsi="宋体" w:cs="宋体"/>
          <w:b/>
          <w:sz w:val="24"/>
        </w:rPr>
        <w:t xml:space="preserve">11. </w:t>
      </w:r>
      <w:bookmarkStart w:id="86" w:name="投标有效期"/>
      <w:r>
        <w:rPr>
          <w:rFonts w:hint="eastAsia" w:ascii="宋体" w:hAnsi="宋体" w:cs="宋体"/>
          <w:b/>
          <w:sz w:val="24"/>
        </w:rPr>
        <w:t>报价有效期</w:t>
      </w:r>
      <w:bookmarkEnd w:id="84"/>
      <w:bookmarkEnd w:id="85"/>
      <w:bookmarkEnd w:id="86"/>
    </w:p>
    <w:p w14:paraId="35C0F085">
      <w:pPr>
        <w:snapToGrid w:val="0"/>
        <w:spacing w:line="440" w:lineRule="exact"/>
        <w:ind w:firstLine="523" w:firstLineChars="218"/>
        <w:rPr>
          <w:rFonts w:ascii="宋体" w:hAnsi="宋体" w:cs="宋体"/>
          <w:sz w:val="24"/>
        </w:rPr>
      </w:pPr>
      <w:r>
        <w:rPr>
          <w:rFonts w:hint="eastAsia" w:ascii="宋体" w:hAnsi="宋体" w:cs="宋体"/>
          <w:sz w:val="24"/>
        </w:rPr>
        <w:t>11.1响应文件从供应商须知前附表第4项所规定的响应文件递交截止期之后开始生效，在供应商须知前附表第3项所规定的期限内保持有效。有效期不足将导致其响应文件被拒绝。</w:t>
      </w:r>
    </w:p>
    <w:p w14:paraId="18716788">
      <w:pPr>
        <w:snapToGrid w:val="0"/>
        <w:spacing w:line="460" w:lineRule="exact"/>
        <w:ind w:firstLine="523" w:firstLineChars="218"/>
        <w:rPr>
          <w:rFonts w:ascii="宋体" w:hAnsi="宋体" w:cs="宋体"/>
          <w:sz w:val="24"/>
        </w:rPr>
      </w:pPr>
      <w:r>
        <w:rPr>
          <w:rFonts w:hint="eastAsia" w:ascii="宋体" w:hAnsi="宋体" w:cs="宋体"/>
          <w:sz w:val="24"/>
        </w:rPr>
        <w:t>11.2特殊情况下采购代理机构可于报价有效期满之前书面要求供应商同意延长有效期，供应商应在采购代理机构规定的期限内以书面形式予以答复。供应商可以拒绝上述要求而其磋商保证金可按规定予以退还。供应商答复不明确或者逾期未答复的，均视为拒绝上述要求。对于接受该要求的供应商，既不要求也不允许其修改响应文件，但将要求其相应延长磋商保证金有效期，有关退还和不予退还磋商保证金的规定在报价有效期延长期内继续有效。</w:t>
      </w:r>
    </w:p>
    <w:p w14:paraId="468565C4">
      <w:pPr>
        <w:snapToGrid w:val="0"/>
        <w:spacing w:line="360" w:lineRule="auto"/>
        <w:rPr>
          <w:rFonts w:ascii="宋体" w:hAnsi="宋体" w:cs="宋体"/>
          <w:b/>
          <w:sz w:val="24"/>
        </w:rPr>
      </w:pPr>
      <w:bookmarkStart w:id="87" w:name="_Toc16423_WPSOffice_Level3"/>
      <w:bookmarkStart w:id="88" w:name="_Toc28013_WPSOffice_Level3"/>
      <w:r>
        <w:rPr>
          <w:rFonts w:hint="eastAsia" w:ascii="宋体" w:hAnsi="宋体" w:cs="宋体"/>
          <w:b/>
          <w:sz w:val="24"/>
        </w:rPr>
        <w:t>12. 磋商保证金</w:t>
      </w:r>
      <w:bookmarkEnd w:id="87"/>
      <w:bookmarkEnd w:id="88"/>
    </w:p>
    <w:p w14:paraId="58CE94A6">
      <w:pPr>
        <w:snapToGrid w:val="0"/>
        <w:spacing w:line="360" w:lineRule="auto"/>
        <w:ind w:firstLine="523" w:firstLineChars="218"/>
        <w:rPr>
          <w:rFonts w:ascii="宋体" w:hAnsi="宋体" w:cs="宋体"/>
          <w:sz w:val="24"/>
        </w:rPr>
      </w:pPr>
      <w:r>
        <w:rPr>
          <w:rFonts w:hint="eastAsia" w:ascii="宋体" w:hAnsi="宋体" w:cs="宋体"/>
          <w:sz w:val="24"/>
        </w:rPr>
        <w:t>12.1 磋商保证金为响应文件的组成部分之一。</w:t>
      </w:r>
    </w:p>
    <w:p w14:paraId="243AA1BA">
      <w:pPr>
        <w:snapToGrid w:val="0"/>
        <w:spacing w:line="360" w:lineRule="auto"/>
        <w:ind w:firstLine="523" w:firstLineChars="218"/>
        <w:rPr>
          <w:rFonts w:ascii="宋体" w:hAnsi="宋体" w:cs="宋体"/>
          <w:sz w:val="24"/>
        </w:rPr>
      </w:pPr>
      <w:r>
        <w:rPr>
          <w:rFonts w:hint="eastAsia" w:ascii="宋体" w:hAnsi="宋体" w:cs="宋体"/>
          <w:sz w:val="24"/>
        </w:rPr>
        <w:t>12.2 供应商应在提交响应文件之前向采购代理机构缴交供应商须知前附表要求的磋商保证金。</w:t>
      </w:r>
    </w:p>
    <w:p w14:paraId="39F47DDF">
      <w:pPr>
        <w:snapToGrid w:val="0"/>
        <w:spacing w:line="360" w:lineRule="auto"/>
        <w:ind w:firstLine="523" w:firstLineChars="218"/>
        <w:rPr>
          <w:rFonts w:ascii="宋体" w:hAnsi="宋体" w:cs="宋体"/>
          <w:sz w:val="24"/>
        </w:rPr>
      </w:pPr>
      <w:r>
        <w:rPr>
          <w:rFonts w:hint="eastAsia" w:ascii="宋体" w:hAnsi="宋体" w:cs="宋体"/>
          <w:sz w:val="24"/>
        </w:rPr>
        <w:t>12.3 磋商保证金用于保护本次采购活动免受供应商的行为而引起的风险。</w:t>
      </w:r>
    </w:p>
    <w:p w14:paraId="027DAB05">
      <w:pPr>
        <w:snapToGrid w:val="0"/>
        <w:spacing w:line="360" w:lineRule="auto"/>
        <w:ind w:firstLine="523" w:firstLineChars="218"/>
        <w:rPr>
          <w:rFonts w:ascii="宋体" w:hAnsi="宋体" w:cs="宋体"/>
          <w:sz w:val="24"/>
        </w:rPr>
      </w:pPr>
      <w:r>
        <w:rPr>
          <w:rFonts w:hint="eastAsia" w:ascii="宋体" w:hAnsi="宋体" w:cs="宋体"/>
          <w:sz w:val="24"/>
        </w:rPr>
        <w:t>12.4磋商保证金以转账或电汇形式提交，不直接接受现金或汇票；供应商在缴纳保证金时必须以其基本账户缴纳。供应商在交纳磋商保证金时，必须严格按规定的金额交纳，并在办理交纳手续时必须注明项目编号、项目名称.若因供应商未按上述规定缴交而引起查询不到，后果由供应商自行承担。</w:t>
      </w:r>
    </w:p>
    <w:p w14:paraId="71F489A5">
      <w:pPr>
        <w:snapToGrid w:val="0"/>
        <w:spacing w:line="360" w:lineRule="auto"/>
        <w:ind w:firstLine="523" w:firstLineChars="218"/>
        <w:rPr>
          <w:rFonts w:ascii="宋体" w:hAnsi="宋体" w:cs="宋体"/>
          <w:sz w:val="24"/>
        </w:rPr>
      </w:pPr>
      <w:r>
        <w:rPr>
          <w:rFonts w:hint="eastAsia" w:ascii="宋体" w:hAnsi="宋体" w:cs="宋体"/>
          <w:sz w:val="24"/>
        </w:rPr>
        <w:t>12.5未按规定缴交磋商保证金的，将被视为无效报价。</w:t>
      </w:r>
    </w:p>
    <w:p w14:paraId="48027E8C">
      <w:pPr>
        <w:snapToGrid w:val="0"/>
        <w:spacing w:line="360" w:lineRule="auto"/>
        <w:ind w:firstLine="523" w:firstLineChars="218"/>
        <w:rPr>
          <w:rFonts w:ascii="宋体" w:hAnsi="宋体" w:cs="宋体"/>
          <w:sz w:val="24"/>
        </w:rPr>
      </w:pPr>
      <w:r>
        <w:rPr>
          <w:rFonts w:hint="eastAsia" w:ascii="宋体" w:hAnsi="宋体" w:cs="宋体"/>
          <w:sz w:val="24"/>
        </w:rPr>
        <w:t>12.6采购代理机构将在成交通知书发出之日后</w:t>
      </w:r>
      <w:r>
        <w:rPr>
          <w:rFonts w:hint="eastAsia" w:ascii="宋体" w:hAnsi="宋体" w:cs="宋体"/>
          <w:sz w:val="24"/>
          <w:szCs w:val="24"/>
          <w:shd w:val="clear" w:color="auto" w:fill="FFFFFF"/>
        </w:rPr>
        <w:t>5个工作日内</w:t>
      </w:r>
      <w:r>
        <w:rPr>
          <w:rFonts w:hint="eastAsia" w:ascii="宋体" w:hAnsi="宋体" w:cs="宋体"/>
          <w:sz w:val="24"/>
        </w:rPr>
        <w:t>予以原额无息退还落标供应商的磋商保证金。</w:t>
      </w:r>
    </w:p>
    <w:p w14:paraId="54D3B6C7">
      <w:pPr>
        <w:snapToGrid w:val="0"/>
        <w:spacing w:line="360" w:lineRule="auto"/>
        <w:ind w:firstLine="523" w:firstLineChars="218"/>
        <w:rPr>
          <w:rFonts w:ascii="宋体" w:hAnsi="宋体" w:cs="宋体"/>
          <w:sz w:val="24"/>
        </w:rPr>
      </w:pPr>
      <w:r>
        <w:rPr>
          <w:rFonts w:hint="eastAsia" w:ascii="宋体" w:hAnsi="宋体" w:cs="宋体"/>
          <w:sz w:val="24"/>
        </w:rPr>
        <w:t>12.7成交人全额缴纳履约保证金（若有）并签订合同后</w:t>
      </w:r>
      <w:r>
        <w:rPr>
          <w:rFonts w:hint="eastAsia" w:ascii="宋体" w:hAnsi="宋体" w:cs="宋体"/>
          <w:sz w:val="24"/>
          <w:szCs w:val="24"/>
          <w:shd w:val="clear" w:color="auto" w:fill="FFFFFF"/>
        </w:rPr>
        <w:t>5个工作日内</w:t>
      </w:r>
      <w:r>
        <w:rPr>
          <w:rFonts w:hint="eastAsia" w:ascii="宋体" w:hAnsi="宋体" w:cs="宋体"/>
          <w:sz w:val="24"/>
        </w:rPr>
        <w:t>其磋商保证金予以原额无息退还。</w:t>
      </w:r>
    </w:p>
    <w:p w14:paraId="4D691F24">
      <w:pPr>
        <w:snapToGrid w:val="0"/>
        <w:spacing w:line="360" w:lineRule="auto"/>
        <w:ind w:firstLine="523" w:firstLineChars="218"/>
        <w:rPr>
          <w:rFonts w:ascii="宋体" w:hAnsi="宋体" w:cs="宋体"/>
          <w:sz w:val="24"/>
        </w:rPr>
      </w:pPr>
      <w:r>
        <w:rPr>
          <w:rFonts w:hint="eastAsia" w:ascii="宋体" w:hAnsi="宋体" w:cs="宋体"/>
          <w:sz w:val="24"/>
        </w:rPr>
        <w:t>12.8磋商保证金的有效期与报价有效期一致。</w:t>
      </w:r>
    </w:p>
    <w:p w14:paraId="0318DF2B">
      <w:pPr>
        <w:snapToGrid w:val="0"/>
        <w:spacing w:line="360" w:lineRule="auto"/>
        <w:ind w:firstLine="523" w:firstLineChars="218"/>
        <w:rPr>
          <w:rFonts w:ascii="宋体" w:hAnsi="宋体" w:cs="宋体"/>
          <w:sz w:val="24"/>
        </w:rPr>
      </w:pPr>
      <w:r>
        <w:rPr>
          <w:rFonts w:hint="eastAsia" w:ascii="宋体" w:hAnsi="宋体" w:cs="宋体"/>
          <w:sz w:val="24"/>
        </w:rPr>
        <w:t>12.9退回保证金时，供应商须提供其基本账户、开户名，否则不予办理，退回时将采用转账或电汇方式。</w:t>
      </w:r>
    </w:p>
    <w:p w14:paraId="1E9F71DA">
      <w:pPr>
        <w:snapToGrid w:val="0"/>
        <w:spacing w:line="360" w:lineRule="auto"/>
        <w:ind w:firstLine="523" w:firstLineChars="218"/>
        <w:rPr>
          <w:rFonts w:ascii="宋体" w:hAnsi="宋体" w:cs="宋体"/>
          <w:sz w:val="24"/>
        </w:rPr>
      </w:pPr>
      <w:r>
        <w:rPr>
          <w:rFonts w:hint="eastAsia" w:ascii="宋体" w:hAnsi="宋体" w:cs="宋体"/>
          <w:sz w:val="24"/>
        </w:rPr>
        <w:t>12.10若成交人因故未签订合同或未履行合同的不予退还保证金。</w:t>
      </w:r>
    </w:p>
    <w:p w14:paraId="40452408">
      <w:pPr>
        <w:snapToGrid w:val="0"/>
        <w:spacing w:line="360" w:lineRule="auto"/>
        <w:ind w:firstLine="523" w:firstLineChars="218"/>
        <w:rPr>
          <w:rFonts w:ascii="宋体" w:hAnsi="宋体" w:cs="宋体"/>
          <w:sz w:val="24"/>
        </w:rPr>
      </w:pPr>
      <w:r>
        <w:rPr>
          <w:rFonts w:hint="eastAsia" w:ascii="宋体" w:hAnsi="宋体" w:cs="宋体"/>
          <w:sz w:val="24"/>
        </w:rPr>
        <w:t>12.11发生以下情况之一的，磋商保证金将不予退还：</w:t>
      </w:r>
    </w:p>
    <w:p w14:paraId="01A12D6D">
      <w:pPr>
        <w:snapToGrid w:val="0"/>
        <w:spacing w:line="360" w:lineRule="auto"/>
        <w:ind w:firstLine="523" w:firstLineChars="218"/>
        <w:rPr>
          <w:rFonts w:ascii="宋体" w:hAnsi="宋体" w:cs="宋体"/>
          <w:sz w:val="24"/>
        </w:rPr>
      </w:pPr>
      <w:r>
        <w:rPr>
          <w:rFonts w:hint="eastAsia" w:ascii="宋体" w:hAnsi="宋体" w:cs="宋体"/>
          <w:sz w:val="24"/>
        </w:rPr>
        <w:t>（1）供应商递交响应文件后且在报价有效期内撤回文件，或虚假承诺；</w:t>
      </w:r>
    </w:p>
    <w:p w14:paraId="33EC31D8">
      <w:pPr>
        <w:snapToGrid w:val="0"/>
        <w:spacing w:line="360" w:lineRule="auto"/>
        <w:ind w:firstLine="523" w:firstLineChars="218"/>
        <w:rPr>
          <w:rFonts w:ascii="宋体" w:hAnsi="宋体" w:cs="宋体"/>
          <w:sz w:val="24"/>
        </w:rPr>
      </w:pPr>
      <w:r>
        <w:rPr>
          <w:rFonts w:hint="eastAsia" w:ascii="宋体" w:hAnsi="宋体" w:cs="宋体"/>
          <w:sz w:val="24"/>
        </w:rPr>
        <w:t>（2）提供不真实的或伪造相关报价资料；</w:t>
      </w:r>
    </w:p>
    <w:p w14:paraId="0C1FDE08">
      <w:pPr>
        <w:snapToGrid w:val="0"/>
        <w:spacing w:line="360" w:lineRule="auto"/>
        <w:ind w:firstLine="523" w:firstLineChars="218"/>
        <w:rPr>
          <w:rFonts w:ascii="宋体" w:hAnsi="宋体" w:cs="宋体"/>
          <w:sz w:val="24"/>
        </w:rPr>
      </w:pPr>
      <w:r>
        <w:rPr>
          <w:rFonts w:hint="eastAsia" w:ascii="宋体" w:hAnsi="宋体" w:cs="宋体"/>
          <w:sz w:val="24"/>
        </w:rPr>
        <w:t>（3）不接受竞争性磋商文件中有关规定，对其报价有误之处的修正；</w:t>
      </w:r>
    </w:p>
    <w:p w14:paraId="40367DF3">
      <w:pPr>
        <w:snapToGrid w:val="0"/>
        <w:spacing w:line="360" w:lineRule="auto"/>
        <w:ind w:firstLine="523" w:firstLineChars="218"/>
        <w:rPr>
          <w:rFonts w:ascii="宋体" w:hAnsi="宋体" w:cs="宋体"/>
          <w:sz w:val="24"/>
        </w:rPr>
      </w:pPr>
      <w:r>
        <w:rPr>
          <w:rFonts w:hint="eastAsia" w:ascii="宋体" w:hAnsi="宋体" w:cs="宋体"/>
          <w:sz w:val="24"/>
        </w:rPr>
        <w:t>（4）恶意干扰招报价活动，不听劝阻的；</w:t>
      </w:r>
    </w:p>
    <w:p w14:paraId="40289D84">
      <w:pPr>
        <w:snapToGrid w:val="0"/>
        <w:spacing w:line="360" w:lineRule="auto"/>
        <w:ind w:firstLine="523" w:firstLineChars="218"/>
        <w:rPr>
          <w:rFonts w:ascii="宋体" w:hAnsi="宋体" w:cs="宋体"/>
          <w:sz w:val="24"/>
        </w:rPr>
      </w:pPr>
      <w:r>
        <w:rPr>
          <w:rFonts w:hint="eastAsia" w:ascii="宋体" w:hAnsi="宋体" w:cs="宋体"/>
          <w:sz w:val="24"/>
        </w:rPr>
        <w:t>（5）若供应商被磋商小组认定为串通报价的；</w:t>
      </w:r>
    </w:p>
    <w:p w14:paraId="402CBCD7">
      <w:pPr>
        <w:snapToGrid w:val="0"/>
        <w:spacing w:line="360" w:lineRule="auto"/>
        <w:ind w:firstLine="523" w:firstLineChars="218"/>
        <w:rPr>
          <w:rFonts w:ascii="宋体" w:hAnsi="宋体" w:cs="宋体"/>
          <w:sz w:val="24"/>
        </w:rPr>
      </w:pPr>
      <w:r>
        <w:rPr>
          <w:rFonts w:hint="eastAsia" w:ascii="宋体" w:hAnsi="宋体" w:cs="宋体"/>
          <w:sz w:val="24"/>
        </w:rPr>
        <w:t>（6）成交人未按规定缴纳履约保证金（若有）</w:t>
      </w:r>
    </w:p>
    <w:p w14:paraId="2E40E047">
      <w:pPr>
        <w:snapToGrid w:val="0"/>
        <w:spacing w:line="360" w:lineRule="auto"/>
        <w:ind w:firstLine="523" w:firstLineChars="218"/>
        <w:rPr>
          <w:rFonts w:ascii="宋体" w:hAnsi="宋体" w:cs="宋体"/>
          <w:sz w:val="24"/>
        </w:rPr>
      </w:pPr>
      <w:r>
        <w:rPr>
          <w:rFonts w:hint="eastAsia" w:ascii="宋体" w:hAnsi="宋体" w:cs="宋体"/>
          <w:sz w:val="24"/>
        </w:rPr>
        <w:t>（7）成交人未能做到：按成交通知书要求的日期签订合同；或按竞争性磋商文件规定和响应文件承诺履行其义务。</w:t>
      </w:r>
    </w:p>
    <w:p w14:paraId="65D05724">
      <w:pPr>
        <w:snapToGrid w:val="0"/>
        <w:spacing w:line="360" w:lineRule="auto"/>
        <w:ind w:firstLine="523" w:firstLineChars="218"/>
        <w:rPr>
          <w:rFonts w:ascii="宋体" w:hAnsi="宋体" w:cs="宋体"/>
          <w:sz w:val="24"/>
        </w:rPr>
      </w:pPr>
      <w:r>
        <w:rPr>
          <w:rFonts w:hint="eastAsia" w:ascii="宋体" w:hAnsi="宋体" w:cs="宋体"/>
          <w:sz w:val="24"/>
        </w:rPr>
        <w:t>上述不予退还磋商保证金的情况给采购人或采购代理机构造成损失的，还要承担赔偿责任。</w:t>
      </w:r>
    </w:p>
    <w:p w14:paraId="749CDE8F">
      <w:pPr>
        <w:snapToGrid w:val="0"/>
        <w:spacing w:line="360" w:lineRule="auto"/>
        <w:rPr>
          <w:rFonts w:ascii="宋体" w:hAnsi="宋体" w:cs="宋体"/>
          <w:b/>
          <w:sz w:val="24"/>
        </w:rPr>
      </w:pPr>
      <w:bookmarkStart w:id="89" w:name="_Toc14671_WPSOffice_Level3"/>
      <w:bookmarkStart w:id="90" w:name="_Toc8198_WPSOffice_Level3"/>
      <w:r>
        <w:rPr>
          <w:rFonts w:hint="eastAsia" w:ascii="宋体" w:hAnsi="宋体" w:cs="宋体"/>
          <w:b/>
          <w:sz w:val="24"/>
        </w:rPr>
        <w:t xml:space="preserve">13. </w:t>
      </w:r>
      <w:bookmarkStart w:id="91" w:name="投标文件的格式"/>
      <w:r>
        <w:rPr>
          <w:rFonts w:hint="eastAsia" w:ascii="宋体" w:hAnsi="宋体" w:cs="宋体"/>
          <w:b/>
          <w:sz w:val="24"/>
        </w:rPr>
        <w:t>响应文件的格式</w:t>
      </w:r>
      <w:bookmarkEnd w:id="89"/>
      <w:bookmarkEnd w:id="90"/>
      <w:bookmarkEnd w:id="91"/>
    </w:p>
    <w:p w14:paraId="013A5885">
      <w:pPr>
        <w:snapToGrid w:val="0"/>
        <w:spacing w:line="360" w:lineRule="auto"/>
        <w:ind w:firstLine="523" w:firstLineChars="218"/>
        <w:rPr>
          <w:rFonts w:ascii="宋体" w:hAnsi="宋体" w:cs="宋体"/>
          <w:sz w:val="24"/>
        </w:rPr>
      </w:pPr>
      <w:r>
        <w:rPr>
          <w:rFonts w:hint="eastAsia" w:ascii="宋体" w:hAnsi="宋体" w:cs="宋体"/>
          <w:sz w:val="24"/>
        </w:rPr>
        <w:t>13.1</w:t>
      </w:r>
      <w:r>
        <w:rPr>
          <w:rFonts w:hint="eastAsia" w:ascii="宋体" w:hAnsi="宋体" w:cs="宋体"/>
          <w:b/>
          <w:sz w:val="24"/>
        </w:rPr>
        <w:t>供应商须递交按 “响应文件的编写”第10条规定文件组成的响应文件正本一份，副本三份。</w:t>
      </w:r>
      <w:r>
        <w:rPr>
          <w:rFonts w:hint="eastAsia" w:ascii="宋体" w:hAnsi="宋体" w:cs="宋体"/>
          <w:b/>
          <w:sz w:val="24"/>
          <w:lang w:val="zh-CN"/>
        </w:rPr>
        <w:t>正本与副本都</w:t>
      </w:r>
      <w:r>
        <w:rPr>
          <w:rFonts w:hint="eastAsia" w:ascii="宋体" w:hAnsi="宋体" w:cs="宋体"/>
          <w:b/>
          <w:sz w:val="24"/>
        </w:rPr>
        <w:t>必须用A4幅面纸张打印装订，应编制封面、目录、页码，必须用胶装（为永久性、无破坏不可拆分）装订成册，副本可以用正本的完整复印件，并在封面标明“正本”、“副本”字样。正本与副本如有不一致，则以正本为准。供应商未按上述要求制作响应文件的视为响应文件无效。</w:t>
      </w:r>
    </w:p>
    <w:p w14:paraId="148D3EDD">
      <w:pPr>
        <w:snapToGrid w:val="0"/>
        <w:spacing w:line="360" w:lineRule="auto"/>
        <w:ind w:firstLine="523" w:firstLineChars="218"/>
        <w:rPr>
          <w:rFonts w:ascii="宋体" w:hAnsi="宋体" w:cs="宋体"/>
          <w:sz w:val="24"/>
        </w:rPr>
      </w:pPr>
      <w:r>
        <w:rPr>
          <w:rFonts w:hint="eastAsia" w:ascii="宋体" w:hAnsi="宋体" w:cs="宋体"/>
          <w:sz w:val="24"/>
        </w:rPr>
        <w:t>13.2 响应文件应由供应商的法定代表人或者其授权代表签字并加盖公章（</w:t>
      </w:r>
      <w:r>
        <w:rPr>
          <w:rFonts w:hint="eastAsia" w:ascii="宋体" w:hAnsi="宋体" w:cs="宋体"/>
          <w:b/>
          <w:sz w:val="24"/>
        </w:rPr>
        <w:t>非投标专用章或业务章，下同</w:t>
      </w:r>
      <w:r>
        <w:rPr>
          <w:rFonts w:hint="eastAsia" w:ascii="宋体" w:hAnsi="宋体" w:cs="宋体"/>
          <w:sz w:val="24"/>
        </w:rPr>
        <w:t>），如由后者签字，应提供“法定代表人授权委托书”。</w:t>
      </w:r>
    </w:p>
    <w:p w14:paraId="5FAE49CE">
      <w:pPr>
        <w:snapToGrid w:val="0"/>
        <w:spacing w:line="360" w:lineRule="auto"/>
        <w:ind w:firstLine="523" w:firstLineChars="218"/>
        <w:rPr>
          <w:rFonts w:ascii="宋体" w:hAnsi="宋体" w:cs="宋体"/>
          <w:sz w:val="24"/>
        </w:rPr>
      </w:pPr>
      <w:r>
        <w:rPr>
          <w:rFonts w:hint="eastAsia" w:ascii="宋体" w:hAnsi="宋体" w:cs="宋体"/>
          <w:sz w:val="24"/>
        </w:rPr>
        <w:t>13.3除非有另外的规定或许可，报价使用货币为人民币。</w:t>
      </w:r>
    </w:p>
    <w:p w14:paraId="175B0223">
      <w:pPr>
        <w:snapToGrid w:val="0"/>
        <w:spacing w:line="360" w:lineRule="auto"/>
        <w:ind w:firstLine="523" w:firstLineChars="218"/>
        <w:rPr>
          <w:rFonts w:ascii="宋体" w:hAnsi="宋体" w:cs="宋体"/>
          <w:sz w:val="24"/>
        </w:rPr>
      </w:pPr>
      <w:r>
        <w:rPr>
          <w:rFonts w:hint="eastAsia" w:ascii="宋体" w:hAnsi="宋体" w:cs="宋体"/>
          <w:sz w:val="24"/>
        </w:rPr>
        <w:t>13.4供应商应提交证明其拟供货物符合竞争性磋商文件要求的技术响应文件，该文件可以是文字资料、图纸和数据，并须提供货物主要技术性能的详细描述。</w:t>
      </w:r>
    </w:p>
    <w:p w14:paraId="24736C36">
      <w:pPr>
        <w:snapToGrid w:val="0"/>
        <w:spacing w:line="360" w:lineRule="auto"/>
        <w:ind w:firstLine="523" w:firstLineChars="218"/>
        <w:rPr>
          <w:rFonts w:ascii="宋体" w:hAnsi="宋体" w:cs="宋体"/>
          <w:sz w:val="24"/>
        </w:rPr>
      </w:pPr>
      <w:r>
        <w:rPr>
          <w:rFonts w:hint="eastAsia" w:ascii="宋体" w:hAnsi="宋体" w:cs="宋体"/>
          <w:sz w:val="24"/>
        </w:rPr>
        <w:t>13.5响应文件的正本和全部副本均应使用不能擦去的墨料或墨水打印、书写，并由法定代表人或其授权代表（报价代表）签署，盖供应商公章。</w:t>
      </w:r>
    </w:p>
    <w:p w14:paraId="43139636">
      <w:pPr>
        <w:snapToGrid w:val="0"/>
        <w:spacing w:line="360" w:lineRule="auto"/>
        <w:ind w:firstLine="523" w:firstLineChars="218"/>
        <w:rPr>
          <w:rFonts w:ascii="宋体" w:hAnsi="宋体" w:cs="宋体"/>
          <w:sz w:val="24"/>
        </w:rPr>
      </w:pPr>
      <w:r>
        <w:rPr>
          <w:rFonts w:hint="eastAsia" w:ascii="宋体" w:hAnsi="宋体" w:cs="宋体"/>
          <w:sz w:val="24"/>
        </w:rPr>
        <w:t xml:space="preserve">13.6全套响应文件应无涂改和行间插字，除非这些改动是根据采购代理机构的指示进行的，或者是为改正供应商造成的必须修改的错误而进行的。有改动时，修改处应由授权代表签署证明或加盖校正章。 </w:t>
      </w:r>
    </w:p>
    <w:p w14:paraId="323D1234">
      <w:pPr>
        <w:snapToGrid w:val="0"/>
        <w:spacing w:line="360" w:lineRule="auto"/>
        <w:ind w:firstLine="523" w:firstLineChars="218"/>
        <w:rPr>
          <w:rFonts w:ascii="宋体" w:hAnsi="宋体" w:cs="宋体"/>
          <w:sz w:val="24"/>
        </w:rPr>
      </w:pPr>
      <w:r>
        <w:rPr>
          <w:rFonts w:hint="eastAsia" w:ascii="宋体" w:hAnsi="宋体" w:cs="宋体"/>
          <w:sz w:val="24"/>
        </w:rPr>
        <w:t>13.7未按本须知规定的格式填写响应文件、响应文件字迹模糊不清的，其报价将被拒绝。</w:t>
      </w:r>
    </w:p>
    <w:p w14:paraId="6BF13EDC">
      <w:pPr>
        <w:snapToGrid w:val="0"/>
        <w:spacing w:line="360" w:lineRule="auto"/>
        <w:ind w:firstLine="523" w:firstLineChars="218"/>
        <w:rPr>
          <w:rFonts w:ascii="宋体" w:hAnsi="宋体" w:cs="宋体"/>
          <w:sz w:val="24"/>
        </w:rPr>
      </w:pPr>
      <w:r>
        <w:rPr>
          <w:rFonts w:hint="eastAsia" w:ascii="宋体" w:hAnsi="宋体" w:cs="宋体"/>
          <w:sz w:val="24"/>
        </w:rPr>
        <w:t>13.8竞争性磋商文件中要求供应商提供的报价资格证明文件及相关材料的复印件（证书、证件必须在有效期内，若发生变更的，应按有关规定办理完变更手续后方可参加报价，并以发证机关核准的变更为准）加盖供应商公章。</w:t>
      </w:r>
    </w:p>
    <w:p w14:paraId="286665C5">
      <w:pPr>
        <w:snapToGrid w:val="0"/>
        <w:spacing w:line="360" w:lineRule="auto"/>
        <w:ind w:firstLine="457" w:firstLineChars="218"/>
        <w:rPr>
          <w:rFonts w:ascii="宋体" w:hAnsi="宋体" w:cs="宋体"/>
        </w:rPr>
      </w:pPr>
    </w:p>
    <w:p w14:paraId="5250A205">
      <w:pPr>
        <w:pStyle w:val="27"/>
        <w:snapToGrid w:val="0"/>
        <w:spacing w:line="360" w:lineRule="auto"/>
        <w:jc w:val="center"/>
        <w:outlineLvl w:val="1"/>
        <w:rPr>
          <w:rFonts w:hAnsi="宋体" w:cs="宋体"/>
          <w:b/>
          <w:sz w:val="28"/>
        </w:rPr>
      </w:pPr>
      <w:bookmarkStart w:id="92" w:name="_Toc18424"/>
      <w:bookmarkStart w:id="93" w:name="_Toc18889_WPSOffice_Level2"/>
      <w:bookmarkStart w:id="94" w:name="_Toc31164_WPSOffice_Level2"/>
      <w:r>
        <w:rPr>
          <w:rFonts w:hint="eastAsia" w:hAnsi="宋体" w:cs="宋体"/>
          <w:b/>
          <w:sz w:val="28"/>
        </w:rPr>
        <w:t xml:space="preserve">四、 </w:t>
      </w:r>
      <w:bookmarkStart w:id="95" w:name="投标文件的提交"/>
      <w:r>
        <w:rPr>
          <w:rFonts w:hint="eastAsia" w:hAnsi="宋体" w:cs="宋体"/>
          <w:b/>
          <w:sz w:val="28"/>
        </w:rPr>
        <w:t>响应文件的提交</w:t>
      </w:r>
      <w:bookmarkEnd w:id="92"/>
      <w:bookmarkEnd w:id="93"/>
      <w:bookmarkEnd w:id="94"/>
      <w:bookmarkEnd w:id="95"/>
    </w:p>
    <w:p w14:paraId="68B382FA">
      <w:pPr>
        <w:snapToGrid w:val="0"/>
        <w:spacing w:line="360" w:lineRule="auto"/>
        <w:rPr>
          <w:rFonts w:ascii="宋体" w:hAnsi="宋体" w:cs="宋体"/>
          <w:b/>
          <w:sz w:val="24"/>
        </w:rPr>
      </w:pPr>
      <w:bookmarkStart w:id="96" w:name="_Toc32442_WPSOffice_Level3"/>
      <w:bookmarkStart w:id="97" w:name="_Toc29578_WPSOffice_Level3"/>
      <w:r>
        <w:rPr>
          <w:rFonts w:hint="eastAsia" w:ascii="宋体" w:hAnsi="宋体" w:cs="宋体"/>
          <w:b/>
          <w:sz w:val="24"/>
        </w:rPr>
        <w:t>14.</w:t>
      </w:r>
      <w:bookmarkStart w:id="98" w:name="投标文件的密封、标记和递交"/>
      <w:r>
        <w:rPr>
          <w:rFonts w:hint="eastAsia" w:ascii="宋体" w:hAnsi="宋体" w:cs="宋体"/>
          <w:b/>
          <w:sz w:val="24"/>
        </w:rPr>
        <w:t>响应文件的密封、标记和递交</w:t>
      </w:r>
      <w:bookmarkEnd w:id="96"/>
      <w:bookmarkEnd w:id="97"/>
      <w:bookmarkEnd w:id="98"/>
    </w:p>
    <w:p w14:paraId="26E81D88">
      <w:pPr>
        <w:snapToGrid w:val="0"/>
        <w:spacing w:line="360" w:lineRule="auto"/>
        <w:ind w:firstLine="523" w:firstLineChars="218"/>
        <w:rPr>
          <w:rFonts w:ascii="宋体" w:hAnsi="宋体" w:cs="宋体"/>
          <w:sz w:val="24"/>
        </w:rPr>
      </w:pPr>
      <w:r>
        <w:rPr>
          <w:rFonts w:hint="eastAsia" w:ascii="宋体" w:hAnsi="宋体" w:cs="宋体"/>
          <w:sz w:val="24"/>
        </w:rPr>
        <w:t>14.1</w:t>
      </w:r>
      <w:r>
        <w:rPr>
          <w:rFonts w:hint="eastAsia" w:ascii="宋体" w:hAnsi="宋体" w:cs="宋体"/>
          <w:b/>
          <w:sz w:val="24"/>
        </w:rPr>
        <w:t>供应商应将响应文件的正本和全部副本分别用信封密封，包装袋上应标明项目编号、供应商名称、项目名称字样。响应文件未密封将导致报价被拒绝。</w:t>
      </w:r>
    </w:p>
    <w:p w14:paraId="2FD12573">
      <w:pPr>
        <w:snapToGrid w:val="0"/>
        <w:spacing w:line="360" w:lineRule="auto"/>
        <w:ind w:firstLine="523" w:firstLineChars="218"/>
        <w:rPr>
          <w:rFonts w:ascii="宋体" w:hAnsi="宋体" w:cs="宋体"/>
          <w:sz w:val="24"/>
        </w:rPr>
      </w:pPr>
      <w:r>
        <w:rPr>
          <w:rFonts w:hint="eastAsia" w:ascii="宋体" w:hAnsi="宋体" w:cs="宋体"/>
          <w:sz w:val="24"/>
        </w:rPr>
        <w:t>14.2 每一密封处均应注明“</w:t>
      </w:r>
      <w:r>
        <w:rPr>
          <w:rFonts w:hint="eastAsia" w:ascii="宋体" w:hAnsi="宋体" w:cs="宋体"/>
          <w:sz w:val="24"/>
          <w:u w:val="single"/>
        </w:rPr>
        <w:t xml:space="preserve">于     </w:t>
      </w:r>
      <w:r>
        <w:rPr>
          <w:rFonts w:hint="eastAsia" w:ascii="宋体" w:hAnsi="宋体" w:cs="宋体"/>
          <w:sz w:val="24"/>
        </w:rPr>
        <w:t>之前（指采购邀请中规定的响应文件递交截止时间）不准启封”的字样，并加盖供应商公章。</w:t>
      </w:r>
    </w:p>
    <w:p w14:paraId="5D204C5B">
      <w:pPr>
        <w:snapToGrid w:val="0"/>
        <w:spacing w:line="360" w:lineRule="auto"/>
        <w:ind w:firstLine="523" w:firstLineChars="218"/>
        <w:rPr>
          <w:rFonts w:ascii="宋体" w:hAnsi="宋体" w:cs="宋体"/>
          <w:sz w:val="24"/>
        </w:rPr>
      </w:pPr>
      <w:r>
        <w:rPr>
          <w:rFonts w:hint="eastAsia" w:ascii="宋体" w:hAnsi="宋体" w:cs="宋体"/>
          <w:sz w:val="24"/>
        </w:rPr>
        <w:t>14.3响应文件由专人送交，供应商应将响应文件按照本须知第14.1条至第14.2条的规定进行密封和标记后，按供应商须知前附表注明的时间地址送至接收人。</w:t>
      </w:r>
    </w:p>
    <w:p w14:paraId="2168FE67">
      <w:pPr>
        <w:snapToGrid w:val="0"/>
        <w:spacing w:line="360" w:lineRule="auto"/>
        <w:ind w:firstLine="523" w:firstLineChars="218"/>
        <w:rPr>
          <w:rFonts w:ascii="宋体" w:hAnsi="宋体" w:cs="宋体"/>
          <w:sz w:val="24"/>
        </w:rPr>
      </w:pPr>
      <w:r>
        <w:rPr>
          <w:rFonts w:hint="eastAsia" w:ascii="宋体" w:hAnsi="宋体" w:cs="宋体"/>
          <w:sz w:val="24"/>
        </w:rPr>
        <w:t>14.4如果未按上述规定进行密封和标记，采购代理机构将不承担由此造成的对响应文件的误投或提前拆封的责任。</w:t>
      </w:r>
    </w:p>
    <w:p w14:paraId="3A65B27C">
      <w:pPr>
        <w:snapToGrid w:val="0"/>
        <w:spacing w:line="360" w:lineRule="auto"/>
        <w:ind w:firstLine="523" w:firstLineChars="218"/>
        <w:rPr>
          <w:rFonts w:ascii="宋体" w:hAnsi="宋体" w:cs="宋体"/>
          <w:sz w:val="24"/>
        </w:rPr>
      </w:pPr>
      <w:r>
        <w:rPr>
          <w:rFonts w:hint="eastAsia" w:ascii="宋体" w:hAnsi="宋体" w:cs="宋体"/>
          <w:sz w:val="24"/>
        </w:rPr>
        <w:t>14.5响应文件应在磋商邀请中规定的截止时间前送达，迟到的响应文件将被拒收。</w:t>
      </w:r>
    </w:p>
    <w:p w14:paraId="65831C19">
      <w:pPr>
        <w:snapToGrid w:val="0"/>
        <w:spacing w:line="360" w:lineRule="auto"/>
        <w:ind w:firstLine="523" w:firstLineChars="218"/>
        <w:rPr>
          <w:rFonts w:ascii="宋体" w:hAnsi="宋体" w:cs="宋体"/>
          <w:sz w:val="24"/>
        </w:rPr>
      </w:pPr>
      <w:r>
        <w:rPr>
          <w:rFonts w:hint="eastAsia" w:ascii="宋体" w:hAnsi="宋体" w:cs="宋体"/>
          <w:sz w:val="24"/>
        </w:rPr>
        <w:t>14.6供应商在响应文件递交截止时间前，可以对所提交的响应文件进行修改或者撤回，并书面通知采购代理机构。修改的内容和撤回通知应当按本须知要求签署、盖章、密封，并作为响应文件的组成部分。</w:t>
      </w:r>
    </w:p>
    <w:p w14:paraId="63284D03">
      <w:pPr>
        <w:snapToGrid w:val="0"/>
        <w:spacing w:line="360" w:lineRule="auto"/>
        <w:ind w:firstLine="523" w:firstLineChars="218"/>
        <w:rPr>
          <w:rFonts w:ascii="宋体" w:hAnsi="宋体" w:cs="宋体"/>
          <w:sz w:val="24"/>
        </w:rPr>
      </w:pPr>
      <w:r>
        <w:rPr>
          <w:rFonts w:hint="eastAsia" w:ascii="宋体" w:hAnsi="宋体" w:cs="宋体"/>
          <w:sz w:val="24"/>
        </w:rPr>
        <w:t>14.7供应商在响应文件递交截止期后不得修改、撤回响应文件。供应商在响应文件递交截止期后修改响应文件的，其报价被拒绝。</w:t>
      </w:r>
    </w:p>
    <w:p w14:paraId="618D7BE8">
      <w:pPr>
        <w:snapToGrid w:val="0"/>
        <w:spacing w:line="360" w:lineRule="auto"/>
        <w:ind w:firstLine="523" w:firstLineChars="218"/>
        <w:jc w:val="left"/>
        <w:rPr>
          <w:rFonts w:ascii="宋体" w:hAnsi="宋体" w:cs="宋体"/>
          <w:sz w:val="24"/>
          <w:szCs w:val="22"/>
          <w:highlight w:val="yellow"/>
        </w:rPr>
      </w:pPr>
      <w:r>
        <w:rPr>
          <w:rFonts w:hint="eastAsia" w:ascii="宋体" w:hAnsi="宋体" w:cs="宋体"/>
          <w:sz w:val="24"/>
          <w:szCs w:val="22"/>
        </w:rPr>
        <w:t>14.8</w:t>
      </w:r>
      <w:bookmarkStart w:id="99" w:name="_Toc24125_WPSOffice_Level2"/>
      <w:bookmarkStart w:id="100" w:name="_Toc7936_WPSOffice_Level2"/>
      <w:r>
        <w:rPr>
          <w:rFonts w:hint="eastAsia" w:ascii="宋体" w:hAnsi="宋体" w:cs="宋体"/>
          <w:sz w:val="24"/>
          <w:szCs w:val="22"/>
        </w:rPr>
        <w:t>除《政府采购竞争性磋商采购方式管理暂行办法》等相关法律法规及财政部门颁布的规范性文件允许的两家供应商进行竞争性磋商采购情形外，首次响应文件递交截止时间后，提交响应文件的供应商不足三家的，本次竞争性磋商活动终止，除采购任务取消情形外，采购人将依法重新组织采购或者采取其他方式采购。</w:t>
      </w:r>
    </w:p>
    <w:p w14:paraId="553CA2DA">
      <w:pPr>
        <w:snapToGrid w:val="0"/>
        <w:spacing w:line="360" w:lineRule="auto"/>
        <w:ind w:firstLine="613" w:firstLineChars="218"/>
        <w:jc w:val="center"/>
        <w:outlineLvl w:val="1"/>
        <w:rPr>
          <w:rFonts w:ascii="宋体" w:hAnsi="宋体" w:cs="宋体"/>
          <w:b/>
          <w:sz w:val="28"/>
        </w:rPr>
      </w:pPr>
      <w:bookmarkStart w:id="101" w:name="_Toc8432"/>
      <w:r>
        <w:rPr>
          <w:rFonts w:hint="eastAsia" w:ascii="宋体" w:hAnsi="宋体" w:cs="宋体"/>
          <w:b/>
          <w:sz w:val="28"/>
        </w:rPr>
        <w:t xml:space="preserve">五、  </w:t>
      </w:r>
      <w:bookmarkStart w:id="102" w:name="投标文件的评估和比较"/>
      <w:r>
        <w:rPr>
          <w:rFonts w:hint="eastAsia" w:ascii="宋体" w:hAnsi="宋体" w:cs="宋体"/>
          <w:b/>
          <w:sz w:val="28"/>
        </w:rPr>
        <w:t>响应文件的评估和比较</w:t>
      </w:r>
      <w:bookmarkEnd w:id="99"/>
      <w:bookmarkEnd w:id="100"/>
      <w:bookmarkEnd w:id="101"/>
      <w:bookmarkEnd w:id="102"/>
    </w:p>
    <w:p w14:paraId="7C8DE405">
      <w:pPr>
        <w:tabs>
          <w:tab w:val="left" w:pos="3330"/>
        </w:tabs>
        <w:snapToGrid w:val="0"/>
        <w:spacing w:line="360" w:lineRule="auto"/>
        <w:rPr>
          <w:rFonts w:ascii="宋体" w:hAnsi="宋体" w:cs="宋体"/>
          <w:b/>
          <w:sz w:val="24"/>
        </w:rPr>
      </w:pPr>
      <w:bookmarkStart w:id="103" w:name="_Toc28767_WPSOffice_Level3"/>
      <w:bookmarkStart w:id="104" w:name="_Toc2284_WPSOffice_Level3"/>
      <w:r>
        <w:rPr>
          <w:rFonts w:hint="eastAsia" w:ascii="宋体" w:hAnsi="宋体" w:cs="宋体"/>
          <w:b/>
          <w:sz w:val="24"/>
        </w:rPr>
        <w:t>15．磋商小组</w:t>
      </w:r>
      <w:bookmarkEnd w:id="103"/>
      <w:bookmarkEnd w:id="104"/>
    </w:p>
    <w:p w14:paraId="1AF5E752">
      <w:pPr>
        <w:snapToGrid w:val="0"/>
        <w:spacing w:line="360" w:lineRule="auto"/>
        <w:ind w:firstLine="240" w:firstLineChars="100"/>
        <w:rPr>
          <w:rFonts w:ascii="宋体" w:hAnsi="宋体" w:cs="宋体"/>
          <w:sz w:val="24"/>
        </w:rPr>
      </w:pPr>
      <w:r>
        <w:rPr>
          <w:rFonts w:hint="eastAsia" w:ascii="宋体" w:hAnsi="宋体" w:cs="宋体"/>
          <w:sz w:val="24"/>
        </w:rPr>
        <w:t xml:space="preserve">  15.1采购代理机构根据采购货物和服务的特点依法组建磋商小组。磋商小组由技术、经济、法律方面的专家和采购人代表共3人（含）以上单数组成，专家人数不少于总成员数的三分之二。在响应截止后的适当时间里由磋商小组对响应文件进行审查、质疑、评估和比较，并做出授予合同的建议。</w:t>
      </w:r>
    </w:p>
    <w:p w14:paraId="48555F23">
      <w:pPr>
        <w:snapToGrid w:val="0"/>
        <w:spacing w:line="360" w:lineRule="auto"/>
        <w:rPr>
          <w:rFonts w:ascii="宋体" w:hAnsi="宋体" w:cs="宋体"/>
          <w:b/>
          <w:sz w:val="24"/>
        </w:rPr>
      </w:pPr>
      <w:bookmarkStart w:id="105" w:name="_Toc25833_WPSOffice_Level3"/>
      <w:bookmarkStart w:id="106" w:name="_Toc8561_WPSOffice_Level3"/>
      <w:r>
        <w:rPr>
          <w:rFonts w:hint="eastAsia" w:ascii="宋体" w:hAnsi="宋体" w:cs="宋体"/>
          <w:b/>
          <w:sz w:val="24"/>
        </w:rPr>
        <w:t xml:space="preserve">16. </w:t>
      </w:r>
      <w:bookmarkStart w:id="107" w:name="投标文件的初审"/>
      <w:r>
        <w:rPr>
          <w:rFonts w:hint="eastAsia" w:ascii="宋体" w:hAnsi="宋体" w:cs="宋体"/>
          <w:b/>
          <w:sz w:val="24"/>
        </w:rPr>
        <w:t>响应文件的初审</w:t>
      </w:r>
      <w:bookmarkEnd w:id="105"/>
      <w:bookmarkEnd w:id="106"/>
      <w:bookmarkEnd w:id="107"/>
    </w:p>
    <w:p w14:paraId="5467516A">
      <w:pPr>
        <w:snapToGrid w:val="0"/>
        <w:spacing w:line="360" w:lineRule="auto"/>
        <w:ind w:firstLine="480" w:firstLineChars="200"/>
        <w:rPr>
          <w:rFonts w:ascii="宋体" w:hAnsi="宋体" w:cs="宋体"/>
          <w:sz w:val="24"/>
        </w:rPr>
      </w:pPr>
      <w:r>
        <w:rPr>
          <w:rFonts w:hint="eastAsia" w:ascii="宋体" w:hAnsi="宋体" w:cs="宋体"/>
          <w:sz w:val="24"/>
        </w:rPr>
        <w:t>对所有供应商的评估，都采用相同的程序和标准。评议过程将严格按照竞争性磋商文件的要求和条件进行。</w:t>
      </w:r>
    </w:p>
    <w:p w14:paraId="76C5DADB">
      <w:pPr>
        <w:snapToGrid w:val="0"/>
        <w:spacing w:line="360" w:lineRule="auto"/>
        <w:ind w:firstLine="480" w:firstLineChars="200"/>
        <w:rPr>
          <w:rFonts w:ascii="宋体" w:hAnsi="宋体" w:cs="宋体"/>
          <w:sz w:val="24"/>
        </w:rPr>
      </w:pPr>
      <w:r>
        <w:rPr>
          <w:rFonts w:hint="eastAsia" w:ascii="宋体" w:hAnsi="宋体" w:cs="宋体"/>
          <w:sz w:val="24"/>
        </w:rPr>
        <w:t>有关响应文件的审查、澄清、评估和比较以及推荐成交候选人的一切情况都不得透露给任一供应商或与上述评审工作无关的人员。</w:t>
      </w:r>
    </w:p>
    <w:p w14:paraId="58CDB2AC">
      <w:pPr>
        <w:snapToGrid w:val="0"/>
        <w:spacing w:line="360" w:lineRule="auto"/>
        <w:ind w:firstLine="480" w:firstLineChars="200"/>
        <w:rPr>
          <w:rFonts w:ascii="宋体" w:hAnsi="宋体" w:cs="宋体"/>
          <w:sz w:val="24"/>
        </w:rPr>
      </w:pPr>
      <w:r>
        <w:rPr>
          <w:rFonts w:hint="eastAsia" w:ascii="宋体" w:hAnsi="宋体" w:cs="宋体"/>
          <w:sz w:val="24"/>
        </w:rPr>
        <w:t>供应商任何试图影响磋商小组对响应文件的评估、比较或者推荐候选人的行为，都将被认定为报价无效，并被不予退还磋商保证金。</w:t>
      </w:r>
    </w:p>
    <w:p w14:paraId="6A3B928B">
      <w:pPr>
        <w:snapToGrid w:val="0"/>
        <w:spacing w:line="360" w:lineRule="auto"/>
        <w:rPr>
          <w:rFonts w:ascii="宋体" w:hAnsi="宋体" w:cs="宋体"/>
          <w:b/>
          <w:bCs/>
          <w:sz w:val="24"/>
        </w:rPr>
      </w:pPr>
      <w:bookmarkStart w:id="108" w:name="_Toc17271_WPSOffice_Level3"/>
      <w:bookmarkStart w:id="109" w:name="_Toc4008_WPSOffice_Level3"/>
      <w:r>
        <w:rPr>
          <w:rFonts w:hint="eastAsia" w:ascii="宋体" w:hAnsi="宋体" w:cs="宋体"/>
          <w:b/>
          <w:bCs/>
          <w:sz w:val="24"/>
        </w:rPr>
        <w:t>17. 资格性检查和符合性检查</w:t>
      </w:r>
      <w:bookmarkEnd w:id="108"/>
      <w:bookmarkEnd w:id="109"/>
    </w:p>
    <w:p w14:paraId="02C41CF5">
      <w:pPr>
        <w:snapToGrid w:val="0"/>
        <w:spacing w:line="360" w:lineRule="auto"/>
        <w:ind w:firstLine="480" w:firstLineChars="200"/>
        <w:rPr>
          <w:rFonts w:ascii="宋体" w:hAnsi="宋体" w:cs="宋体"/>
          <w:sz w:val="24"/>
        </w:rPr>
      </w:pPr>
      <w:r>
        <w:rPr>
          <w:rFonts w:hint="eastAsia" w:ascii="宋体" w:hAnsi="宋体" w:cs="宋体"/>
          <w:sz w:val="24"/>
        </w:rPr>
        <w:t>17.1磋商小组将对响应文件进行检查，以确定响应文件是否完整、有无计算上的错误、是否提交了磋商保证金、文件是否已正确签署。</w:t>
      </w:r>
    </w:p>
    <w:p w14:paraId="6FE2B3B7">
      <w:pPr>
        <w:snapToGrid w:val="0"/>
        <w:spacing w:line="360" w:lineRule="auto"/>
        <w:ind w:firstLine="480" w:firstLineChars="200"/>
        <w:rPr>
          <w:rFonts w:ascii="宋体" w:hAnsi="宋体" w:cs="宋体"/>
          <w:sz w:val="24"/>
        </w:rPr>
      </w:pPr>
      <w:r>
        <w:rPr>
          <w:rFonts w:hint="eastAsia" w:ascii="宋体" w:hAnsi="宋体" w:cs="宋体"/>
          <w:sz w:val="24"/>
        </w:rPr>
        <w:t>17.2 算术错误将按以下方法更正：</w:t>
      </w:r>
    </w:p>
    <w:p w14:paraId="109158B1">
      <w:pPr>
        <w:snapToGrid w:val="0"/>
        <w:spacing w:line="360" w:lineRule="auto"/>
        <w:ind w:firstLine="240" w:firstLineChars="100"/>
        <w:rPr>
          <w:rFonts w:ascii="宋体" w:hAnsi="宋体" w:cs="宋体"/>
          <w:sz w:val="24"/>
        </w:rPr>
      </w:pPr>
      <w:r>
        <w:rPr>
          <w:rFonts w:hint="eastAsia" w:ascii="宋体" w:hAnsi="宋体" w:cs="宋体"/>
          <w:sz w:val="24"/>
        </w:rPr>
        <w:t xml:space="preserve"> （1）响应文件中报价一览表(报价表)内容与响应文件中明细表内容不一致的，以报价一览表(报价表)为准。</w:t>
      </w:r>
    </w:p>
    <w:p w14:paraId="21D5208E">
      <w:pPr>
        <w:snapToGrid w:val="0"/>
        <w:spacing w:line="360" w:lineRule="auto"/>
        <w:ind w:firstLine="360" w:firstLineChars="150"/>
        <w:rPr>
          <w:rFonts w:ascii="宋体" w:hAnsi="宋体" w:cs="宋体"/>
          <w:sz w:val="24"/>
        </w:rPr>
      </w:pPr>
      <w:r>
        <w:rPr>
          <w:rFonts w:hint="eastAsia" w:ascii="宋体" w:hAnsi="宋体" w:cs="宋体"/>
          <w:sz w:val="24"/>
        </w:rPr>
        <w:t>(2)响应文件的大写金额和小写金额不一致的，以大写金额为准；总价金额与单价汇总金额不一致的，以单价金额计算结果为准，单价金额小数点有明显错位的，应以总价为准，并修改单价；对不同文字文本响应文件的解释发生异议的，以中文文本为准。</w:t>
      </w:r>
    </w:p>
    <w:p w14:paraId="6D640403">
      <w:pPr>
        <w:snapToGrid w:val="0"/>
        <w:spacing w:line="360" w:lineRule="auto"/>
        <w:ind w:firstLine="360" w:firstLineChars="150"/>
        <w:rPr>
          <w:rFonts w:ascii="宋体" w:hAnsi="宋体" w:cs="宋体"/>
          <w:sz w:val="24"/>
        </w:rPr>
      </w:pPr>
      <w:r>
        <w:rPr>
          <w:rFonts w:hint="eastAsia" w:ascii="宋体" w:hAnsi="宋体" w:cs="宋体"/>
          <w:sz w:val="24"/>
        </w:rPr>
        <w:t>(3)响应文件中响应的数量若少于竞争性磋商文件规定数量的，以总价为准，并修改数量和单价。</w:t>
      </w:r>
    </w:p>
    <w:p w14:paraId="7FB2BF91">
      <w:pPr>
        <w:tabs>
          <w:tab w:val="left" w:pos="2133"/>
        </w:tabs>
        <w:snapToGrid w:val="0"/>
        <w:spacing w:line="360" w:lineRule="auto"/>
        <w:ind w:firstLine="360" w:firstLineChars="150"/>
        <w:rPr>
          <w:rFonts w:ascii="宋体" w:hAnsi="宋体" w:cs="宋体"/>
          <w:sz w:val="24"/>
        </w:rPr>
      </w:pPr>
      <w:r>
        <w:rPr>
          <w:rFonts w:hint="eastAsia" w:ascii="宋体" w:hAnsi="宋体" w:cs="宋体"/>
          <w:sz w:val="24"/>
        </w:rPr>
        <w:t>(4)若(1)与(2)冲突，以(1)为准。</w:t>
      </w:r>
    </w:p>
    <w:p w14:paraId="06990976">
      <w:pPr>
        <w:tabs>
          <w:tab w:val="left" w:pos="2133"/>
        </w:tabs>
        <w:snapToGrid w:val="0"/>
        <w:spacing w:line="360" w:lineRule="auto"/>
        <w:ind w:firstLine="360" w:firstLineChars="150"/>
        <w:rPr>
          <w:rFonts w:ascii="宋体" w:hAnsi="宋体" w:cs="宋体"/>
          <w:sz w:val="24"/>
        </w:rPr>
      </w:pPr>
      <w:r>
        <w:rPr>
          <w:rFonts w:hint="eastAsia" w:ascii="宋体" w:hAnsi="宋体" w:cs="宋体"/>
          <w:sz w:val="24"/>
        </w:rPr>
        <w:t>(5)若出现更正方法矛盾的情形，则按对“有错”供应商不利的方法进行更正。</w:t>
      </w:r>
    </w:p>
    <w:p w14:paraId="47D739E6">
      <w:pPr>
        <w:tabs>
          <w:tab w:val="left" w:pos="1418"/>
        </w:tabs>
        <w:snapToGrid w:val="0"/>
        <w:spacing w:line="360" w:lineRule="auto"/>
        <w:ind w:firstLine="360" w:firstLineChars="150"/>
        <w:rPr>
          <w:rFonts w:ascii="宋体" w:hAnsi="宋体" w:cs="宋体"/>
          <w:sz w:val="24"/>
        </w:rPr>
      </w:pPr>
      <w:r>
        <w:rPr>
          <w:rFonts w:hint="eastAsia" w:ascii="宋体" w:hAnsi="宋体" w:cs="宋体"/>
          <w:sz w:val="24"/>
        </w:rPr>
        <w:t>(6)如果供应商不接受按上述方法对响应文件中的算术错误进行更正，将被认定为报价无效并不予退还其磋商保证金。</w:t>
      </w:r>
    </w:p>
    <w:p w14:paraId="71701A0C">
      <w:pPr>
        <w:snapToGrid w:val="0"/>
        <w:spacing w:line="360" w:lineRule="auto"/>
        <w:ind w:firstLine="480" w:firstLineChars="200"/>
        <w:rPr>
          <w:rFonts w:ascii="宋体" w:hAnsi="宋体" w:cs="宋体"/>
          <w:sz w:val="24"/>
        </w:rPr>
      </w:pPr>
      <w:r>
        <w:rPr>
          <w:rFonts w:hint="eastAsia" w:ascii="宋体" w:hAnsi="宋体" w:cs="宋体"/>
          <w:sz w:val="24"/>
        </w:rPr>
        <w:t xml:space="preserve">17.3资格性检查和符合性检查 </w:t>
      </w:r>
    </w:p>
    <w:p w14:paraId="0BD28BEC">
      <w:pPr>
        <w:snapToGrid w:val="0"/>
        <w:spacing w:line="360" w:lineRule="auto"/>
        <w:ind w:firstLine="480"/>
        <w:rPr>
          <w:rFonts w:ascii="宋体" w:hAnsi="宋体" w:cs="宋体"/>
          <w:sz w:val="24"/>
        </w:rPr>
      </w:pPr>
      <w:r>
        <w:rPr>
          <w:rFonts w:hint="eastAsia" w:ascii="宋体" w:hAnsi="宋体" w:cs="宋体"/>
          <w:sz w:val="24"/>
        </w:rPr>
        <w:t>17.3.1资格性检查。依据法律法规和竞争性磋商文件的规定，在对响应文件详细评估之前，磋商小组将依据供应商提交的响应文件按供应商须知前附表第2项所述的资格标准对供应商进行资格审查，以确定其是否具备报价资格。如果供应商不具备报价资格，不满足竞争性磋商文件所规定的资格标准或提供资格证明文件不全的，其报价将被视为未实质性响应竞争性磋商文件要求，其响应及报价将被拒绝。</w:t>
      </w:r>
    </w:p>
    <w:p w14:paraId="724FE94E">
      <w:pPr>
        <w:snapToGrid w:val="0"/>
        <w:spacing w:line="360" w:lineRule="auto"/>
        <w:ind w:firstLine="480"/>
        <w:rPr>
          <w:rFonts w:ascii="宋体" w:hAnsi="宋体" w:cs="宋体"/>
          <w:sz w:val="24"/>
        </w:rPr>
      </w:pPr>
      <w:r>
        <w:rPr>
          <w:rFonts w:hint="eastAsia" w:ascii="宋体" w:hAnsi="宋体" w:cs="宋体"/>
          <w:sz w:val="24"/>
        </w:rPr>
        <w:t>17.3.2符合性和重大偏差检查。依据竞争性磋商文件的规定，磋商小组还将从响应文件的有效性、完整性和对竞争性磋商文件的响应程度进行审查，以确定是否符合对竞争性磋商文件的实质性要求作出响应。实质性偏离是指：（一）实质性影响合同的范围、质量和履行；（二）实质性违背竞争性磋商文件，限制了采购人的权利和成交人合同项下的义务；（三）不公正地影响了其他作出实质性响应的供应商的竞争地位。对没有实质性响应的响应文件将不进行评估，其报价无效。</w:t>
      </w:r>
      <w:r>
        <w:rPr>
          <w:rFonts w:hint="eastAsia" w:ascii="宋体" w:hAnsi="宋体" w:cs="宋体"/>
          <w:b/>
          <w:sz w:val="24"/>
        </w:rPr>
        <w:t>凡有下列情况之一者，属于重大偏差，响应文件也将被视为未实质性响应竞争性磋商文件要求</w:t>
      </w:r>
      <w:r>
        <w:rPr>
          <w:rFonts w:hint="eastAsia" w:ascii="宋体" w:hAnsi="宋体" w:cs="宋体"/>
          <w:sz w:val="24"/>
        </w:rPr>
        <w:t>：</w:t>
      </w:r>
    </w:p>
    <w:p w14:paraId="28039BD6">
      <w:pPr>
        <w:numPr>
          <w:ilvl w:val="0"/>
          <w:numId w:val="2"/>
        </w:numPr>
        <w:snapToGrid w:val="0"/>
        <w:spacing w:line="360" w:lineRule="auto"/>
        <w:rPr>
          <w:rFonts w:ascii="宋体" w:hAnsi="宋体" w:cs="宋体"/>
          <w:sz w:val="24"/>
        </w:rPr>
      </w:pPr>
      <w:r>
        <w:rPr>
          <w:rFonts w:hint="eastAsia" w:ascii="宋体" w:hAnsi="宋体" w:cs="宋体"/>
          <w:sz w:val="24"/>
        </w:rPr>
        <w:t>响应文件未按照本须知第14条的规定进行密封、标记的；</w:t>
      </w:r>
    </w:p>
    <w:p w14:paraId="28CAE7DB">
      <w:pPr>
        <w:numPr>
          <w:ilvl w:val="0"/>
          <w:numId w:val="2"/>
        </w:numPr>
        <w:snapToGrid w:val="0"/>
        <w:spacing w:line="360" w:lineRule="auto"/>
        <w:rPr>
          <w:rFonts w:ascii="宋体" w:hAnsi="宋体" w:cs="宋体"/>
          <w:sz w:val="24"/>
        </w:rPr>
      </w:pPr>
      <w:r>
        <w:rPr>
          <w:rFonts w:hint="eastAsia" w:ascii="宋体" w:hAnsi="宋体" w:cs="宋体"/>
          <w:sz w:val="24"/>
        </w:rPr>
        <w:t>未按规定由供应商的法定代表人或其授权代表签字，或未加盖供应商公章；或签字人未经法定代表人有效授权委托的，或响应文件中有代签名、虚假签名、加盖虚假印章、盖章不符合要求等情况；</w:t>
      </w:r>
    </w:p>
    <w:p w14:paraId="369BB755">
      <w:pPr>
        <w:numPr>
          <w:ilvl w:val="0"/>
          <w:numId w:val="2"/>
        </w:numPr>
        <w:snapToGrid w:val="0"/>
        <w:spacing w:line="360" w:lineRule="auto"/>
        <w:rPr>
          <w:rFonts w:ascii="宋体" w:hAnsi="宋体" w:cs="宋体"/>
          <w:sz w:val="24"/>
        </w:rPr>
      </w:pPr>
      <w:r>
        <w:rPr>
          <w:rFonts w:hint="eastAsia" w:ascii="宋体" w:hAnsi="宋体" w:cs="宋体"/>
          <w:sz w:val="24"/>
        </w:rPr>
        <w:t>不满足竞争性磋商文件所规定的合格性标准或提供资格证明文件不全的；</w:t>
      </w:r>
    </w:p>
    <w:p w14:paraId="70DED27B">
      <w:pPr>
        <w:numPr>
          <w:ilvl w:val="0"/>
          <w:numId w:val="2"/>
        </w:numPr>
        <w:snapToGrid w:val="0"/>
        <w:spacing w:line="360" w:lineRule="auto"/>
        <w:rPr>
          <w:rFonts w:ascii="宋体" w:hAnsi="宋体" w:cs="宋体"/>
          <w:sz w:val="24"/>
        </w:rPr>
      </w:pPr>
      <w:r>
        <w:rPr>
          <w:rFonts w:hint="eastAsia" w:ascii="宋体" w:hAnsi="宋体" w:cs="宋体"/>
          <w:sz w:val="24"/>
        </w:rPr>
        <w:t>未按规定提交磋商保证金的；</w:t>
      </w:r>
    </w:p>
    <w:p w14:paraId="5C87AE9E">
      <w:pPr>
        <w:numPr>
          <w:ilvl w:val="0"/>
          <w:numId w:val="2"/>
        </w:numPr>
        <w:snapToGrid w:val="0"/>
        <w:spacing w:line="360" w:lineRule="auto"/>
        <w:rPr>
          <w:rFonts w:ascii="宋体" w:hAnsi="宋体" w:cs="宋体"/>
          <w:sz w:val="24"/>
        </w:rPr>
      </w:pPr>
      <w:r>
        <w:rPr>
          <w:rFonts w:hint="eastAsia" w:ascii="宋体" w:hAnsi="宋体" w:cs="宋体"/>
          <w:sz w:val="24"/>
        </w:rPr>
        <w:t>报价有效期不满足竞争性磋商文件要求的；</w:t>
      </w:r>
    </w:p>
    <w:p w14:paraId="65B04CC1">
      <w:pPr>
        <w:numPr>
          <w:ilvl w:val="0"/>
          <w:numId w:val="2"/>
        </w:numPr>
        <w:snapToGrid w:val="0"/>
        <w:spacing w:line="360" w:lineRule="auto"/>
        <w:rPr>
          <w:rFonts w:ascii="宋体" w:hAnsi="宋体" w:cs="宋体"/>
          <w:sz w:val="24"/>
        </w:rPr>
      </w:pPr>
      <w:r>
        <w:rPr>
          <w:rFonts w:hint="eastAsia" w:ascii="宋体" w:hAnsi="宋体" w:cs="宋体"/>
          <w:sz w:val="24"/>
        </w:rPr>
        <w:t>报价内容与采购内容及要求有重大偏离或保留的；</w:t>
      </w:r>
    </w:p>
    <w:p w14:paraId="5594CB12">
      <w:pPr>
        <w:numPr>
          <w:ilvl w:val="0"/>
          <w:numId w:val="2"/>
        </w:numPr>
        <w:snapToGrid w:val="0"/>
        <w:spacing w:line="360" w:lineRule="auto"/>
        <w:rPr>
          <w:rFonts w:ascii="宋体" w:hAnsi="宋体" w:cs="宋体"/>
          <w:sz w:val="24"/>
        </w:rPr>
      </w:pPr>
      <w:r>
        <w:rPr>
          <w:rFonts w:hint="eastAsia" w:ascii="宋体" w:hAnsi="宋体" w:cs="宋体"/>
          <w:sz w:val="24"/>
        </w:rPr>
        <w:t>供应商提交的是可选择的报价；</w:t>
      </w:r>
    </w:p>
    <w:p w14:paraId="6B30773E">
      <w:pPr>
        <w:numPr>
          <w:ilvl w:val="0"/>
          <w:numId w:val="2"/>
        </w:numPr>
        <w:snapToGrid w:val="0"/>
        <w:spacing w:line="360" w:lineRule="auto"/>
        <w:rPr>
          <w:rFonts w:ascii="宋体" w:hAnsi="宋体" w:cs="宋体"/>
          <w:sz w:val="24"/>
        </w:rPr>
      </w:pPr>
      <w:r>
        <w:rPr>
          <w:rFonts w:hint="eastAsia" w:ascii="宋体" w:hAnsi="宋体" w:cs="宋体"/>
          <w:sz w:val="24"/>
        </w:rPr>
        <w:t>响应文件中提供虚假或失实资料的；</w:t>
      </w:r>
    </w:p>
    <w:p w14:paraId="7A687CA8">
      <w:pPr>
        <w:numPr>
          <w:ilvl w:val="0"/>
          <w:numId w:val="2"/>
        </w:numPr>
        <w:snapToGrid w:val="0"/>
        <w:spacing w:line="360" w:lineRule="auto"/>
        <w:rPr>
          <w:rFonts w:ascii="宋体" w:hAnsi="宋体" w:cs="宋体"/>
          <w:sz w:val="24"/>
        </w:rPr>
      </w:pPr>
      <w:r>
        <w:rPr>
          <w:rFonts w:hint="eastAsia" w:ascii="宋体" w:hAnsi="宋体" w:cs="宋体"/>
          <w:sz w:val="24"/>
        </w:rPr>
        <w:t>项目完成期限超过竞争性磋商文件规定</w:t>
      </w:r>
    </w:p>
    <w:p w14:paraId="1FF0086E">
      <w:pPr>
        <w:numPr>
          <w:ilvl w:val="0"/>
          <w:numId w:val="2"/>
        </w:numPr>
        <w:tabs>
          <w:tab w:val="left" w:pos="567"/>
        </w:tabs>
        <w:snapToGrid w:val="0"/>
        <w:spacing w:line="360" w:lineRule="auto"/>
        <w:rPr>
          <w:rFonts w:ascii="宋体" w:hAnsi="宋体" w:cs="宋体"/>
          <w:sz w:val="24"/>
        </w:rPr>
      </w:pPr>
      <w:r>
        <w:rPr>
          <w:rFonts w:hint="eastAsia" w:ascii="宋体" w:hAnsi="宋体" w:cs="宋体"/>
          <w:sz w:val="24"/>
        </w:rPr>
        <w:t>明显不符合技术规格、技术标准的要求；</w:t>
      </w:r>
    </w:p>
    <w:p w14:paraId="3118C390">
      <w:pPr>
        <w:numPr>
          <w:ilvl w:val="0"/>
          <w:numId w:val="2"/>
        </w:numPr>
        <w:tabs>
          <w:tab w:val="left" w:pos="567"/>
        </w:tabs>
        <w:snapToGrid w:val="0"/>
        <w:spacing w:line="360" w:lineRule="auto"/>
        <w:rPr>
          <w:rFonts w:ascii="宋体" w:hAnsi="宋体" w:cs="宋体"/>
          <w:sz w:val="24"/>
        </w:rPr>
      </w:pPr>
      <w:r>
        <w:rPr>
          <w:rFonts w:hint="eastAsia" w:ascii="宋体" w:hAnsi="宋体" w:cs="宋体"/>
          <w:sz w:val="24"/>
        </w:rPr>
        <w:t>响应文件载明的货物包装方式、检验标准和方法等不符合竞争性磋商文件的要求；</w:t>
      </w:r>
    </w:p>
    <w:p w14:paraId="5A9E2F71">
      <w:pPr>
        <w:numPr>
          <w:ilvl w:val="0"/>
          <w:numId w:val="2"/>
        </w:numPr>
        <w:tabs>
          <w:tab w:val="left" w:pos="567"/>
        </w:tabs>
        <w:snapToGrid w:val="0"/>
        <w:spacing w:line="360" w:lineRule="auto"/>
        <w:rPr>
          <w:rFonts w:ascii="宋体" w:hAnsi="宋体" w:cs="宋体"/>
          <w:sz w:val="24"/>
        </w:rPr>
      </w:pPr>
      <w:r>
        <w:rPr>
          <w:rFonts w:hint="eastAsia" w:ascii="宋体" w:hAnsi="宋体" w:cs="宋体"/>
          <w:sz w:val="24"/>
        </w:rPr>
        <w:t>供应商附有采购人不能接受的条件；</w:t>
      </w:r>
    </w:p>
    <w:p w14:paraId="61B8F5BD">
      <w:pPr>
        <w:numPr>
          <w:ilvl w:val="0"/>
          <w:numId w:val="2"/>
        </w:numPr>
        <w:tabs>
          <w:tab w:val="left" w:pos="567"/>
        </w:tabs>
        <w:snapToGrid w:val="0"/>
        <w:spacing w:line="360" w:lineRule="auto"/>
        <w:rPr>
          <w:rFonts w:ascii="宋体" w:hAnsi="宋体" w:cs="宋体"/>
          <w:sz w:val="24"/>
        </w:rPr>
      </w:pPr>
      <w:r>
        <w:rPr>
          <w:rFonts w:hint="eastAsia" w:ascii="宋体" w:hAnsi="宋体" w:cs="宋体"/>
          <w:sz w:val="24"/>
        </w:rPr>
        <w:t>一个供应商不止提交一个响应文件；</w:t>
      </w:r>
    </w:p>
    <w:p w14:paraId="4D021F83">
      <w:pPr>
        <w:numPr>
          <w:ilvl w:val="0"/>
          <w:numId w:val="2"/>
        </w:numPr>
        <w:tabs>
          <w:tab w:val="left" w:pos="567"/>
        </w:tabs>
        <w:snapToGrid w:val="0"/>
        <w:spacing w:line="360" w:lineRule="auto"/>
        <w:rPr>
          <w:rFonts w:ascii="宋体" w:hAnsi="宋体" w:cs="宋体"/>
          <w:sz w:val="24"/>
        </w:rPr>
      </w:pPr>
      <w:r>
        <w:rPr>
          <w:rFonts w:hint="eastAsia" w:ascii="宋体" w:hAnsi="宋体" w:cs="宋体"/>
          <w:sz w:val="24"/>
        </w:rPr>
        <w:t>响应文件组成不符合竞争性磋商文件要求的；</w:t>
      </w:r>
    </w:p>
    <w:p w14:paraId="7658E5AA">
      <w:pPr>
        <w:numPr>
          <w:ilvl w:val="0"/>
          <w:numId w:val="2"/>
        </w:numPr>
        <w:tabs>
          <w:tab w:val="left" w:pos="567"/>
        </w:tabs>
        <w:snapToGrid w:val="0"/>
        <w:spacing w:line="360" w:lineRule="auto"/>
        <w:rPr>
          <w:rFonts w:ascii="宋体" w:hAnsi="宋体" w:cs="宋体"/>
          <w:sz w:val="24"/>
        </w:rPr>
      </w:pPr>
      <w:r>
        <w:rPr>
          <w:rFonts w:hint="eastAsia" w:ascii="宋体" w:hAnsi="宋体" w:cs="宋体"/>
          <w:sz w:val="24"/>
        </w:rPr>
        <w:t>不符合竞争性磋商文件中规定的其他实质性要求的条款。其他实质性要求的条款可由磋商小组一致讨论确定。</w:t>
      </w:r>
    </w:p>
    <w:p w14:paraId="1BD9F67A">
      <w:pPr>
        <w:snapToGrid w:val="0"/>
        <w:spacing w:line="360" w:lineRule="auto"/>
        <w:ind w:firstLine="480" w:firstLineChars="200"/>
        <w:rPr>
          <w:rFonts w:ascii="宋体" w:hAnsi="宋体" w:cs="宋体"/>
          <w:sz w:val="24"/>
        </w:rPr>
      </w:pPr>
      <w:r>
        <w:rPr>
          <w:rFonts w:hint="eastAsia" w:ascii="宋体" w:hAnsi="宋体" w:cs="宋体"/>
          <w:sz w:val="24"/>
        </w:rPr>
        <w:t>磋商小组决定报价的响应性只根据响应文件本身的内容，而不寻求其他的外部证据。</w:t>
      </w:r>
    </w:p>
    <w:p w14:paraId="3EFCA874">
      <w:pPr>
        <w:snapToGrid w:val="0"/>
        <w:spacing w:line="360" w:lineRule="auto"/>
        <w:rPr>
          <w:rFonts w:ascii="宋体" w:hAnsi="宋体" w:cs="宋体"/>
          <w:b/>
          <w:sz w:val="24"/>
        </w:rPr>
      </w:pPr>
      <w:bookmarkStart w:id="110" w:name="_Toc6848_WPSOffice_Level3"/>
      <w:bookmarkStart w:id="111" w:name="_Toc3925_WPSOffice_Level3"/>
      <w:r>
        <w:rPr>
          <w:rFonts w:hint="eastAsia" w:ascii="宋体" w:hAnsi="宋体" w:cs="宋体"/>
          <w:b/>
          <w:sz w:val="24"/>
        </w:rPr>
        <w:t>18.响应文件的澄清</w:t>
      </w:r>
      <w:bookmarkEnd w:id="110"/>
      <w:bookmarkEnd w:id="111"/>
    </w:p>
    <w:p w14:paraId="3BE0F0A7">
      <w:pPr>
        <w:snapToGrid w:val="0"/>
        <w:spacing w:line="360" w:lineRule="auto"/>
        <w:ind w:firstLine="480" w:firstLineChars="200"/>
        <w:rPr>
          <w:rFonts w:ascii="宋体" w:hAnsi="宋体" w:cs="宋体"/>
          <w:sz w:val="24"/>
        </w:rPr>
      </w:pPr>
      <w:r>
        <w:rPr>
          <w:rFonts w:hint="eastAsia" w:ascii="宋体" w:hAnsi="宋体" w:cs="宋体"/>
          <w:sz w:val="24"/>
        </w:rPr>
        <w:t>18.1 对响应文件中含义不明确、同类问题表述不一致或者有明显文字和计算错误的内容，磋商小组可以要求供应商作出必要的澄清、说明或者纠正。供应商的澄清、说明或者纠正应当在磋商小组规定的时间内以书面形式作出，由其法定代表人或者授权代表签字，并不得超出响应文件的范围或者改变响应文件的实质性内容。</w:t>
      </w:r>
    </w:p>
    <w:p w14:paraId="36DB8C14">
      <w:pPr>
        <w:snapToGrid w:val="0"/>
        <w:spacing w:line="360" w:lineRule="auto"/>
        <w:ind w:firstLine="480" w:firstLineChars="200"/>
        <w:rPr>
          <w:rFonts w:ascii="宋体" w:hAnsi="宋体" w:cs="宋体"/>
          <w:sz w:val="24"/>
        </w:rPr>
      </w:pPr>
      <w:r>
        <w:rPr>
          <w:rFonts w:hint="eastAsia" w:ascii="宋体" w:hAnsi="宋体" w:cs="宋体"/>
          <w:sz w:val="24"/>
        </w:rPr>
        <w:t>18.2细微偏差澄清：响应文件实质上响应竞争性磋商文件要求，但在个别地方存在漏项或者提供了不完整的技术信息和数据等情况，且补正这些遗漏或者不完整不会对其他供应商造成不公平的结果。磋商小组可以书面要求供应商在评审结束前予以补正。补正的程序和方法按法定的澄清程序执行。无法补正或不允许补正的，可在评审时对细微偏差作不利于该供应商的认定。对细微偏差的不利认定标准将在本章供应商须知前附表第6项所述“评审标准与方法”中做出规定。</w:t>
      </w:r>
    </w:p>
    <w:p w14:paraId="55EB0D11">
      <w:pPr>
        <w:snapToGrid w:val="0"/>
        <w:spacing w:line="360" w:lineRule="auto"/>
        <w:ind w:firstLine="480" w:firstLineChars="200"/>
        <w:rPr>
          <w:rFonts w:ascii="宋体" w:hAnsi="宋体" w:cs="宋体"/>
          <w:sz w:val="24"/>
        </w:rPr>
      </w:pPr>
      <w:r>
        <w:rPr>
          <w:rFonts w:hint="eastAsia" w:ascii="宋体" w:hAnsi="宋体" w:cs="宋体"/>
          <w:sz w:val="24"/>
        </w:rPr>
        <w:t>18.3其他澄清：竞争性磋商文件规定的其他须澄清情况。</w:t>
      </w:r>
    </w:p>
    <w:p w14:paraId="2B0EC793">
      <w:pPr>
        <w:snapToGrid w:val="0"/>
        <w:spacing w:line="360" w:lineRule="auto"/>
        <w:rPr>
          <w:rFonts w:ascii="宋体" w:hAnsi="宋体" w:cs="宋体"/>
          <w:b/>
          <w:sz w:val="24"/>
        </w:rPr>
      </w:pPr>
      <w:bookmarkStart w:id="112" w:name="_Toc10794_WPSOffice_Level3"/>
      <w:bookmarkStart w:id="113" w:name="_Toc30683_WPSOffice_Level3"/>
      <w:r>
        <w:rPr>
          <w:rFonts w:hint="eastAsia" w:ascii="宋体" w:hAnsi="宋体" w:cs="宋体"/>
          <w:b/>
          <w:sz w:val="24"/>
        </w:rPr>
        <w:t xml:space="preserve">19. </w:t>
      </w:r>
      <w:bookmarkStart w:id="114" w:name="比较与评价"/>
      <w:r>
        <w:rPr>
          <w:rFonts w:hint="eastAsia" w:ascii="宋体" w:hAnsi="宋体" w:cs="宋体"/>
          <w:b/>
          <w:sz w:val="24"/>
        </w:rPr>
        <w:t>比较与评价</w:t>
      </w:r>
      <w:bookmarkEnd w:id="112"/>
      <w:bookmarkEnd w:id="113"/>
      <w:bookmarkEnd w:id="114"/>
    </w:p>
    <w:p w14:paraId="5C3343B0">
      <w:pPr>
        <w:snapToGrid w:val="0"/>
        <w:spacing w:line="360" w:lineRule="auto"/>
        <w:rPr>
          <w:rFonts w:ascii="宋体" w:hAnsi="宋体" w:cs="宋体"/>
          <w:sz w:val="24"/>
        </w:rPr>
      </w:pPr>
      <w:r>
        <w:rPr>
          <w:rFonts w:hint="eastAsia" w:ascii="宋体" w:hAnsi="宋体" w:cs="宋体"/>
          <w:sz w:val="24"/>
        </w:rPr>
        <w:t xml:space="preserve">    19.1磋商小组将对资格性检查和符合性检查合格的响应文件进行商务和技术评估，综合比较与评价。</w:t>
      </w:r>
    </w:p>
    <w:p w14:paraId="408E5C00">
      <w:pPr>
        <w:snapToGrid w:val="0"/>
        <w:spacing w:line="360" w:lineRule="auto"/>
        <w:ind w:firstLine="480" w:firstLineChars="200"/>
        <w:rPr>
          <w:rFonts w:ascii="宋体" w:hAnsi="宋体" w:cs="宋体"/>
          <w:sz w:val="24"/>
        </w:rPr>
      </w:pPr>
      <w:r>
        <w:rPr>
          <w:rFonts w:hint="eastAsia" w:ascii="宋体" w:hAnsi="宋体" w:cs="宋体"/>
          <w:sz w:val="24"/>
        </w:rPr>
        <w:t>19.2对漏（缺）报项的处理：竞争性磋商文件中要求列入报价的费用（含配置、功能等），漏（缺）报的视同已含在报价中。但在评审时取有效供应商该项最高报价加入评审价进行评审。对多报项及赠送项的价格评审时不予核减，全部进入评审价评议。</w:t>
      </w:r>
    </w:p>
    <w:p w14:paraId="1104B4AC">
      <w:pPr>
        <w:snapToGrid w:val="0"/>
        <w:spacing w:line="360" w:lineRule="auto"/>
        <w:ind w:firstLine="480"/>
        <w:rPr>
          <w:rFonts w:ascii="宋体" w:hAnsi="宋体" w:cs="宋体"/>
          <w:sz w:val="24"/>
        </w:rPr>
      </w:pPr>
      <w:r>
        <w:rPr>
          <w:rFonts w:hint="eastAsia" w:ascii="宋体" w:hAnsi="宋体" w:cs="宋体"/>
          <w:sz w:val="24"/>
        </w:rPr>
        <w:t>19.3若供应商的报价明显低于其他报价，使得其报价可能低于其个别成本的，有可能影响商品质量或不能诚信履约的，供应商应按磋商小组要求作出书面说明并提供相关证明材料，不能合理说明或不能提供相关证明材料的，可作无效报价处理。</w:t>
      </w:r>
    </w:p>
    <w:p w14:paraId="2260135F">
      <w:pPr>
        <w:snapToGrid w:val="0"/>
        <w:spacing w:line="360" w:lineRule="auto"/>
        <w:ind w:firstLine="480" w:firstLineChars="200"/>
        <w:rPr>
          <w:rFonts w:ascii="宋体" w:hAnsi="宋体" w:cs="宋体"/>
          <w:sz w:val="24"/>
        </w:rPr>
      </w:pPr>
      <w:r>
        <w:rPr>
          <w:rFonts w:hint="eastAsia" w:ascii="宋体" w:hAnsi="宋体" w:cs="宋体"/>
          <w:sz w:val="24"/>
        </w:rPr>
        <w:t>19.4磋商小组在评审过程中发现供应商存在下列情形之一的，可认定其有串通报价行为，并做出其报价无效的决定：</w:t>
      </w:r>
    </w:p>
    <w:p w14:paraId="5402FA92">
      <w:pPr>
        <w:snapToGrid w:val="0"/>
        <w:spacing w:line="360" w:lineRule="auto"/>
        <w:ind w:firstLine="480" w:firstLineChars="200"/>
        <w:rPr>
          <w:rFonts w:ascii="宋体" w:hAnsi="宋体" w:cs="宋体"/>
          <w:sz w:val="24"/>
        </w:rPr>
      </w:pPr>
      <w:r>
        <w:rPr>
          <w:rFonts w:hint="eastAsia" w:ascii="宋体" w:hAnsi="宋体" w:cs="宋体"/>
          <w:sz w:val="24"/>
        </w:rPr>
        <w:t>⑴不同供应商的响应文件错、漏之处一致或雷同，且不能合理解释的；</w:t>
      </w:r>
    </w:p>
    <w:p w14:paraId="6D9A1ACA">
      <w:pPr>
        <w:snapToGrid w:val="0"/>
        <w:spacing w:line="360" w:lineRule="auto"/>
        <w:ind w:right="-210" w:rightChars="-100" w:firstLine="480" w:firstLineChars="200"/>
        <w:rPr>
          <w:rFonts w:ascii="宋体" w:hAnsi="宋体" w:cs="宋体"/>
          <w:sz w:val="24"/>
        </w:rPr>
      </w:pPr>
      <w:r>
        <w:rPr>
          <w:rFonts w:hint="eastAsia" w:ascii="宋体" w:hAnsi="宋体" w:cs="宋体"/>
          <w:sz w:val="24"/>
        </w:rPr>
        <w:t>⑵不同的供应商的法定代表人、委托代理人等由同一个单位缴纳社会保险的；</w:t>
      </w:r>
    </w:p>
    <w:p w14:paraId="4660C5CF">
      <w:pPr>
        <w:tabs>
          <w:tab w:val="left" w:pos="3261"/>
        </w:tabs>
        <w:snapToGrid w:val="0"/>
        <w:spacing w:line="360" w:lineRule="auto"/>
        <w:ind w:firstLine="480" w:firstLineChars="200"/>
        <w:rPr>
          <w:rFonts w:ascii="宋体" w:hAnsi="宋体" w:cs="宋体"/>
          <w:sz w:val="24"/>
        </w:rPr>
      </w:pPr>
      <w:r>
        <w:rPr>
          <w:rFonts w:hint="eastAsia" w:ascii="宋体" w:hAnsi="宋体" w:cs="宋体"/>
          <w:sz w:val="24"/>
        </w:rPr>
        <w:t>⑶由同一人或分别由几个有利害关系人携带两个以上（含两个）供应商的企业资料参与资格审查、领取采购文件资料，或代表两个以上（含两个）供应商参加采购答疑会、缴纳或退还磋商保证金的；</w:t>
      </w:r>
    </w:p>
    <w:p w14:paraId="77469002">
      <w:pPr>
        <w:snapToGrid w:val="0"/>
        <w:spacing w:line="360" w:lineRule="auto"/>
        <w:ind w:firstLine="480" w:firstLineChars="200"/>
        <w:rPr>
          <w:rFonts w:ascii="宋体" w:hAnsi="宋体" w:cs="宋体"/>
          <w:sz w:val="24"/>
        </w:rPr>
      </w:pPr>
      <w:r>
        <w:rPr>
          <w:rFonts w:hint="eastAsia" w:ascii="宋体" w:hAnsi="宋体" w:cs="宋体"/>
          <w:sz w:val="24"/>
        </w:rPr>
        <w:t>⑷有关法律、法规或规章规定的其他串通报价行为。</w:t>
      </w:r>
    </w:p>
    <w:p w14:paraId="7F15C6AE">
      <w:pPr>
        <w:snapToGrid w:val="0"/>
        <w:spacing w:line="360" w:lineRule="auto"/>
        <w:ind w:firstLine="480" w:firstLineChars="200"/>
        <w:rPr>
          <w:rFonts w:ascii="宋体" w:hAnsi="宋体" w:cs="宋体"/>
          <w:sz w:val="24"/>
          <w:szCs w:val="24"/>
        </w:rPr>
      </w:pPr>
      <w:r>
        <w:rPr>
          <w:rFonts w:hint="eastAsia" w:ascii="宋体" w:hAnsi="宋体" w:cs="宋体"/>
          <w:sz w:val="24"/>
          <w:szCs w:val="24"/>
        </w:rPr>
        <w:t>19.5磋商小组将按比较与评价最优在先原则，排列评价顺序，根据在供应商须知前附表中确定的成交候选人数量推荐出成交候选人。</w:t>
      </w:r>
    </w:p>
    <w:p w14:paraId="5107C115">
      <w:pPr>
        <w:snapToGrid w:val="0"/>
        <w:spacing w:line="360" w:lineRule="auto"/>
        <w:ind w:firstLine="480" w:firstLineChars="200"/>
        <w:rPr>
          <w:rFonts w:ascii="宋体" w:hAnsi="宋体" w:cs="宋体"/>
          <w:sz w:val="24"/>
          <w:szCs w:val="24"/>
          <w:highlight w:val="yellow"/>
        </w:rPr>
      </w:pPr>
      <w:r>
        <w:rPr>
          <w:rFonts w:hint="eastAsia" w:ascii="宋体" w:hAnsi="宋体" w:cs="宋体"/>
          <w:sz w:val="24"/>
          <w:szCs w:val="24"/>
        </w:rPr>
        <w:t>19.6磋商文件不能详细列明采购标的的技术、服务要求，需经磋商由供应商提供最终设计方案或解决方案的，磋商结束后，磋商小组应当按照少数服从多数的原则投票推荐3家以上供应商的设计方案或者解决方案，并要求其在规定时间内提交最后报价。属于《政府采购竞争性磋商采购方式管理暂行办法》等相关法律法规及财政部门颁布的规范性文件允许的两家供应商进行竞争性磋商采购情形，则提交最后报价的供应商可以为两家。</w:t>
      </w:r>
    </w:p>
    <w:p w14:paraId="5642084D">
      <w:pPr>
        <w:snapToGrid w:val="0"/>
        <w:spacing w:line="360" w:lineRule="auto"/>
        <w:rPr>
          <w:rFonts w:ascii="宋体" w:hAnsi="宋体" w:cs="宋体"/>
          <w:sz w:val="24"/>
          <w:szCs w:val="24"/>
        </w:rPr>
      </w:pPr>
    </w:p>
    <w:p w14:paraId="0815F022">
      <w:pPr>
        <w:pStyle w:val="27"/>
        <w:snapToGrid w:val="0"/>
        <w:spacing w:line="360" w:lineRule="auto"/>
        <w:jc w:val="center"/>
        <w:outlineLvl w:val="1"/>
        <w:rPr>
          <w:rFonts w:hAnsi="宋体" w:cs="宋体"/>
          <w:b/>
          <w:sz w:val="28"/>
        </w:rPr>
      </w:pPr>
      <w:bookmarkStart w:id="115" w:name="_Toc12744_WPSOffice_Level2"/>
      <w:bookmarkStart w:id="116" w:name="_Toc29718_WPSOffice_Level2"/>
      <w:bookmarkStart w:id="117" w:name="_Toc2591"/>
      <w:r>
        <w:rPr>
          <w:rFonts w:hint="eastAsia" w:hAnsi="宋体" w:cs="宋体"/>
          <w:b/>
          <w:sz w:val="28"/>
        </w:rPr>
        <w:t xml:space="preserve">六、  </w:t>
      </w:r>
      <w:bookmarkStart w:id="118" w:name="定标与签订合同"/>
      <w:r>
        <w:rPr>
          <w:rFonts w:hint="eastAsia" w:hAnsi="宋体" w:cs="宋体"/>
          <w:b/>
          <w:sz w:val="28"/>
        </w:rPr>
        <w:t>定标与签订合同</w:t>
      </w:r>
      <w:bookmarkEnd w:id="115"/>
      <w:bookmarkEnd w:id="116"/>
      <w:bookmarkEnd w:id="117"/>
      <w:bookmarkEnd w:id="118"/>
    </w:p>
    <w:p w14:paraId="49859BBC">
      <w:pPr>
        <w:snapToGrid w:val="0"/>
        <w:spacing w:line="360" w:lineRule="auto"/>
        <w:rPr>
          <w:rFonts w:ascii="宋体" w:hAnsi="宋体" w:cs="宋体"/>
          <w:b/>
          <w:sz w:val="24"/>
        </w:rPr>
      </w:pPr>
      <w:bookmarkStart w:id="119" w:name="_Toc24971_WPSOffice_Level3"/>
      <w:bookmarkStart w:id="120" w:name="_Toc20334_WPSOffice_Level3"/>
      <w:r>
        <w:rPr>
          <w:rFonts w:hint="eastAsia" w:ascii="宋体" w:hAnsi="宋体" w:cs="宋体"/>
          <w:b/>
          <w:sz w:val="24"/>
        </w:rPr>
        <w:t>20.</w:t>
      </w:r>
      <w:bookmarkStart w:id="121" w:name="定标准则"/>
      <w:r>
        <w:rPr>
          <w:rFonts w:hint="eastAsia" w:ascii="宋体" w:hAnsi="宋体" w:cs="宋体"/>
          <w:b/>
          <w:sz w:val="24"/>
        </w:rPr>
        <w:t>定标准则</w:t>
      </w:r>
      <w:bookmarkEnd w:id="119"/>
      <w:bookmarkEnd w:id="120"/>
      <w:bookmarkEnd w:id="121"/>
    </w:p>
    <w:p w14:paraId="52093B30">
      <w:pPr>
        <w:snapToGrid w:val="0"/>
        <w:spacing w:line="360" w:lineRule="auto"/>
        <w:ind w:firstLine="482"/>
        <w:rPr>
          <w:rFonts w:ascii="宋体" w:hAnsi="宋体" w:cs="宋体"/>
          <w:sz w:val="24"/>
        </w:rPr>
      </w:pPr>
      <w:r>
        <w:rPr>
          <w:rFonts w:hint="eastAsia" w:ascii="宋体" w:hAnsi="宋体" w:cs="宋体"/>
          <w:sz w:val="24"/>
        </w:rPr>
        <w:t>20.1最低报价不作为成交的保证。</w:t>
      </w:r>
    </w:p>
    <w:p w14:paraId="0C10460F">
      <w:pPr>
        <w:snapToGrid w:val="0"/>
        <w:spacing w:line="360" w:lineRule="auto"/>
        <w:ind w:firstLine="482"/>
        <w:rPr>
          <w:rFonts w:ascii="宋体" w:hAnsi="宋体" w:cs="宋体"/>
          <w:sz w:val="24"/>
        </w:rPr>
      </w:pPr>
      <w:r>
        <w:rPr>
          <w:rFonts w:hint="eastAsia" w:ascii="宋体" w:hAnsi="宋体" w:cs="宋体"/>
          <w:sz w:val="24"/>
        </w:rPr>
        <w:t>20.2供应商的响应文件符合竞争性磋商文件要求，按竞争性磋商文件确定评审标准、方法，经磋商小组评审并推荐成交候选人。</w:t>
      </w:r>
    </w:p>
    <w:p w14:paraId="129E2CFB">
      <w:pPr>
        <w:snapToGrid w:val="0"/>
        <w:spacing w:line="360" w:lineRule="auto"/>
        <w:rPr>
          <w:rFonts w:ascii="宋体" w:hAnsi="宋体" w:cs="宋体"/>
          <w:b/>
          <w:sz w:val="24"/>
        </w:rPr>
      </w:pPr>
      <w:bookmarkStart w:id="122" w:name="_Toc14590_WPSOffice_Level3"/>
      <w:bookmarkStart w:id="123" w:name="_Toc1504_WPSOffice_Level3"/>
      <w:r>
        <w:rPr>
          <w:rFonts w:hint="eastAsia" w:ascii="宋体" w:hAnsi="宋体" w:cs="宋体"/>
          <w:b/>
          <w:sz w:val="24"/>
        </w:rPr>
        <w:t xml:space="preserve">21. </w:t>
      </w:r>
      <w:bookmarkStart w:id="124" w:name="中标通知"/>
      <w:r>
        <w:rPr>
          <w:rFonts w:hint="eastAsia" w:ascii="宋体" w:hAnsi="宋体" w:cs="宋体"/>
          <w:b/>
          <w:sz w:val="24"/>
        </w:rPr>
        <w:t>成交通知</w:t>
      </w:r>
      <w:bookmarkEnd w:id="122"/>
      <w:bookmarkEnd w:id="123"/>
      <w:bookmarkEnd w:id="124"/>
    </w:p>
    <w:p w14:paraId="6E21F9C4">
      <w:pPr>
        <w:snapToGrid w:val="0"/>
        <w:spacing w:line="360" w:lineRule="auto"/>
        <w:ind w:firstLine="480" w:firstLineChars="200"/>
        <w:rPr>
          <w:rFonts w:ascii="宋体" w:hAnsi="宋体" w:cs="宋体"/>
          <w:sz w:val="24"/>
        </w:rPr>
      </w:pPr>
      <w:r>
        <w:rPr>
          <w:rFonts w:hint="eastAsia" w:ascii="宋体" w:hAnsi="宋体" w:cs="宋体"/>
          <w:sz w:val="24"/>
        </w:rPr>
        <w:t>21.1评审结束后，评审结果经采购人确认后，采购代理机构方将在发布本采购项目采购公告的媒介上对成交结果进行公告，同时采购代理机构将向成交供应商发出成交通知书。成交通知书对采购人和成交供应商具有同等法律效力。成交通知书发出后，采购人改变成交结果，或者成交供应商放弃成交，应按相关法律、规章、规范性文件的要求承担相应的法律责任。供应商对成交公告有异议的，应当在知道或应当知道其权益受到损害之日起7个工作日内，提交由法定代表人或授权代表（提供授权函）签署的书面原件并携带相关证明材料及企业营业执照副本、税务登记证、组织机构代码证复印件并加盖供应商公章（原件备查，若无法提供原件或与原件不符，视为虚假质疑）送达采购代理机构。</w:t>
      </w:r>
    </w:p>
    <w:p w14:paraId="3373CAA4">
      <w:pPr>
        <w:snapToGrid w:val="0"/>
        <w:spacing w:line="360" w:lineRule="auto"/>
        <w:ind w:firstLine="480" w:firstLineChars="200"/>
        <w:rPr>
          <w:rFonts w:ascii="宋体" w:hAnsi="宋体" w:cs="宋体"/>
          <w:sz w:val="24"/>
        </w:rPr>
      </w:pPr>
      <w:r>
        <w:rPr>
          <w:rFonts w:hint="eastAsia" w:ascii="宋体" w:hAnsi="宋体" w:cs="宋体"/>
          <w:sz w:val="24"/>
        </w:rPr>
        <w:t>21.2《成交通知书》发出同时将落标通知没有成交的其他供应商。</w:t>
      </w:r>
    </w:p>
    <w:p w14:paraId="318C7FFB">
      <w:pPr>
        <w:snapToGrid w:val="0"/>
        <w:spacing w:line="360" w:lineRule="auto"/>
        <w:ind w:firstLine="480" w:firstLineChars="200"/>
        <w:rPr>
          <w:rFonts w:ascii="宋体" w:hAnsi="宋体" w:cs="宋体"/>
          <w:sz w:val="24"/>
        </w:rPr>
      </w:pPr>
      <w:r>
        <w:rPr>
          <w:rFonts w:hint="eastAsia" w:ascii="宋体" w:hAnsi="宋体" w:cs="宋体"/>
          <w:sz w:val="24"/>
        </w:rPr>
        <w:t>21.3《成交通知书》将作为签订合同的依据。《合同》签订后，《成交通知书》成为《合同》的一部分。</w:t>
      </w:r>
    </w:p>
    <w:p w14:paraId="2B86166F">
      <w:pPr>
        <w:pStyle w:val="85"/>
        <w:snapToGrid w:val="0"/>
        <w:spacing w:line="360" w:lineRule="auto"/>
        <w:rPr>
          <w:rFonts w:hAnsi="宋体" w:cs="宋体"/>
          <w:b/>
          <w:color w:val="auto"/>
        </w:rPr>
      </w:pPr>
      <w:bookmarkStart w:id="125" w:name="_Toc10164_WPSOffice_Level3"/>
      <w:bookmarkStart w:id="126" w:name="_Toc1647_WPSOffice_Level3"/>
      <w:r>
        <w:rPr>
          <w:rFonts w:hint="eastAsia" w:hAnsi="宋体" w:cs="宋体"/>
          <w:b/>
          <w:color w:val="auto"/>
        </w:rPr>
        <w:t>22.</w:t>
      </w:r>
      <w:bookmarkStart w:id="127" w:name="签订合同"/>
      <w:r>
        <w:rPr>
          <w:rFonts w:hint="eastAsia" w:hAnsi="宋体" w:cs="宋体"/>
          <w:b/>
          <w:color w:val="auto"/>
        </w:rPr>
        <w:t>签订合同</w:t>
      </w:r>
      <w:bookmarkEnd w:id="125"/>
      <w:bookmarkEnd w:id="126"/>
      <w:bookmarkEnd w:id="127"/>
    </w:p>
    <w:p w14:paraId="1B01894C">
      <w:pPr>
        <w:pStyle w:val="85"/>
        <w:snapToGrid w:val="0"/>
        <w:spacing w:line="360" w:lineRule="auto"/>
        <w:ind w:firstLine="468" w:firstLineChars="195"/>
        <w:rPr>
          <w:rFonts w:hAnsi="宋体" w:cs="宋体"/>
          <w:color w:val="auto"/>
        </w:rPr>
      </w:pPr>
      <w:r>
        <w:rPr>
          <w:rFonts w:hint="eastAsia" w:hAnsi="宋体" w:cs="宋体"/>
          <w:color w:val="auto"/>
        </w:rPr>
        <w:t>22.1采购人、成交供应商在《成交通知书》规定时间内，根据竞争性磋商文件确定的事项和成交供应商响应文件签订合同。双方所签订的合同不得对竞争性磋商文件和成交供应商响应文件作实质性修改。逾期未签订合同，按照有关法律法规规定承担相应的法律责任。</w:t>
      </w:r>
    </w:p>
    <w:p w14:paraId="41497718">
      <w:pPr>
        <w:pStyle w:val="85"/>
        <w:snapToGrid w:val="0"/>
        <w:spacing w:line="360" w:lineRule="auto"/>
        <w:ind w:firstLine="468" w:firstLineChars="195"/>
        <w:rPr>
          <w:rFonts w:hAnsi="宋体" w:cs="宋体"/>
          <w:color w:val="auto"/>
        </w:rPr>
      </w:pPr>
      <w:r>
        <w:rPr>
          <w:rFonts w:hint="eastAsia" w:hAnsi="宋体" w:cs="宋体"/>
          <w:color w:val="auto"/>
        </w:rPr>
        <w:t>22.2竞争性磋商文件、竞争性磋商文件的修改文件、成交供应商的响应文件、补充或修改的文件及澄清或承诺文件等，均为双方签订《合同》的组成部分，并与《合同》一并作为本竞争性磋商文件所列采购项目的互补性法律文件，与《合同》具有同等法律效力。</w:t>
      </w:r>
    </w:p>
    <w:p w14:paraId="3F731E2B">
      <w:pPr>
        <w:pStyle w:val="85"/>
        <w:snapToGrid w:val="0"/>
        <w:spacing w:line="360" w:lineRule="auto"/>
        <w:ind w:firstLine="468" w:firstLineChars="195"/>
        <w:rPr>
          <w:rFonts w:hAnsi="宋体" w:cs="宋体"/>
          <w:color w:val="auto"/>
        </w:rPr>
      </w:pPr>
      <w:r>
        <w:rPr>
          <w:rFonts w:hint="eastAsia" w:hAnsi="宋体" w:cs="宋体"/>
          <w:color w:val="auto"/>
        </w:rPr>
        <w:t>22.3成交供应商因不可抗力或者自身原因不能履行采购合同的，采购人可以与排位在成交供应商之后第一位的成交候选供应商签订采购合同，以此类推。</w:t>
      </w:r>
    </w:p>
    <w:p w14:paraId="1467DF6A">
      <w:pPr>
        <w:pStyle w:val="27"/>
        <w:snapToGrid w:val="0"/>
        <w:spacing w:line="400" w:lineRule="exact"/>
        <w:jc w:val="center"/>
        <w:outlineLvl w:val="1"/>
        <w:rPr>
          <w:rFonts w:hAnsi="宋体" w:cs="宋体"/>
          <w:b/>
          <w:sz w:val="28"/>
        </w:rPr>
      </w:pPr>
      <w:bookmarkStart w:id="128" w:name="_Toc3698"/>
      <w:r>
        <w:rPr>
          <w:rFonts w:hint="eastAsia" w:hAnsi="宋体" w:cs="宋体"/>
          <w:b/>
          <w:sz w:val="28"/>
        </w:rPr>
        <w:t>七、有关信息公告和监督部门</w:t>
      </w:r>
      <w:bookmarkEnd w:id="128"/>
    </w:p>
    <w:p w14:paraId="71CA7CFF">
      <w:pPr>
        <w:spacing w:line="400" w:lineRule="exact"/>
        <w:rPr>
          <w:rFonts w:ascii="宋体" w:hAnsi="宋体" w:cs="宋体"/>
          <w:b/>
          <w:bCs/>
          <w:sz w:val="24"/>
          <w:szCs w:val="32"/>
        </w:rPr>
      </w:pPr>
      <w:r>
        <w:rPr>
          <w:rFonts w:hint="eastAsia" w:ascii="宋体" w:hAnsi="宋体" w:cs="宋体"/>
          <w:b/>
          <w:bCs/>
          <w:sz w:val="24"/>
          <w:szCs w:val="32"/>
        </w:rPr>
        <w:t>23.采购信息公告媒体</w:t>
      </w:r>
    </w:p>
    <w:p w14:paraId="3BB0A129">
      <w:pPr>
        <w:spacing w:line="400" w:lineRule="exact"/>
        <w:ind w:firstLine="480" w:firstLineChars="200"/>
        <w:rPr>
          <w:rFonts w:ascii="宋体" w:hAnsi="宋体" w:cs="宋体"/>
          <w:sz w:val="24"/>
          <w:szCs w:val="32"/>
        </w:rPr>
      </w:pPr>
      <w:r>
        <w:rPr>
          <w:rFonts w:hint="eastAsia" w:ascii="宋体" w:hAnsi="宋体" w:cs="宋体"/>
          <w:sz w:val="24"/>
          <w:szCs w:val="32"/>
        </w:rPr>
        <w:t>23.1本项目的有关信息，包括但不限于采购公告、更正公告（若有）、竞争性磋商文件、竞争性磋商文件的澄清或修改（若有）、成交公告、终止公告（若有）、废标公告（若有）等都将在竞争性磋商文件载明的指定媒体发布。潜在供应商或供应商务必随时关注，以免遗漏。</w:t>
      </w:r>
    </w:p>
    <w:p w14:paraId="7D407BCD">
      <w:pPr>
        <w:spacing w:line="400" w:lineRule="exact"/>
        <w:ind w:firstLine="480" w:firstLineChars="200"/>
        <w:rPr>
          <w:rFonts w:ascii="宋体" w:hAnsi="宋体" w:cs="宋体"/>
          <w:sz w:val="24"/>
          <w:szCs w:val="32"/>
        </w:rPr>
      </w:pPr>
      <w:r>
        <w:rPr>
          <w:rFonts w:hint="eastAsia" w:ascii="宋体" w:hAnsi="宋体" w:cs="宋体"/>
          <w:sz w:val="24"/>
          <w:szCs w:val="32"/>
        </w:rPr>
        <w:t>23.2信息公告指定媒体：详见第一章第10点。</w:t>
      </w:r>
    </w:p>
    <w:p w14:paraId="7AE740B5">
      <w:pPr>
        <w:spacing w:line="400" w:lineRule="exact"/>
        <w:rPr>
          <w:rFonts w:ascii="宋体" w:hAnsi="宋体" w:cs="宋体"/>
          <w:b/>
          <w:bCs/>
          <w:sz w:val="24"/>
          <w:szCs w:val="24"/>
        </w:rPr>
      </w:pPr>
      <w:r>
        <w:rPr>
          <w:rFonts w:hint="eastAsia" w:ascii="宋体" w:hAnsi="宋体" w:cs="宋体"/>
          <w:b/>
          <w:bCs/>
          <w:sz w:val="24"/>
          <w:szCs w:val="24"/>
        </w:rPr>
        <w:t>24.投诉</w:t>
      </w:r>
    </w:p>
    <w:p w14:paraId="5F0BB44F">
      <w:pPr>
        <w:spacing w:line="400" w:lineRule="exact"/>
        <w:ind w:firstLine="480" w:firstLineChars="200"/>
        <w:rPr>
          <w:rFonts w:ascii="宋体" w:hAnsi="宋体" w:cs="宋体"/>
          <w:sz w:val="24"/>
          <w:szCs w:val="24"/>
        </w:rPr>
      </w:pPr>
      <w:r>
        <w:rPr>
          <w:rFonts w:hint="eastAsia" w:ascii="宋体" w:hAnsi="宋体" w:cs="宋体"/>
          <w:sz w:val="24"/>
          <w:szCs w:val="24"/>
        </w:rPr>
        <w:t>24.1若对质疑答复不满意或质疑答复未在答复期限内作出，质疑人可在答复期限届满之日起15个工作日内向竞争性磋商文件中载明的监督管理部门投诉。</w:t>
      </w:r>
    </w:p>
    <w:p w14:paraId="6B2DCF66">
      <w:pPr>
        <w:spacing w:line="400" w:lineRule="exact"/>
        <w:ind w:firstLine="480" w:firstLineChars="200"/>
        <w:rPr>
          <w:rFonts w:ascii="宋体" w:hAnsi="宋体" w:cs="宋体"/>
          <w:b/>
          <w:bCs/>
          <w:sz w:val="24"/>
          <w:szCs w:val="32"/>
        </w:rPr>
      </w:pPr>
      <w:bookmarkStart w:id="129" w:name="_Toc11677"/>
      <w:r>
        <w:rPr>
          <w:rFonts w:hint="eastAsia" w:ascii="宋体" w:hAnsi="宋体" w:cs="宋体"/>
          <w:sz w:val="24"/>
          <w:szCs w:val="24"/>
        </w:rPr>
        <w:t>24.2投诉应有明确的请求和必要的证明材料，投诉的事项不得超出已质疑事项的范围。</w:t>
      </w:r>
      <w:bookmarkEnd w:id="129"/>
    </w:p>
    <w:p w14:paraId="01A72D31">
      <w:pPr>
        <w:spacing w:line="400" w:lineRule="exact"/>
        <w:rPr>
          <w:rFonts w:ascii="宋体" w:hAnsi="宋体" w:cs="宋体"/>
          <w:b/>
          <w:bCs/>
          <w:sz w:val="24"/>
          <w:szCs w:val="32"/>
        </w:rPr>
      </w:pPr>
      <w:r>
        <w:rPr>
          <w:rFonts w:hint="eastAsia" w:ascii="宋体" w:hAnsi="宋体" w:cs="宋体"/>
          <w:b/>
          <w:bCs/>
          <w:sz w:val="24"/>
          <w:szCs w:val="32"/>
        </w:rPr>
        <w:t>25.监督管理部门</w:t>
      </w:r>
    </w:p>
    <w:p w14:paraId="6D86E106">
      <w:pPr>
        <w:spacing w:line="400" w:lineRule="exact"/>
        <w:ind w:firstLine="480" w:firstLineChars="200"/>
        <w:rPr>
          <w:rFonts w:ascii="宋体" w:hAnsi="宋体" w:cs="宋体"/>
          <w:b/>
          <w:bCs/>
          <w:sz w:val="24"/>
          <w:szCs w:val="24"/>
        </w:rPr>
      </w:pPr>
      <w:r>
        <w:rPr>
          <w:rFonts w:hint="eastAsia" w:ascii="宋体" w:hAnsi="宋体" w:cs="宋体"/>
          <w:sz w:val="24"/>
          <w:szCs w:val="32"/>
        </w:rPr>
        <w:t>25.1磋商采购活动的监督管理部门详见供应商须知前附表第7项。</w:t>
      </w:r>
    </w:p>
    <w:p w14:paraId="77C63FAE">
      <w:pPr>
        <w:pStyle w:val="27"/>
        <w:snapToGrid w:val="0"/>
        <w:spacing w:line="400" w:lineRule="exact"/>
        <w:ind w:firstLine="482" w:firstLineChars="200"/>
        <w:jc w:val="center"/>
        <w:outlineLvl w:val="1"/>
        <w:rPr>
          <w:rFonts w:hAnsi="宋体" w:cs="宋体"/>
          <w:b/>
          <w:sz w:val="24"/>
          <w:szCs w:val="24"/>
        </w:rPr>
      </w:pPr>
    </w:p>
    <w:p w14:paraId="274D7A41">
      <w:pPr>
        <w:pStyle w:val="85"/>
        <w:snapToGrid w:val="0"/>
        <w:spacing w:line="360" w:lineRule="auto"/>
        <w:ind w:firstLine="468" w:firstLineChars="195"/>
        <w:rPr>
          <w:rFonts w:hAnsi="宋体" w:cs="宋体"/>
          <w:color w:val="auto"/>
        </w:rPr>
      </w:pPr>
    </w:p>
    <w:p w14:paraId="2561FE08">
      <w:pPr>
        <w:rPr>
          <w:rFonts w:ascii="宋体" w:hAnsi="宋体" w:cs="宋体"/>
        </w:rPr>
      </w:pPr>
    </w:p>
    <w:p w14:paraId="4AE61DB4">
      <w:pPr>
        <w:pStyle w:val="27"/>
        <w:numPr>
          <w:ilvl w:val="0"/>
          <w:numId w:val="19"/>
        </w:numPr>
        <w:snapToGrid w:val="0"/>
        <w:spacing w:line="360" w:lineRule="auto"/>
        <w:jc w:val="center"/>
        <w:outlineLvl w:val="0"/>
        <w:rPr>
          <w:rFonts w:hAnsi="宋体" w:cs="宋体"/>
          <w:b/>
          <w:sz w:val="36"/>
        </w:rPr>
      </w:pPr>
      <w:r>
        <w:rPr>
          <w:rFonts w:hint="eastAsia" w:hAnsi="宋体" w:cs="宋体"/>
          <w:b/>
          <w:sz w:val="36"/>
        </w:rPr>
        <w:br w:type="page"/>
      </w:r>
      <w:bookmarkStart w:id="130" w:name="_Toc32038_WPSOffice_Level1"/>
      <w:bookmarkStart w:id="131" w:name="_Toc15035"/>
      <w:bookmarkStart w:id="132" w:name="_Toc18668_WPSOffice_Level1"/>
      <w:bookmarkStart w:id="133" w:name="_Toc22700_WPSOffice_Level1"/>
      <w:bookmarkStart w:id="134" w:name="招标内容及要求"/>
      <w:r>
        <w:rPr>
          <w:rFonts w:hint="eastAsia" w:hAnsi="宋体" w:cs="宋体"/>
          <w:b/>
          <w:sz w:val="36"/>
        </w:rPr>
        <w:t>采购内容及要求</w:t>
      </w:r>
      <w:bookmarkEnd w:id="130"/>
      <w:bookmarkEnd w:id="131"/>
      <w:bookmarkEnd w:id="132"/>
      <w:bookmarkEnd w:id="133"/>
      <w:bookmarkEnd w:id="134"/>
    </w:p>
    <w:p w14:paraId="40904421">
      <w:pPr>
        <w:numPr>
          <w:ilvl w:val="0"/>
          <w:numId w:val="20"/>
        </w:numPr>
        <w:snapToGrid w:val="0"/>
        <w:spacing w:line="400" w:lineRule="exact"/>
        <w:rPr>
          <w:rFonts w:ascii="宋体" w:hAnsi="宋体" w:cs="宋体"/>
          <w:b/>
          <w:sz w:val="24"/>
          <w:szCs w:val="24"/>
        </w:rPr>
      </w:pPr>
      <w:bookmarkStart w:id="135" w:name="_Toc358016816"/>
      <w:bookmarkStart w:id="136" w:name="_Toc359317661"/>
      <w:r>
        <w:rPr>
          <w:rFonts w:hint="eastAsia" w:ascii="宋体" w:hAnsi="宋体" w:cs="宋体"/>
          <w:b/>
          <w:sz w:val="24"/>
          <w:szCs w:val="24"/>
        </w:rPr>
        <w:t>项目概述</w:t>
      </w:r>
    </w:p>
    <w:bookmarkEnd w:id="135"/>
    <w:bookmarkEnd w:id="136"/>
    <w:p w14:paraId="2699D399">
      <w:pPr>
        <w:snapToGrid w:val="0"/>
        <w:spacing w:line="400" w:lineRule="exact"/>
        <w:ind w:firstLine="480" w:firstLineChars="200"/>
        <w:outlineLvl w:val="1"/>
        <w:rPr>
          <w:rFonts w:ascii="宋体" w:hAnsi="宋体" w:cs="宋体"/>
          <w:bCs/>
          <w:sz w:val="24"/>
          <w:szCs w:val="24"/>
        </w:rPr>
      </w:pPr>
      <w:bookmarkStart w:id="137" w:name="_Toc18773_WPSOffice_Level2"/>
      <w:bookmarkStart w:id="138" w:name="_Toc2697_WPSOffice_Level2"/>
      <w:r>
        <w:rPr>
          <w:rFonts w:hint="eastAsia" w:ascii="宋体" w:hAnsi="宋体" w:cs="宋体"/>
          <w:bCs/>
          <w:sz w:val="24"/>
          <w:szCs w:val="24"/>
        </w:rPr>
        <w:t xml:space="preserve">  1、项目名称：漳州新园轻工实业有限责任公司安全生产应急指挥中心升级改造（基建部分）采购项目</w:t>
      </w:r>
    </w:p>
    <w:p w14:paraId="76080106">
      <w:pPr>
        <w:snapToGrid w:val="0"/>
        <w:spacing w:line="400" w:lineRule="exact"/>
        <w:ind w:firstLine="480" w:firstLineChars="200"/>
        <w:outlineLvl w:val="1"/>
        <w:rPr>
          <w:rFonts w:ascii="宋体" w:hAnsi="宋体" w:cs="宋体"/>
          <w:b/>
          <w:sz w:val="24"/>
          <w:szCs w:val="24"/>
        </w:rPr>
      </w:pPr>
      <w:r>
        <w:rPr>
          <w:rFonts w:hint="eastAsia" w:ascii="宋体" w:hAnsi="宋体" w:cs="宋体"/>
          <w:bCs/>
          <w:sz w:val="24"/>
          <w:szCs w:val="24"/>
        </w:rPr>
        <w:t>2、采购范围和内容：漳州新园轻工实业有限责任公司安全生产应急指挥中心升级改造（基建部分）采购项目，具体以采购人提供的工程量清单为准，以施工图纸为依据。具体详见磋商文件附件：工程量清单及施工图纸。（详见附件）</w:t>
      </w:r>
    </w:p>
    <w:p w14:paraId="1F318B09">
      <w:pPr>
        <w:snapToGrid w:val="0"/>
        <w:spacing w:line="400" w:lineRule="exact"/>
        <w:outlineLvl w:val="1"/>
        <w:rPr>
          <w:rFonts w:ascii="宋体" w:hAnsi="宋体" w:cs="宋体"/>
          <w:b/>
          <w:kern w:val="0"/>
          <w:sz w:val="24"/>
          <w:szCs w:val="24"/>
        </w:rPr>
      </w:pPr>
      <w:r>
        <w:rPr>
          <w:rFonts w:hint="eastAsia" w:ascii="宋体" w:hAnsi="宋体" w:cs="宋体"/>
          <w:b/>
          <w:sz w:val="24"/>
          <w:szCs w:val="24"/>
        </w:rPr>
        <w:t>二、</w:t>
      </w:r>
      <w:r>
        <w:rPr>
          <w:rFonts w:hint="eastAsia" w:ascii="宋体" w:hAnsi="宋体" w:cs="宋体"/>
          <w:b/>
          <w:kern w:val="0"/>
          <w:sz w:val="24"/>
          <w:szCs w:val="24"/>
        </w:rPr>
        <w:t>技术和服务要求（</w:t>
      </w:r>
      <w:r>
        <w:rPr>
          <w:rStyle w:val="52"/>
          <w:rFonts w:hint="eastAsia" w:ascii="宋体" w:hAnsi="宋体" w:cs="宋体"/>
        </w:rPr>
        <w:t>以“★”标示的内容为为不允许负偏离的实质性要求，若有负偏离或未响应的按无效投标处理</w:t>
      </w:r>
      <w:r>
        <w:rPr>
          <w:rFonts w:hint="eastAsia" w:ascii="宋体" w:hAnsi="宋体" w:cs="宋体"/>
          <w:b/>
          <w:kern w:val="0"/>
          <w:sz w:val="24"/>
          <w:szCs w:val="24"/>
        </w:rPr>
        <w:t>）</w:t>
      </w:r>
    </w:p>
    <w:p w14:paraId="01C682AD">
      <w:pPr>
        <w:pStyle w:val="44"/>
        <w:widowControl/>
        <w:spacing w:line="400" w:lineRule="exact"/>
        <w:ind w:firstLine="480" w:firstLineChars="200"/>
        <w:jc w:val="left"/>
        <w:rPr>
          <w:rFonts w:asciiTheme="minorEastAsia" w:hAnsiTheme="minorEastAsia" w:eastAsiaTheme="minorEastAsia" w:cstheme="minorEastAsia"/>
          <w:bCs/>
        </w:rPr>
      </w:pPr>
      <w:r>
        <w:rPr>
          <w:rFonts w:hint="eastAsia" w:asciiTheme="minorEastAsia" w:hAnsiTheme="minorEastAsia" w:eastAsiaTheme="minorEastAsia" w:cstheme="minorEastAsia"/>
          <w:bCs/>
        </w:rPr>
        <w:t>★（一）报价要求</w:t>
      </w:r>
    </w:p>
    <w:p w14:paraId="08178448">
      <w:pPr>
        <w:pStyle w:val="44"/>
        <w:widowControl/>
        <w:spacing w:line="400" w:lineRule="exact"/>
        <w:ind w:firstLine="480" w:firstLineChars="200"/>
        <w:jc w:val="left"/>
        <w:rPr>
          <w:rFonts w:asciiTheme="minorEastAsia" w:hAnsiTheme="minorEastAsia" w:eastAsiaTheme="minorEastAsia" w:cstheme="minorEastAsia"/>
          <w:bCs/>
        </w:rPr>
      </w:pPr>
      <w:r>
        <w:rPr>
          <w:rFonts w:hint="eastAsia" w:asciiTheme="minorEastAsia" w:hAnsiTheme="minorEastAsia" w:eastAsiaTheme="minorEastAsia" w:cstheme="minorEastAsia"/>
          <w:bCs/>
        </w:rPr>
        <w:t>1.磋商总报价为整个项目施工完毕经采购人验收合格交付使用，所有可能发生的一切费用，包括但不限于完成本项目所需的主、辅材料费、机械设备费用、人工费、安全文明施工措施费、不可预见费、各种相关的保险费、脚手架搭拆费、税金、管理费、利润、风险费、售后服务和维保费用、因质量问题引起的维修和更换、技术指导和培训、成品保护、政策性文件的规定、提供给采购人的资料费等提交最终报告前的一切费用。</w:t>
      </w:r>
    </w:p>
    <w:p w14:paraId="4A9BA02A">
      <w:pPr>
        <w:pStyle w:val="44"/>
        <w:widowControl/>
        <w:spacing w:line="400" w:lineRule="exact"/>
        <w:ind w:firstLine="480" w:firstLineChars="200"/>
        <w:jc w:val="left"/>
        <w:rPr>
          <w:rFonts w:asciiTheme="minorEastAsia" w:hAnsiTheme="minorEastAsia" w:eastAsiaTheme="minorEastAsia" w:cstheme="minorEastAsia"/>
          <w:bCs/>
        </w:rPr>
      </w:pPr>
      <w:r>
        <w:rPr>
          <w:rFonts w:hint="eastAsia" w:asciiTheme="minorEastAsia" w:hAnsiTheme="minorEastAsia" w:eastAsiaTheme="minorEastAsia" w:cstheme="minorEastAsia"/>
          <w:bCs/>
        </w:rPr>
        <w:t>2.首次响应文件中报价必须根据工程量清单、图纸及竞争性磋商文件约定的所有内容进行完整报价。供应商需按照本项目工程量清单及计价规范逐项填报单价、合价和总报价，不得缺项，供应商不得任意增减或修改工程量清单中的项目或数量(包括采购人提供的工程量清单中，已列出详细数量的措施项目)。成交后，在成交供应商首次响应文件中的工程量清单报价表的基础上，参照其最后报价（最后报价可仅报总价）与首次报价（总价）的下浮比例，调整其最终成交的各子项的综合单价，作为补充资料在合同签订时提交，在项目竣工结算时作为套取单价的依据。未按前述要求进行报价的，响应无效。</w:t>
      </w:r>
    </w:p>
    <w:p w14:paraId="3C3F7553">
      <w:pPr>
        <w:pStyle w:val="44"/>
        <w:widowControl/>
        <w:spacing w:line="400" w:lineRule="exact"/>
        <w:ind w:firstLine="480" w:firstLineChars="200"/>
        <w:jc w:val="left"/>
        <w:rPr>
          <w:rFonts w:asciiTheme="minorEastAsia" w:hAnsiTheme="minorEastAsia" w:eastAsiaTheme="minorEastAsia" w:cstheme="minorEastAsia"/>
          <w:bCs/>
        </w:rPr>
      </w:pPr>
      <w:r>
        <w:rPr>
          <w:rFonts w:hint="eastAsia" w:asciiTheme="minorEastAsia" w:hAnsiTheme="minorEastAsia" w:eastAsiaTheme="minorEastAsia" w:cstheme="minorEastAsia"/>
          <w:bCs/>
        </w:rPr>
        <w:t>3.本项目最高限价为：2615522元。请各供应商认真阅读本条款进行报价。</w:t>
      </w:r>
    </w:p>
    <w:p w14:paraId="390C5C98">
      <w:pPr>
        <w:pStyle w:val="44"/>
        <w:widowControl/>
        <w:spacing w:line="400" w:lineRule="exact"/>
        <w:ind w:firstLine="480" w:firstLineChars="200"/>
        <w:jc w:val="left"/>
        <w:rPr>
          <w:rFonts w:asciiTheme="minorEastAsia" w:hAnsiTheme="minorEastAsia" w:eastAsiaTheme="minorEastAsia" w:cstheme="minorEastAsia"/>
          <w:bCs/>
        </w:rPr>
      </w:pPr>
      <w:r>
        <w:rPr>
          <w:rFonts w:hint="eastAsia" w:asciiTheme="minorEastAsia" w:hAnsiTheme="minorEastAsia" w:eastAsiaTheme="minorEastAsia" w:cstheme="minorEastAsia"/>
          <w:bCs/>
        </w:rPr>
        <w:t>4、供应商须自备设备做好现场最后报价的准备，供应商应充分考虑最后报价所需时间。未按规定进行报价的，按无效报价处理。</w:t>
      </w:r>
    </w:p>
    <w:p w14:paraId="3FB62A84">
      <w:pPr>
        <w:pStyle w:val="44"/>
        <w:widowControl/>
        <w:spacing w:line="400" w:lineRule="exact"/>
        <w:ind w:firstLine="480" w:firstLineChars="200"/>
        <w:jc w:val="left"/>
        <w:rPr>
          <w:rFonts w:asciiTheme="minorEastAsia" w:hAnsiTheme="minorEastAsia" w:eastAsiaTheme="minorEastAsia" w:cstheme="minorEastAsia"/>
          <w:bCs/>
        </w:rPr>
      </w:pPr>
      <w:r>
        <w:rPr>
          <w:rFonts w:hint="eastAsia" w:asciiTheme="minorEastAsia" w:hAnsiTheme="minorEastAsia" w:eastAsiaTheme="minorEastAsia" w:cstheme="minorEastAsia"/>
          <w:bCs/>
        </w:rPr>
        <w:t>5、工程量计量要求</w:t>
      </w:r>
    </w:p>
    <w:p w14:paraId="22DE2CC5">
      <w:pPr>
        <w:pStyle w:val="44"/>
        <w:widowControl/>
        <w:spacing w:line="400" w:lineRule="exact"/>
        <w:ind w:firstLine="480" w:firstLineChars="200"/>
        <w:jc w:val="left"/>
        <w:rPr>
          <w:rFonts w:asciiTheme="minorEastAsia" w:hAnsiTheme="minorEastAsia" w:eastAsiaTheme="minorEastAsia" w:cstheme="minorEastAsia"/>
          <w:bCs/>
        </w:rPr>
      </w:pPr>
      <w:r>
        <w:rPr>
          <w:rFonts w:hint="eastAsia" w:asciiTheme="minorEastAsia" w:hAnsiTheme="minorEastAsia" w:eastAsiaTheme="minorEastAsia" w:cstheme="minorEastAsia"/>
          <w:bCs/>
        </w:rPr>
        <w:t>5.1.工程量的计量方式：按实际完成的合格工程量计量</w:t>
      </w:r>
    </w:p>
    <w:p w14:paraId="75EF55AA">
      <w:pPr>
        <w:pStyle w:val="44"/>
        <w:widowControl/>
        <w:spacing w:line="400" w:lineRule="exact"/>
        <w:ind w:firstLine="480" w:firstLineChars="200"/>
        <w:jc w:val="left"/>
        <w:rPr>
          <w:rFonts w:asciiTheme="minorEastAsia" w:hAnsiTheme="minorEastAsia" w:eastAsiaTheme="minorEastAsia" w:cstheme="minorEastAsia"/>
          <w:bCs/>
        </w:rPr>
      </w:pPr>
      <w:r>
        <w:rPr>
          <w:rFonts w:hint="eastAsia" w:asciiTheme="minorEastAsia" w:hAnsiTheme="minorEastAsia" w:eastAsiaTheme="minorEastAsia" w:cstheme="minorEastAsia"/>
          <w:bCs/>
        </w:rPr>
        <w:t>5.2.结算方式：</w:t>
      </w:r>
    </w:p>
    <w:p w14:paraId="24933870">
      <w:pPr>
        <w:pStyle w:val="44"/>
        <w:widowControl/>
        <w:spacing w:line="400" w:lineRule="exact"/>
        <w:ind w:firstLine="480" w:firstLineChars="200"/>
        <w:jc w:val="left"/>
        <w:rPr>
          <w:rFonts w:asciiTheme="minorEastAsia" w:hAnsiTheme="minorEastAsia" w:eastAsiaTheme="minorEastAsia" w:cstheme="minorEastAsia"/>
          <w:bCs/>
        </w:rPr>
      </w:pPr>
      <w:r>
        <w:rPr>
          <w:rFonts w:hint="eastAsia" w:asciiTheme="minorEastAsia" w:hAnsiTheme="minorEastAsia" w:eastAsiaTheme="minorEastAsia" w:cstheme="minorEastAsia"/>
          <w:bCs/>
        </w:rPr>
        <w:t>（1）成交人在签订合同前需提供详细的报价清单。</w:t>
      </w:r>
    </w:p>
    <w:p w14:paraId="6BAD42BE">
      <w:pPr>
        <w:pStyle w:val="44"/>
        <w:widowControl/>
        <w:spacing w:line="400" w:lineRule="exact"/>
        <w:ind w:firstLine="480" w:firstLineChars="200"/>
        <w:jc w:val="left"/>
        <w:rPr>
          <w:rFonts w:asciiTheme="minorEastAsia" w:hAnsiTheme="minorEastAsia" w:eastAsiaTheme="minorEastAsia" w:cstheme="minorEastAsia"/>
          <w:bCs/>
        </w:rPr>
      </w:pPr>
      <w:r>
        <w:rPr>
          <w:rFonts w:hint="eastAsia" w:asciiTheme="minorEastAsia" w:hAnsiTheme="minorEastAsia" w:eastAsiaTheme="minorEastAsia" w:cstheme="minorEastAsia"/>
          <w:bCs/>
        </w:rPr>
        <w:t>（二）、项目要求</w:t>
      </w:r>
    </w:p>
    <w:p w14:paraId="600E905C">
      <w:pPr>
        <w:pStyle w:val="44"/>
        <w:widowControl/>
        <w:spacing w:line="400" w:lineRule="exact"/>
        <w:ind w:firstLine="480" w:firstLineChars="200"/>
        <w:jc w:val="left"/>
        <w:rPr>
          <w:rFonts w:asciiTheme="minorEastAsia" w:hAnsiTheme="minorEastAsia" w:eastAsiaTheme="minorEastAsia" w:cstheme="minorEastAsia"/>
          <w:bCs/>
        </w:rPr>
      </w:pPr>
      <w:r>
        <w:rPr>
          <w:rFonts w:hint="eastAsia" w:asciiTheme="minorEastAsia" w:hAnsiTheme="minorEastAsia" w:eastAsiaTheme="minorEastAsia" w:cstheme="minorEastAsia"/>
          <w:bCs/>
        </w:rPr>
        <w:t>★1、本工程的技术标准依据合同文件、国家及现行的相关标准、规范和规程、法律、法规及政府授权管理部门的规定及要求进行。供应商必须保证不弄虚作假和以次充好，保证施工材料的质量。建立、健全安全检查制度，定期和不定期的对施工现场进行安全检查,及时发现和消除事故隐患，确保安全生产。进入施工现场必须戴好安全帽，高空作业系好安全带，穿好防滑鞋。凡非本单位人员进入施工现场必须进行登记批准，严禁将小孩带入施工现场。</w:t>
      </w:r>
    </w:p>
    <w:p w14:paraId="4B1DF9DA">
      <w:pPr>
        <w:pStyle w:val="44"/>
        <w:widowControl/>
        <w:spacing w:line="400" w:lineRule="exact"/>
        <w:ind w:firstLine="480" w:firstLineChars="200"/>
        <w:jc w:val="left"/>
        <w:rPr>
          <w:rFonts w:asciiTheme="minorEastAsia" w:hAnsiTheme="minorEastAsia" w:eastAsiaTheme="minorEastAsia" w:cstheme="minorEastAsia"/>
          <w:bCs/>
        </w:rPr>
      </w:pPr>
      <w:r>
        <w:rPr>
          <w:rFonts w:hint="eastAsia" w:asciiTheme="minorEastAsia" w:hAnsiTheme="minorEastAsia" w:eastAsiaTheme="minorEastAsia" w:cstheme="minorEastAsia"/>
          <w:bCs/>
        </w:rPr>
        <w:t>★2、对施工现场使用的安全防护用品及施工电器产品，每周进行检查一次，发现问题及时解决，保证安全生产，并做好检查、维修记录入档。供应商应时刻关注和采取适当措施保障所有在场工作人员的安全，保证工程施工安全，现场施工应当保持有条不紊；负责已完工部分工程的保护工作；应做好防雷电、防火等的安全防护工作；应负责提供照明、警卫、护栅、警告标志等安全防护措施，承担施工现场和施工人员的治安、环境卫生、计生、外来人员暂住手续等管理工作和相关费用；若发生任何事故，均由供应商全部负责。施工中使用的材料应严格堆放在正在施工路段内并设置围档，不得随意堆放占道。确因场地条件所限，无法留出交通通道的应设立明显指示和警示标志，应疏导行人和车辆安全通行。</w:t>
      </w:r>
    </w:p>
    <w:p w14:paraId="535D055A">
      <w:pPr>
        <w:pStyle w:val="44"/>
        <w:widowControl/>
        <w:spacing w:line="400" w:lineRule="exact"/>
        <w:ind w:firstLine="480" w:firstLineChars="200"/>
        <w:jc w:val="left"/>
        <w:rPr>
          <w:rFonts w:asciiTheme="minorEastAsia" w:hAnsiTheme="minorEastAsia" w:eastAsiaTheme="minorEastAsia" w:cstheme="minorEastAsia"/>
          <w:bCs/>
        </w:rPr>
      </w:pPr>
      <w:r>
        <w:rPr>
          <w:rFonts w:hint="eastAsia" w:asciiTheme="minorEastAsia" w:hAnsiTheme="minorEastAsia" w:eastAsiaTheme="minorEastAsia" w:cstheme="minorEastAsia"/>
          <w:bCs/>
        </w:rPr>
        <w:t>★3、施工中现场工人必须统一戴安全帽穿安全服，不得穿拖鞋，光脚、光膀子施工。施工管理人员必须统一着装、佩戴工作牌、戴好安全帽。有关施工安全文明的相关要求请参照《建筑施工安全文明工地标准》DBJ13-81-2006、《建筑施工现场环境与卫生标准》J10796-2006、《建筑安全文明工地文件选编（福建省建设厅）》等有关的法律、法规以及标准规范。成交人应配合采购人在施工过程中的各种事宜，并在人员、设备、资金等方面具备相应的施工能力。工程实施须严格执行项目合同规定，所用主材的品牌、规格型号、价格等需事先经确认后方可使用。</w:t>
      </w:r>
    </w:p>
    <w:p w14:paraId="3662E120">
      <w:pPr>
        <w:pStyle w:val="44"/>
        <w:widowControl/>
        <w:spacing w:line="400" w:lineRule="exact"/>
        <w:ind w:firstLine="480" w:firstLineChars="200"/>
        <w:jc w:val="left"/>
        <w:rPr>
          <w:rFonts w:asciiTheme="minorEastAsia" w:hAnsiTheme="minorEastAsia" w:eastAsiaTheme="minorEastAsia" w:cstheme="minorEastAsia"/>
          <w:bCs/>
        </w:rPr>
      </w:pPr>
      <w:r>
        <w:rPr>
          <w:rFonts w:hint="eastAsia" w:asciiTheme="minorEastAsia" w:hAnsiTheme="minorEastAsia" w:eastAsiaTheme="minorEastAsia" w:cstheme="minorEastAsia"/>
          <w:bCs/>
        </w:rPr>
        <w:t>★4、供应商必须按照监理人或采购人批准的施工组织设计或施工方案，根据工程施工进度需要，组织施工机具进场。成交人的施工机具进场前或出场前，需提前向监理人或采购人报备。未经监理人或采购人批准同意，成交人的施工机具不得擅自进场或离场。成交人的施工机具应按照监理人和采购人指定的场所摆放和保管，不得影响他人的施工活动，不得造成安全问题。</w:t>
      </w:r>
    </w:p>
    <w:p w14:paraId="50BBFBC9">
      <w:pPr>
        <w:pStyle w:val="44"/>
        <w:widowControl/>
        <w:spacing w:line="400" w:lineRule="exact"/>
        <w:ind w:firstLine="480" w:firstLineChars="200"/>
        <w:jc w:val="left"/>
        <w:rPr>
          <w:rFonts w:asciiTheme="minorEastAsia" w:hAnsiTheme="minorEastAsia" w:eastAsiaTheme="minorEastAsia" w:cstheme="minorEastAsia"/>
          <w:bCs/>
        </w:rPr>
      </w:pPr>
      <w:r>
        <w:rPr>
          <w:rFonts w:hint="eastAsia" w:asciiTheme="minorEastAsia" w:hAnsiTheme="minorEastAsia" w:eastAsiaTheme="minorEastAsia" w:cstheme="minorEastAsia"/>
          <w:bCs/>
        </w:rPr>
        <w:t>（项号1）5、根据供应商所提供的“开水机”须满足：水槽材质：304食品级不锈钢，水槽排水部分一次性成型表面光滑无焊点，水槽整体尺寸(含(排水部分尺寸长461mm×宽190mm×深30mm)530mm×255mm×35mm。本项须提供现场演示，演示内容为“一次性成型水槽带防溅板，水先落到防溅板，流向一次成型水槽排水部份，排水流畅、水槽不积水易清洁”。供应商应自带设备提供现场功能演示上述内容，不接受用PPT、视频、录屏等方式，代理机构仅提供电源，演示所需的排插、线路等所有所需设备均由供应商自备。演示时长不得超过3分钟。</w:t>
      </w:r>
    </w:p>
    <w:p w14:paraId="57C2DA79">
      <w:pPr>
        <w:pStyle w:val="44"/>
        <w:widowControl/>
        <w:spacing w:line="400" w:lineRule="exact"/>
        <w:ind w:firstLine="480" w:firstLineChars="200"/>
        <w:jc w:val="left"/>
        <w:rPr>
          <w:rFonts w:asciiTheme="minorEastAsia" w:hAnsiTheme="minorEastAsia" w:eastAsiaTheme="minorEastAsia" w:cstheme="minorEastAsia"/>
          <w:bCs/>
        </w:rPr>
      </w:pPr>
      <w:r>
        <w:rPr>
          <w:rFonts w:hint="eastAsia" w:asciiTheme="minorEastAsia" w:hAnsiTheme="minorEastAsia" w:eastAsiaTheme="minorEastAsia" w:cstheme="minorEastAsia"/>
          <w:bCs/>
        </w:rPr>
        <w:t>（项号2）6、根据各响应人服务要求所需产品“开水机”PP棉滤芯、活性炭滤芯符合国家标准GB\T26572-2011或按</w:t>
      </w:r>
      <w:r>
        <w:rPr>
          <w:rFonts w:asciiTheme="minorEastAsia" w:hAnsiTheme="minorEastAsia" w:eastAsiaTheme="minorEastAsia" w:cstheme="minorEastAsia"/>
          <w:bCs/>
        </w:rPr>
        <w:t>中国国家标准化管理委员会</w:t>
      </w:r>
      <w:r>
        <w:rPr>
          <w:rFonts w:hint="eastAsia" w:asciiTheme="minorEastAsia" w:hAnsiTheme="minorEastAsia" w:eastAsiaTheme="minorEastAsia" w:cstheme="minorEastAsia"/>
          <w:bCs/>
        </w:rPr>
        <w:t>发布最新标准的铅、镉、汞、六价铬、多溴联苯、多溴二苯醚限值（须提供经国家认可的第三方检测机构出具的具有CMA或CNAS认证标识的有效检测报告复印件）。</w:t>
      </w:r>
    </w:p>
    <w:p w14:paraId="0F399008">
      <w:pPr>
        <w:pStyle w:val="44"/>
        <w:widowControl/>
        <w:spacing w:line="400" w:lineRule="exact"/>
        <w:ind w:firstLine="480" w:firstLineChars="200"/>
        <w:jc w:val="left"/>
        <w:rPr>
          <w:rStyle w:val="59"/>
          <w:rFonts w:ascii="Times New Roman" w:hAnsi="Times New Roman" w:cs="Times New Roman"/>
          <w:kern w:val="2"/>
          <w:szCs w:val="20"/>
        </w:rPr>
      </w:pPr>
      <w:r>
        <w:rPr>
          <w:rFonts w:hint="eastAsia" w:asciiTheme="minorEastAsia" w:hAnsiTheme="minorEastAsia" w:eastAsiaTheme="minorEastAsia" w:cstheme="minorEastAsia"/>
          <w:bCs/>
        </w:rPr>
        <w:t>(项号3)7、根据各响应人服务要求所需产品“空调器-制冷量61.5KW” 及“空调器-制冷量147KW”的空调室外机、室内机、压缩机需采用同品牌、同商标，且以上产品不接受OEM、ODM代工生产的产品，同品牌、同商标证明材料为：提供中国质量认证中心的压缩机产品认证证书，提交与所投压缩机品牌名称一致。</w:t>
      </w:r>
    </w:p>
    <w:p w14:paraId="57DBA6E0">
      <w:pPr>
        <w:pStyle w:val="44"/>
        <w:widowControl/>
        <w:spacing w:line="400" w:lineRule="exact"/>
        <w:ind w:firstLine="480" w:firstLineChars="200"/>
        <w:jc w:val="left"/>
        <w:rPr>
          <w:rFonts w:asciiTheme="minorEastAsia" w:hAnsiTheme="minorEastAsia" w:eastAsiaTheme="minorEastAsia" w:cstheme="minorEastAsia"/>
          <w:bCs/>
        </w:rPr>
      </w:pPr>
      <w:r>
        <w:rPr>
          <w:rFonts w:hint="eastAsia" w:asciiTheme="minorEastAsia" w:hAnsiTheme="minorEastAsia" w:eastAsiaTheme="minorEastAsia" w:cstheme="minorEastAsia"/>
          <w:bCs/>
        </w:rPr>
        <w:t>(项号4)8、根据各响应人服务要求所需产品“空调器-制冷量61.5KW” 及“空调器-制冷量147KW”的室外机具有通信线任意拓扑自由连接方式：①、手拉手串行连接；②、总线型连接；③、树形连接；④、星形连接；⑤、环形连接等功能。（须提供经国家认可的第三方检测机构出具的具有CMA或CNAS认证标识的有效检测报告复印件）。</w:t>
      </w:r>
    </w:p>
    <w:p w14:paraId="10357E9D">
      <w:pPr>
        <w:pStyle w:val="44"/>
        <w:widowControl/>
        <w:spacing w:line="400" w:lineRule="exact"/>
        <w:ind w:firstLine="480" w:firstLineChars="200"/>
        <w:jc w:val="left"/>
        <w:rPr>
          <w:rFonts w:asciiTheme="minorEastAsia" w:hAnsiTheme="minorEastAsia" w:eastAsiaTheme="minorEastAsia" w:cstheme="minorEastAsia"/>
          <w:bCs/>
        </w:rPr>
      </w:pPr>
      <w:r>
        <w:rPr>
          <w:rFonts w:hint="eastAsia" w:asciiTheme="minorEastAsia" w:hAnsiTheme="minorEastAsia" w:eastAsiaTheme="minorEastAsia" w:cstheme="minorEastAsia"/>
          <w:bCs/>
        </w:rPr>
        <w:t>(项号5)9、根据各响应人服务要求所需产品“智能化设备配电箱”须满足 ① 、支持用电安全管理：漏电流值、过压值、欠压值、过温、限电度数值、过流值、过载有功功率值等的闸值设置及启停功能。②、温湿度监测：1路、烟雾探测：≥1路（监测高温或烟雾,系统自动发出告警，并自动关闭电源输出）（须提供经国家认可的第三方检测机构出具的具有CMA或CNAS认证标识的有效检测报告复印件）。</w:t>
      </w:r>
    </w:p>
    <w:p w14:paraId="6B8CBD33">
      <w:pPr>
        <w:pStyle w:val="44"/>
        <w:widowControl/>
        <w:wordWrap w:val="0"/>
        <w:spacing w:line="400" w:lineRule="exact"/>
        <w:ind w:firstLine="480" w:firstLineChars="200"/>
        <w:jc w:val="left"/>
        <w:rPr>
          <w:rFonts w:asciiTheme="minorEastAsia" w:hAnsiTheme="minorEastAsia" w:eastAsiaTheme="minorEastAsia" w:cstheme="minorEastAsia"/>
          <w:bCs/>
        </w:rPr>
      </w:pPr>
      <w:r>
        <w:rPr>
          <w:rFonts w:hint="eastAsia" w:asciiTheme="minorEastAsia" w:hAnsiTheme="minorEastAsia" w:eastAsiaTheme="minorEastAsia" w:cstheme="minorEastAsia"/>
          <w:bCs/>
        </w:rPr>
        <w:t>(项号6)10、根据各响应人服务要求所需产品“智能化设备配电箱” 须满足 ①、控制方式：现场硬件手动控制供电开关，电脑和手机端软件手动（单路开关及全部开关）、定时控制；②、维护方式：用户通过手机扫描设备的二维码进行关注、查询、故障报修；③、查询浏览方式：电脑端和手机微信端支持GIS地图综合管理；④、告警方式:平台语音、微信、短信。（可选配）。供应商应自带设备提供现场功能演示上述内容，不接受用PPT、视频、录屏等方式，代理机构仅提供电源，演示所需的排插、线路等所有所需设备均由供应商自备。演示时长不得超过7分钟。</w:t>
      </w:r>
    </w:p>
    <w:p w14:paraId="349B72CB">
      <w:pPr>
        <w:pStyle w:val="44"/>
        <w:widowControl/>
        <w:wordWrap w:val="0"/>
        <w:spacing w:line="400" w:lineRule="exact"/>
        <w:ind w:firstLine="480" w:firstLineChars="200"/>
        <w:jc w:val="left"/>
        <w:rPr>
          <w:rFonts w:asciiTheme="minorEastAsia" w:hAnsiTheme="minorEastAsia" w:eastAsiaTheme="minorEastAsia" w:cstheme="minorEastAsia"/>
          <w:bCs/>
        </w:rPr>
      </w:pPr>
      <w:r>
        <w:rPr>
          <w:rFonts w:hint="eastAsia" w:asciiTheme="minorEastAsia" w:hAnsiTheme="minorEastAsia" w:eastAsiaTheme="minorEastAsia" w:cstheme="minorEastAsia"/>
          <w:bCs/>
        </w:rPr>
        <w:t>(项号7)11、根据各响应人服务要求所需产品“疏散指示灯(应急)” 须满足</w:t>
      </w:r>
      <w:r>
        <w:t>GB17945-2024</w:t>
      </w:r>
      <w:r>
        <w:rPr>
          <w:rFonts w:hint="eastAsia" w:asciiTheme="minorEastAsia" w:hAnsiTheme="minorEastAsia" w:eastAsiaTheme="minorEastAsia" w:cstheme="minorEastAsia"/>
          <w:bCs/>
        </w:rPr>
        <w:t>《消防应急照明和疏散指示系统》要求。</w:t>
      </w:r>
    </w:p>
    <w:p w14:paraId="6A3C3947">
      <w:pPr>
        <w:pStyle w:val="44"/>
        <w:widowControl/>
        <w:spacing w:line="400" w:lineRule="exact"/>
        <w:ind w:firstLine="480" w:firstLineChars="200"/>
        <w:jc w:val="left"/>
        <w:rPr>
          <w:rFonts w:asciiTheme="minorEastAsia" w:hAnsiTheme="minorEastAsia" w:eastAsiaTheme="minorEastAsia" w:cstheme="minorEastAsia"/>
          <w:bCs/>
        </w:rPr>
      </w:pPr>
      <w:r>
        <w:rPr>
          <w:rFonts w:hint="eastAsia" w:asciiTheme="minorEastAsia" w:hAnsiTheme="minorEastAsia" w:eastAsiaTheme="minorEastAsia" w:cstheme="minorEastAsia"/>
          <w:bCs/>
        </w:rPr>
        <w:t>（项号8)12、根据各响应人服务要求所需产品“窗户玻璃贴汽车防窥隔热膜” 须符合</w:t>
      </w:r>
      <w:r>
        <w:rPr>
          <w:rFonts w:asciiTheme="minorEastAsia" w:hAnsiTheme="minorEastAsia" w:eastAsiaTheme="minorEastAsia" w:cstheme="minorEastAsia"/>
          <w:bCs/>
        </w:rPr>
        <w:t>QC/T 1170-2022</w:t>
      </w:r>
      <w:r>
        <w:rPr>
          <w:rFonts w:hint="eastAsia" w:asciiTheme="minorEastAsia" w:hAnsiTheme="minorEastAsia" w:eastAsiaTheme="minorEastAsia" w:cstheme="minorEastAsia"/>
          <w:bCs/>
        </w:rPr>
        <w:t>的相关要求。</w:t>
      </w:r>
    </w:p>
    <w:p w14:paraId="5C9374C5">
      <w:pPr>
        <w:pStyle w:val="44"/>
        <w:widowControl/>
        <w:wordWrap w:val="0"/>
        <w:spacing w:line="400" w:lineRule="exact"/>
        <w:ind w:left="210" w:leftChars="100" w:firstLine="240" w:firstLineChars="100"/>
        <w:jc w:val="left"/>
        <w:rPr>
          <w:rFonts w:asciiTheme="minorEastAsia" w:hAnsiTheme="minorEastAsia" w:eastAsiaTheme="minorEastAsia" w:cstheme="minorEastAsia"/>
          <w:bCs/>
        </w:rPr>
      </w:pPr>
      <w:r>
        <w:rPr>
          <w:rFonts w:hint="eastAsia" w:asciiTheme="minorEastAsia" w:hAnsiTheme="minorEastAsia" w:eastAsiaTheme="minorEastAsia" w:cstheme="minorEastAsia"/>
          <w:bCs/>
        </w:rPr>
        <w:t>（项号9)13、根据各响应人服务要求所需产品“乳胶漆”须符合国家标准</w:t>
      </w:r>
      <w:r>
        <w:rPr>
          <w:rFonts w:asciiTheme="minorEastAsia" w:hAnsiTheme="minorEastAsia" w:eastAsiaTheme="minorEastAsia" w:cstheme="minorEastAsia"/>
          <w:bCs/>
        </w:rPr>
        <w:t>GB 18582-2020</w:t>
      </w:r>
      <w:r>
        <w:rPr>
          <w:rFonts w:hint="eastAsia" w:asciiTheme="minorEastAsia" w:hAnsiTheme="minorEastAsia" w:eastAsiaTheme="minorEastAsia" w:cstheme="minorEastAsia"/>
          <w:bCs/>
        </w:rPr>
        <w:t>的镉、铬、汞的限值。</w:t>
      </w:r>
    </w:p>
    <w:p w14:paraId="29AB3735">
      <w:pPr>
        <w:pStyle w:val="44"/>
        <w:widowControl/>
        <w:wordWrap w:val="0"/>
        <w:spacing w:line="400" w:lineRule="exact"/>
        <w:ind w:firstLine="480" w:firstLineChars="200"/>
        <w:rPr>
          <w:rFonts w:asciiTheme="minorEastAsia" w:hAnsiTheme="minorEastAsia" w:eastAsiaTheme="minorEastAsia" w:cstheme="minorEastAsia"/>
          <w:bCs/>
        </w:rPr>
      </w:pPr>
      <w:r>
        <w:rPr>
          <w:rFonts w:hint="eastAsia" w:asciiTheme="minorEastAsia" w:hAnsiTheme="minorEastAsia" w:eastAsiaTheme="minorEastAsia" w:cstheme="minorEastAsia"/>
          <w:bCs/>
        </w:rPr>
        <w:t>（项号10)14、根据各响应人服务要求所需产品“天棚吊顶”所使用的装配式U型轻钢质量须符合</w:t>
      </w:r>
      <w:r>
        <w:rPr>
          <w:rFonts w:asciiTheme="minorEastAsia" w:hAnsiTheme="minorEastAsia" w:eastAsiaTheme="minorEastAsia" w:cstheme="minorEastAsia"/>
          <w:bCs/>
        </w:rPr>
        <w:t>GB/T11981</w:t>
      </w:r>
      <w:r>
        <w:rPr>
          <w:rFonts w:hint="eastAsia" w:asciiTheme="minorEastAsia" w:hAnsiTheme="minorEastAsia" w:eastAsiaTheme="minorEastAsia" w:cstheme="minorEastAsia"/>
          <w:bCs/>
        </w:rPr>
        <w:t>-2024中吊顶覆面龙骨的要求。</w:t>
      </w:r>
    </w:p>
    <w:p w14:paraId="1968B54D">
      <w:pPr>
        <w:pStyle w:val="44"/>
        <w:widowControl/>
        <w:wordWrap w:val="0"/>
        <w:spacing w:line="400" w:lineRule="exact"/>
        <w:ind w:firstLine="480" w:firstLineChars="200"/>
        <w:jc w:val="left"/>
        <w:rPr>
          <w:rFonts w:asciiTheme="minorEastAsia" w:hAnsiTheme="minorEastAsia" w:eastAsiaTheme="minorEastAsia" w:cstheme="minorEastAsia"/>
          <w:bCs/>
        </w:rPr>
      </w:pPr>
      <w:r>
        <w:rPr>
          <w:rFonts w:hint="eastAsia" w:asciiTheme="minorEastAsia" w:hAnsiTheme="minorEastAsia" w:eastAsiaTheme="minorEastAsia" w:cstheme="minorEastAsia"/>
          <w:bCs/>
        </w:rPr>
        <w:t>（项号11)15、根据各响应人服务要求所需产品“天幕帘” 所使用的铝合金型材须符合</w:t>
      </w:r>
      <w:r>
        <w:t>GB/T 6892-2023</w:t>
      </w:r>
      <w:r>
        <w:rPr>
          <w:rFonts w:hint="eastAsia" w:asciiTheme="minorEastAsia" w:hAnsiTheme="minorEastAsia" w:eastAsiaTheme="minorEastAsia" w:cstheme="minorEastAsia"/>
          <w:bCs/>
        </w:rPr>
        <w:t>标准相关要求。</w:t>
      </w:r>
    </w:p>
    <w:p w14:paraId="60AE8A75">
      <w:pPr>
        <w:pStyle w:val="44"/>
        <w:widowControl/>
        <w:wordWrap w:val="0"/>
        <w:spacing w:line="400" w:lineRule="exact"/>
        <w:ind w:firstLine="480" w:firstLineChars="200"/>
        <w:jc w:val="left"/>
        <w:rPr>
          <w:rFonts w:asciiTheme="minorEastAsia" w:hAnsiTheme="minorEastAsia" w:eastAsiaTheme="minorEastAsia" w:cstheme="minorEastAsia"/>
          <w:bCs/>
        </w:rPr>
      </w:pPr>
      <w:r>
        <w:rPr>
          <w:rFonts w:hint="eastAsia" w:asciiTheme="minorEastAsia" w:hAnsiTheme="minorEastAsia" w:eastAsiaTheme="minorEastAsia" w:cstheme="minorEastAsia"/>
          <w:bCs/>
        </w:rPr>
        <w:t>（项号12)16、根据各响应人服务要求所需产品“会议桌” 所使用浸渍胶膜纸饰面胶合板的甲醛释放量符合</w:t>
      </w:r>
      <w:r>
        <w:t>GB</w:t>
      </w:r>
      <w:r>
        <w:rPr>
          <w:rFonts w:hint="eastAsia" w:asciiTheme="minorEastAsia" w:hAnsiTheme="minorEastAsia" w:eastAsiaTheme="minorEastAsia" w:cstheme="minorEastAsia"/>
          <w:bCs/>
        </w:rPr>
        <w:t>/T 39600-2021中规定的ENF技术指标。</w:t>
      </w:r>
    </w:p>
    <w:p w14:paraId="6D8FBB1B">
      <w:pPr>
        <w:pStyle w:val="44"/>
        <w:widowControl/>
        <w:wordWrap w:val="0"/>
        <w:spacing w:line="400" w:lineRule="exact"/>
        <w:ind w:firstLine="480" w:firstLineChars="200"/>
        <w:jc w:val="left"/>
        <w:rPr>
          <w:rFonts w:asciiTheme="minorEastAsia" w:hAnsiTheme="minorEastAsia" w:eastAsiaTheme="minorEastAsia" w:cstheme="minorEastAsia"/>
          <w:bCs/>
        </w:rPr>
      </w:pPr>
      <w:r>
        <w:rPr>
          <w:rFonts w:hint="eastAsia" w:asciiTheme="minorEastAsia" w:hAnsiTheme="minorEastAsia" w:eastAsiaTheme="minorEastAsia" w:cstheme="minorEastAsia"/>
          <w:bCs/>
        </w:rPr>
        <w:t>（项号13)17、根据各响应人服务要求所需产品“床头柜”所用的水性环保漆须符合国家标准</w:t>
      </w:r>
      <w:r>
        <w:rPr>
          <w:rFonts w:asciiTheme="minorEastAsia" w:hAnsiTheme="minorEastAsia" w:eastAsiaTheme="minorEastAsia" w:cstheme="minorEastAsia"/>
          <w:bCs/>
        </w:rPr>
        <w:t>GB 18582-2020</w:t>
      </w:r>
      <w:r>
        <w:rPr>
          <w:rFonts w:hint="eastAsia" w:asciiTheme="minorEastAsia" w:hAnsiTheme="minorEastAsia" w:eastAsiaTheme="minorEastAsia" w:cstheme="minorEastAsia"/>
          <w:bCs/>
        </w:rPr>
        <w:t>的镉、铬、汞的限值。</w:t>
      </w:r>
    </w:p>
    <w:p w14:paraId="4FA5A151">
      <w:pPr>
        <w:pStyle w:val="44"/>
        <w:widowControl/>
        <w:wordWrap w:val="0"/>
        <w:spacing w:line="400" w:lineRule="exact"/>
        <w:ind w:firstLine="480" w:firstLineChars="200"/>
        <w:jc w:val="left"/>
        <w:rPr>
          <w:rFonts w:asciiTheme="minorEastAsia" w:hAnsiTheme="minorEastAsia" w:eastAsiaTheme="minorEastAsia" w:cstheme="minorEastAsia"/>
          <w:bCs/>
        </w:rPr>
      </w:pPr>
      <w:r>
        <w:rPr>
          <w:rFonts w:hint="eastAsia" w:asciiTheme="minorEastAsia" w:hAnsiTheme="minorEastAsia" w:eastAsiaTheme="minorEastAsia" w:cstheme="minorEastAsia"/>
          <w:bCs/>
        </w:rPr>
        <w:t>（项号14)18、根据各响应人服务要求所需产品“布纱窗帘”须符合</w:t>
      </w:r>
      <w:r>
        <w:rPr>
          <w:rFonts w:asciiTheme="minorEastAsia" w:hAnsiTheme="minorEastAsia" w:eastAsiaTheme="minorEastAsia" w:cstheme="minorEastAsia"/>
          <w:bCs/>
        </w:rPr>
        <w:t>GB 18401-2010</w:t>
      </w:r>
      <w:r>
        <w:rPr>
          <w:rFonts w:hint="eastAsia" w:asciiTheme="minorEastAsia" w:hAnsiTheme="minorEastAsia" w:eastAsiaTheme="minorEastAsia" w:cstheme="minorEastAsia"/>
          <w:bCs/>
        </w:rPr>
        <w:t>《国家纺织产品基本安全技术规范》。</w:t>
      </w:r>
    </w:p>
    <w:p w14:paraId="6E6FF41B">
      <w:pPr>
        <w:pStyle w:val="44"/>
        <w:widowControl/>
        <w:wordWrap w:val="0"/>
        <w:spacing w:line="400" w:lineRule="exact"/>
        <w:ind w:firstLine="480" w:firstLineChars="200"/>
        <w:rPr>
          <w:rFonts w:asciiTheme="minorEastAsia" w:hAnsiTheme="minorEastAsia" w:eastAsiaTheme="minorEastAsia" w:cstheme="minorEastAsia"/>
          <w:bCs/>
        </w:rPr>
      </w:pPr>
      <w:r>
        <w:rPr>
          <w:rFonts w:hint="eastAsia" w:asciiTheme="minorEastAsia" w:hAnsiTheme="minorEastAsia" w:eastAsiaTheme="minorEastAsia" w:cstheme="minorEastAsia"/>
          <w:bCs/>
        </w:rPr>
        <w:t>（项号15)19、根据各响应人服务要求所需产品“天棚吊顶”所使用的石膏板质量符合</w:t>
      </w:r>
      <w:r>
        <w:rPr>
          <w:rFonts w:asciiTheme="minorEastAsia" w:hAnsiTheme="minorEastAsia" w:eastAsiaTheme="minorEastAsia" w:cstheme="minorEastAsia"/>
          <w:bCs/>
        </w:rPr>
        <w:t xml:space="preserve">GB/T </w:t>
      </w:r>
      <w:r>
        <w:rPr>
          <w:rFonts w:hint="eastAsia" w:asciiTheme="minorEastAsia" w:hAnsiTheme="minorEastAsia" w:eastAsiaTheme="minorEastAsia" w:cstheme="minorEastAsia"/>
          <w:bCs/>
        </w:rPr>
        <w:t>9775-2</w:t>
      </w:r>
      <w:r>
        <w:rPr>
          <w:rFonts w:asciiTheme="minorEastAsia" w:hAnsiTheme="minorEastAsia" w:eastAsiaTheme="minorEastAsia" w:cstheme="minorEastAsia"/>
          <w:bCs/>
        </w:rPr>
        <w:t>008</w:t>
      </w:r>
      <w:r>
        <w:rPr>
          <w:rFonts w:hint="eastAsia" w:asciiTheme="minorEastAsia" w:hAnsiTheme="minorEastAsia" w:eastAsiaTheme="minorEastAsia" w:cstheme="minorEastAsia"/>
          <w:bCs/>
        </w:rPr>
        <w:t>中耐火纸面石膏板的要求。</w:t>
      </w:r>
    </w:p>
    <w:p w14:paraId="44A2C0A2">
      <w:pPr>
        <w:pStyle w:val="44"/>
        <w:widowControl/>
        <w:wordWrap w:val="0"/>
        <w:spacing w:line="400" w:lineRule="exact"/>
        <w:ind w:firstLine="480" w:firstLineChars="200"/>
        <w:jc w:val="left"/>
        <w:rPr>
          <w:rFonts w:asciiTheme="minorEastAsia" w:hAnsiTheme="minorEastAsia" w:eastAsiaTheme="minorEastAsia" w:cstheme="minorEastAsia"/>
          <w:bCs/>
        </w:rPr>
      </w:pPr>
      <w:r>
        <w:rPr>
          <w:rFonts w:hint="eastAsia" w:asciiTheme="minorEastAsia" w:hAnsiTheme="minorEastAsia" w:eastAsiaTheme="minorEastAsia" w:cstheme="minorEastAsia"/>
          <w:bCs/>
        </w:rPr>
        <w:t>（项号16)20、根据各响应人服务要求所需产品“白色烤漆生态板柜”所使用板材的甲醛释放量符合</w:t>
      </w:r>
      <w:r>
        <w:t>GB</w:t>
      </w:r>
      <w:r>
        <w:rPr>
          <w:rFonts w:hint="eastAsia" w:asciiTheme="minorEastAsia" w:hAnsiTheme="minorEastAsia" w:eastAsiaTheme="minorEastAsia" w:cstheme="minorEastAsia"/>
          <w:bCs/>
        </w:rPr>
        <w:t>/T 39600-2021中规定的ENF技术指标。</w:t>
      </w:r>
    </w:p>
    <w:p w14:paraId="4CAD1ED0">
      <w:pPr>
        <w:pStyle w:val="44"/>
        <w:widowControl/>
        <w:wordWrap w:val="0"/>
        <w:spacing w:line="400" w:lineRule="exact"/>
        <w:ind w:firstLine="480" w:firstLineChars="200"/>
        <w:jc w:val="left"/>
        <w:rPr>
          <w:rFonts w:asciiTheme="minorEastAsia" w:hAnsiTheme="minorEastAsia" w:eastAsiaTheme="minorEastAsia" w:cstheme="minorEastAsia"/>
          <w:bCs/>
        </w:rPr>
      </w:pPr>
      <w:r>
        <w:rPr>
          <w:rFonts w:hint="eastAsia" w:asciiTheme="minorEastAsia" w:hAnsiTheme="minorEastAsia" w:eastAsiaTheme="minorEastAsia" w:cstheme="minorEastAsia"/>
          <w:bCs/>
        </w:rPr>
        <w:t>（项号17)21、根据各响应人服务要求所需产品“女儿墙”所使用聚氨脂防水涂膜须符合</w:t>
      </w:r>
      <w:r>
        <w:rPr>
          <w:rFonts w:asciiTheme="minorEastAsia" w:hAnsiTheme="minorEastAsia" w:eastAsiaTheme="minorEastAsia" w:cstheme="minorEastAsia"/>
          <w:bCs/>
        </w:rPr>
        <w:t>GB/T 19250 - 2013《聚氨酯防水涂料》</w:t>
      </w:r>
      <w:r>
        <w:rPr>
          <w:rFonts w:hint="eastAsia" w:asciiTheme="minorEastAsia" w:hAnsiTheme="minorEastAsia" w:eastAsiaTheme="minorEastAsia" w:cstheme="minorEastAsia"/>
          <w:bCs/>
        </w:rPr>
        <w:t>中规定的</w:t>
      </w:r>
      <w:r>
        <w:rPr>
          <w:rFonts w:asciiTheme="minorEastAsia" w:hAnsiTheme="minorEastAsia" w:eastAsiaTheme="minorEastAsia" w:cstheme="minorEastAsia"/>
          <w:bCs/>
        </w:rPr>
        <w:t>I 型</w:t>
      </w:r>
      <w:r>
        <w:rPr>
          <w:rFonts w:hint="eastAsia" w:asciiTheme="minorEastAsia" w:hAnsiTheme="minorEastAsia" w:eastAsiaTheme="minorEastAsia" w:cstheme="minorEastAsia"/>
          <w:bCs/>
        </w:rPr>
        <w:t>的技术指标。</w:t>
      </w:r>
    </w:p>
    <w:p w14:paraId="72A6D494">
      <w:pPr>
        <w:pStyle w:val="44"/>
        <w:spacing w:line="400" w:lineRule="exact"/>
        <w:ind w:firstLine="480" w:firstLineChars="200"/>
        <w:rPr>
          <w:rFonts w:asciiTheme="minorEastAsia" w:hAnsiTheme="minorEastAsia" w:eastAsiaTheme="minorEastAsia" w:cstheme="minorEastAsia"/>
          <w:bCs/>
        </w:rPr>
      </w:pPr>
      <w:r>
        <w:rPr>
          <w:rFonts w:hint="eastAsia" w:asciiTheme="minorEastAsia" w:hAnsiTheme="minorEastAsia" w:eastAsiaTheme="minorEastAsia" w:cstheme="minorEastAsia"/>
          <w:bCs/>
        </w:rPr>
        <w:t>（项号18)22、根据各响应人服务要求所需产品“点型探测器”需满足</w:t>
      </w:r>
      <w:r>
        <w:rPr>
          <w:rFonts w:asciiTheme="minorEastAsia" w:hAnsiTheme="minorEastAsia" w:eastAsiaTheme="minorEastAsia" w:cstheme="minorEastAsia"/>
          <w:bCs/>
        </w:rPr>
        <w:t>GB 4715-2024《点型感烟火灾探测器》</w:t>
      </w:r>
      <w:r>
        <w:rPr>
          <w:rFonts w:hint="eastAsia" w:asciiTheme="minorEastAsia" w:hAnsiTheme="minorEastAsia" w:eastAsiaTheme="minorEastAsia" w:cstheme="minorEastAsia"/>
          <w:bCs/>
        </w:rPr>
        <w:t>的技术指标。</w:t>
      </w:r>
    </w:p>
    <w:p w14:paraId="5C2252E2">
      <w:pPr>
        <w:pStyle w:val="301"/>
        <w:spacing w:line="480" w:lineRule="exact"/>
        <w:ind w:firstLine="482" w:firstLineChars="200"/>
        <w:jc w:val="both"/>
        <w:rPr>
          <w:rFonts w:hint="default" w:ascii="宋体" w:hAnsi="宋体" w:cs="宋体"/>
          <w:b/>
          <w:bCs/>
          <w:sz w:val="24"/>
          <w:szCs w:val="24"/>
        </w:rPr>
      </w:pPr>
      <w:r>
        <w:rPr>
          <w:rFonts w:ascii="宋体" w:hAnsi="宋体" w:cs="宋体"/>
          <w:b/>
          <w:bCs/>
          <w:sz w:val="24"/>
          <w:szCs w:val="24"/>
        </w:rPr>
        <w:t>注：</w:t>
      </w:r>
      <w:r>
        <w:rPr>
          <w:rFonts w:hint="default" w:ascii="宋体" w:hAnsi="宋体" w:cs="宋体"/>
          <w:b/>
          <w:bCs/>
          <w:sz w:val="24"/>
          <w:szCs w:val="24"/>
        </w:rPr>
        <w:t>1.</w:t>
      </w:r>
      <w:r>
        <w:rPr>
          <w:rFonts w:ascii="宋体" w:hAnsi="宋体" w:cs="宋体"/>
          <w:b/>
          <w:bCs/>
          <w:sz w:val="24"/>
          <w:szCs w:val="24"/>
        </w:rPr>
        <w:t>以上采购清单中要求的内容涉及尺寸、规格、重量等数值，有范围值的从其规定，未设定范围值的允许在规定的数值范围内存在±5%的偏离，且偏差范围应符合相关国家、行业标准（有不一致的，以国家、行业标准为准），设备外观尺寸在范围值或允许偏差都必须满足现场安装空间实际需求。</w:t>
      </w:r>
    </w:p>
    <w:p w14:paraId="12007E87">
      <w:pPr>
        <w:pStyle w:val="301"/>
        <w:spacing w:line="480" w:lineRule="exact"/>
        <w:ind w:firstLine="482" w:firstLineChars="200"/>
        <w:jc w:val="both"/>
        <w:rPr>
          <w:rFonts w:hint="default" w:ascii="宋体" w:hAnsi="宋体" w:cs="宋体"/>
          <w:b/>
          <w:bCs/>
          <w:sz w:val="24"/>
          <w:szCs w:val="24"/>
        </w:rPr>
      </w:pPr>
      <w:r>
        <w:rPr>
          <w:rFonts w:ascii="宋体" w:hAnsi="宋体" w:cs="宋体"/>
          <w:b/>
          <w:bCs/>
          <w:sz w:val="24"/>
          <w:szCs w:val="24"/>
        </w:rPr>
        <w:t>2.“二、技术和服务要求”中要求提供“检测报告复印件”等证明材料的，供应商应在响应文件“技术和服务要求响应表”对应的响应内容中注明所在页码，并且在检测报告等证明材料中显著标明证明的参数。</w:t>
      </w:r>
    </w:p>
    <w:p w14:paraId="5850429E"/>
    <w:p w14:paraId="49B22407">
      <w:r>
        <w:rPr>
          <w:rFonts w:asciiTheme="minorEastAsia" w:hAnsiTheme="minorEastAsia" w:eastAsiaTheme="minorEastAsia" w:cstheme="minorEastAsia"/>
          <w:bCs/>
        </w:rPr>
        <w:t>★</w:t>
      </w:r>
      <w:r>
        <w:rPr>
          <w:rFonts w:hint="eastAsia"/>
          <w:sz w:val="24"/>
          <w:szCs w:val="24"/>
        </w:rPr>
        <w:t>（三）其他要求</w:t>
      </w:r>
    </w:p>
    <w:p w14:paraId="70044905">
      <w:pPr>
        <w:pStyle w:val="301"/>
        <w:spacing w:line="480" w:lineRule="exact"/>
        <w:ind w:firstLine="482" w:firstLineChars="200"/>
        <w:jc w:val="both"/>
        <w:rPr>
          <w:rFonts w:hint="default" w:ascii="宋体" w:hAnsi="宋体" w:cs="宋体"/>
          <w:b/>
          <w:bCs/>
          <w:sz w:val="24"/>
          <w:szCs w:val="24"/>
        </w:rPr>
      </w:pPr>
      <w:r>
        <w:rPr>
          <w:rFonts w:ascii="宋体" w:hAnsi="宋体" w:cs="宋体"/>
          <w:b/>
          <w:bCs/>
          <w:sz w:val="24"/>
          <w:szCs w:val="24"/>
        </w:rPr>
        <w:t>1.本次采购所投产品若有属强制3C认证的，供应商须承诺所投产品有3C认证证书并能在货物验收时提供3C认证证书（承诺函格式自拟）或提供3C认证证书复印件，未按要求提供的按无效响应处理。</w:t>
      </w:r>
    </w:p>
    <w:p w14:paraId="07F7AF23">
      <w:pPr>
        <w:pStyle w:val="301"/>
        <w:spacing w:line="480" w:lineRule="exact"/>
        <w:ind w:firstLine="482" w:firstLineChars="200"/>
        <w:jc w:val="both"/>
        <w:rPr>
          <w:rFonts w:hint="default" w:ascii="宋体" w:hAnsi="宋体" w:cs="宋体"/>
          <w:b/>
          <w:bCs/>
          <w:sz w:val="24"/>
          <w:szCs w:val="24"/>
        </w:rPr>
      </w:pPr>
      <w:r>
        <w:rPr>
          <w:rFonts w:ascii="宋体" w:hAnsi="宋体" w:cs="宋体"/>
          <w:b/>
          <w:bCs/>
          <w:sz w:val="24"/>
          <w:szCs w:val="24"/>
        </w:rPr>
        <w:t>2.供应商须提供“工程量清单”中“空调器、小便器、大便器”由国家确定的认证机构出具有效的节能产品认证证书复印件，未标注但有属于政府强制采购节能产品，供应商须承诺所投产品有节能产品认证证书并能在货物验收时提供节能产品认证证书（承诺函格式自拟）或提供节能产品认证证书复印件，未按要求提供的按无效响应处理。</w:t>
      </w:r>
    </w:p>
    <w:p w14:paraId="35CB8116">
      <w:pPr>
        <w:pStyle w:val="301"/>
        <w:spacing w:line="480" w:lineRule="exact"/>
        <w:ind w:firstLine="482" w:firstLineChars="200"/>
        <w:jc w:val="both"/>
        <w:rPr>
          <w:rFonts w:hint="default" w:ascii="宋体" w:hAnsi="宋体" w:cs="宋体"/>
          <w:b/>
          <w:bCs/>
          <w:sz w:val="24"/>
          <w:szCs w:val="24"/>
        </w:rPr>
      </w:pPr>
    </w:p>
    <w:p w14:paraId="10FDD1DA">
      <w:pPr>
        <w:pStyle w:val="294"/>
        <w:spacing w:line="400" w:lineRule="exact"/>
        <w:outlineLvl w:val="1"/>
        <w:rPr>
          <w:b/>
        </w:rPr>
      </w:pPr>
      <w:r>
        <w:rPr>
          <w:rFonts w:hint="eastAsia"/>
          <w:b/>
        </w:rPr>
        <w:t>三、商务要求</w:t>
      </w:r>
      <w:bookmarkEnd w:id="137"/>
      <w:bookmarkEnd w:id="138"/>
      <w:bookmarkStart w:id="139" w:name="_Toc11786_WPSOffice_Level3"/>
      <w:bookmarkStart w:id="140" w:name="_Toc2336_WPSOffice_Level3"/>
      <w:r>
        <w:rPr>
          <w:rFonts w:hint="eastAsia"/>
          <w:b/>
        </w:rPr>
        <w:t>（此项内所有内容不得负偏离，否则按无效响应处理）</w:t>
      </w:r>
      <w:bookmarkEnd w:id="139"/>
      <w:bookmarkEnd w:id="140"/>
    </w:p>
    <w:p w14:paraId="47B11878">
      <w:pPr>
        <w:pStyle w:val="294"/>
        <w:spacing w:line="400" w:lineRule="exact"/>
        <w:outlineLvl w:val="1"/>
        <w:rPr>
          <w:b/>
        </w:rPr>
      </w:pPr>
      <w:r>
        <w:rPr>
          <w:rFonts w:hint="eastAsia"/>
          <w:spacing w:val="-2"/>
        </w:rPr>
        <w:t>合同包</w:t>
      </w:r>
      <w:r>
        <w:rPr>
          <w:rFonts w:hint="eastAsia"/>
          <w:shd w:val="clear" w:color="auto" w:fill="FFFFFF"/>
        </w:rPr>
        <w:t>1：</w:t>
      </w:r>
    </w:p>
    <w:tbl>
      <w:tblPr>
        <w:tblStyle w:val="49"/>
        <w:tblW w:w="5000" w:type="pct"/>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0" w:type="dxa"/>
          <w:left w:w="0" w:type="dxa"/>
          <w:bottom w:w="0" w:type="dxa"/>
          <w:right w:w="0" w:type="dxa"/>
        </w:tblCellMar>
      </w:tblPr>
      <w:tblGrid>
        <w:gridCol w:w="997"/>
        <w:gridCol w:w="999"/>
        <w:gridCol w:w="1497"/>
        <w:gridCol w:w="6494"/>
      </w:tblGrid>
      <w:tr w14:paraId="1AC4309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499" w:type="pct"/>
            <w:tcBorders>
              <w:top w:val="single" w:color="000000" w:sz="6" w:space="0"/>
              <w:left w:val="single" w:color="000000" w:sz="6" w:space="0"/>
              <w:bottom w:val="single" w:color="000000" w:sz="6" w:space="0"/>
              <w:right w:val="single" w:color="000000" w:sz="6" w:space="0"/>
            </w:tcBorders>
            <w:shd w:val="clear" w:color="auto" w:fill="FAFAFA"/>
            <w:tcMar>
              <w:left w:w="120" w:type="dxa"/>
              <w:right w:w="120" w:type="dxa"/>
            </w:tcMar>
            <w:vAlign w:val="center"/>
          </w:tcPr>
          <w:p w14:paraId="728B3D06">
            <w:pPr>
              <w:widowControl/>
              <w:wordWrap w:val="0"/>
              <w:spacing w:line="400" w:lineRule="exact"/>
              <w:jc w:val="left"/>
              <w:rPr>
                <w:rFonts w:ascii="宋体" w:hAnsi="宋体" w:cs="宋体"/>
                <w:b/>
                <w:bCs/>
                <w:sz w:val="24"/>
                <w:szCs w:val="24"/>
              </w:rPr>
            </w:pPr>
            <w:bookmarkStart w:id="141" w:name="_Toc16217"/>
            <w:bookmarkStart w:id="142" w:name="_Toc21434_WPSOffice_Level1"/>
            <w:bookmarkStart w:id="143" w:name="_Toc13174_WPSOffice_Level1"/>
            <w:bookmarkStart w:id="144" w:name="_Toc3912_WPSOffice_Level1"/>
            <w:r>
              <w:rPr>
                <w:rFonts w:hint="eastAsia" w:ascii="宋体" w:hAnsi="宋体" w:cs="宋体"/>
                <w:b/>
                <w:bCs/>
                <w:kern w:val="0"/>
                <w:sz w:val="24"/>
                <w:szCs w:val="24"/>
              </w:rPr>
              <w:t>序号</w:t>
            </w:r>
          </w:p>
        </w:tc>
        <w:tc>
          <w:tcPr>
            <w:tcW w:w="500" w:type="pct"/>
            <w:tcBorders>
              <w:top w:val="single" w:color="000000" w:sz="6" w:space="0"/>
              <w:left w:val="single" w:color="000000" w:sz="6" w:space="0"/>
              <w:bottom w:val="single" w:color="000000" w:sz="6" w:space="0"/>
              <w:right w:val="single" w:color="000000" w:sz="6" w:space="0"/>
            </w:tcBorders>
            <w:shd w:val="clear" w:color="auto" w:fill="FAFAFA"/>
            <w:tcMar>
              <w:left w:w="120" w:type="dxa"/>
              <w:right w:w="120" w:type="dxa"/>
            </w:tcMar>
            <w:vAlign w:val="center"/>
          </w:tcPr>
          <w:p w14:paraId="4FE81001">
            <w:pPr>
              <w:widowControl/>
              <w:wordWrap w:val="0"/>
              <w:spacing w:line="400" w:lineRule="exact"/>
              <w:jc w:val="left"/>
              <w:rPr>
                <w:rFonts w:ascii="宋体" w:hAnsi="宋体" w:cs="宋体"/>
                <w:b/>
                <w:bCs/>
                <w:sz w:val="24"/>
                <w:szCs w:val="24"/>
              </w:rPr>
            </w:pPr>
            <w:r>
              <w:rPr>
                <w:rFonts w:hint="eastAsia" w:ascii="宋体" w:hAnsi="宋体" w:cs="宋体"/>
                <w:b/>
                <w:bCs/>
                <w:kern w:val="0"/>
                <w:sz w:val="24"/>
                <w:szCs w:val="24"/>
              </w:rPr>
              <w:t>参数性质</w:t>
            </w:r>
          </w:p>
        </w:tc>
        <w:tc>
          <w:tcPr>
            <w:tcW w:w="749" w:type="pct"/>
            <w:tcBorders>
              <w:top w:val="single" w:color="000000" w:sz="6" w:space="0"/>
              <w:left w:val="single" w:color="000000" w:sz="6" w:space="0"/>
              <w:bottom w:val="single" w:color="000000" w:sz="6" w:space="0"/>
              <w:right w:val="single" w:color="000000" w:sz="6" w:space="0"/>
            </w:tcBorders>
            <w:shd w:val="clear" w:color="auto" w:fill="FAFAFA"/>
            <w:tcMar>
              <w:left w:w="120" w:type="dxa"/>
              <w:right w:w="120" w:type="dxa"/>
            </w:tcMar>
            <w:vAlign w:val="center"/>
          </w:tcPr>
          <w:p w14:paraId="6C165EDC">
            <w:pPr>
              <w:widowControl/>
              <w:wordWrap w:val="0"/>
              <w:spacing w:line="400" w:lineRule="exact"/>
              <w:jc w:val="left"/>
              <w:rPr>
                <w:rFonts w:ascii="宋体" w:hAnsi="宋体" w:cs="宋体"/>
                <w:b/>
                <w:bCs/>
                <w:sz w:val="24"/>
                <w:szCs w:val="24"/>
              </w:rPr>
            </w:pPr>
            <w:r>
              <w:rPr>
                <w:rFonts w:hint="eastAsia" w:ascii="宋体" w:hAnsi="宋体" w:cs="宋体"/>
                <w:b/>
                <w:bCs/>
                <w:kern w:val="0"/>
                <w:sz w:val="24"/>
                <w:szCs w:val="24"/>
              </w:rPr>
              <w:t>类型</w:t>
            </w:r>
          </w:p>
        </w:tc>
        <w:tc>
          <w:tcPr>
            <w:tcW w:w="3250" w:type="pct"/>
            <w:tcBorders>
              <w:top w:val="single" w:color="000000" w:sz="6" w:space="0"/>
              <w:left w:val="single" w:color="000000" w:sz="6" w:space="0"/>
              <w:bottom w:val="single" w:color="000000" w:sz="6" w:space="0"/>
              <w:right w:val="single" w:color="000000" w:sz="6" w:space="0"/>
            </w:tcBorders>
            <w:shd w:val="clear" w:color="auto" w:fill="FAFAFA"/>
            <w:tcMar>
              <w:left w:w="120" w:type="dxa"/>
              <w:right w:w="120" w:type="dxa"/>
            </w:tcMar>
            <w:vAlign w:val="center"/>
          </w:tcPr>
          <w:p w14:paraId="1C8F849C">
            <w:pPr>
              <w:widowControl/>
              <w:wordWrap w:val="0"/>
              <w:spacing w:line="400" w:lineRule="exact"/>
              <w:jc w:val="left"/>
              <w:rPr>
                <w:rFonts w:ascii="宋体" w:hAnsi="宋体" w:cs="宋体"/>
                <w:b/>
                <w:bCs/>
                <w:sz w:val="24"/>
                <w:szCs w:val="24"/>
              </w:rPr>
            </w:pPr>
            <w:r>
              <w:rPr>
                <w:rFonts w:hint="eastAsia" w:ascii="宋体" w:hAnsi="宋体" w:cs="宋体"/>
                <w:b/>
                <w:bCs/>
                <w:kern w:val="0"/>
                <w:sz w:val="24"/>
                <w:szCs w:val="24"/>
              </w:rPr>
              <w:t>要求</w:t>
            </w:r>
          </w:p>
        </w:tc>
      </w:tr>
      <w:tr w14:paraId="2F58041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75C4316">
            <w:pPr>
              <w:widowControl/>
              <w:wordWrap w:val="0"/>
              <w:spacing w:line="400" w:lineRule="exact"/>
              <w:jc w:val="center"/>
              <w:rPr>
                <w:rFonts w:ascii="宋体" w:hAnsi="宋体" w:cs="宋体"/>
                <w:sz w:val="24"/>
                <w:szCs w:val="24"/>
              </w:rPr>
            </w:pPr>
            <w:r>
              <w:rPr>
                <w:rFonts w:hint="eastAsia" w:ascii="宋体" w:hAnsi="宋体" w:cs="宋体"/>
                <w:kern w:val="0"/>
                <w:sz w:val="24"/>
                <w:szCs w:val="24"/>
              </w:rPr>
              <w:t>1</w:t>
            </w:r>
          </w:p>
        </w:tc>
        <w:tc>
          <w:tcPr>
            <w:tcW w:w="0" w:type="auto"/>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99FD7CA">
            <w:pPr>
              <w:widowControl/>
              <w:wordWrap w:val="0"/>
              <w:spacing w:line="400" w:lineRule="exact"/>
              <w:jc w:val="center"/>
              <w:rPr>
                <w:rFonts w:ascii="宋体" w:hAnsi="宋体" w:cs="宋体"/>
                <w:sz w:val="24"/>
                <w:szCs w:val="24"/>
              </w:rPr>
            </w:pPr>
            <w:r>
              <w:rPr>
                <w:rFonts w:hint="eastAsia" w:ascii="宋体" w:hAnsi="宋体" w:cs="宋体"/>
                <w:kern w:val="0"/>
                <w:sz w:val="24"/>
                <w:szCs w:val="24"/>
              </w:rPr>
              <w:t>★</w:t>
            </w:r>
          </w:p>
        </w:tc>
        <w:tc>
          <w:tcPr>
            <w:tcW w:w="0" w:type="auto"/>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23DEB7E">
            <w:pPr>
              <w:widowControl/>
              <w:wordWrap w:val="0"/>
              <w:spacing w:line="400" w:lineRule="exact"/>
              <w:jc w:val="center"/>
              <w:rPr>
                <w:rFonts w:ascii="宋体" w:hAnsi="宋体" w:cs="宋体"/>
                <w:sz w:val="24"/>
                <w:szCs w:val="24"/>
              </w:rPr>
            </w:pPr>
            <w:r>
              <w:rPr>
                <w:rFonts w:hint="eastAsia" w:ascii="宋体" w:hAnsi="宋体" w:cs="宋体"/>
                <w:kern w:val="0"/>
                <w:sz w:val="24"/>
                <w:szCs w:val="24"/>
              </w:rPr>
              <w:t>交货时间</w:t>
            </w:r>
          </w:p>
        </w:tc>
        <w:tc>
          <w:tcPr>
            <w:tcW w:w="0" w:type="auto"/>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821451E">
            <w:pPr>
              <w:widowControl/>
              <w:wordWrap w:val="0"/>
              <w:spacing w:line="400" w:lineRule="exact"/>
              <w:jc w:val="left"/>
              <w:rPr>
                <w:rFonts w:ascii="宋体" w:hAnsi="宋体" w:cs="宋体"/>
                <w:sz w:val="24"/>
                <w:szCs w:val="24"/>
              </w:rPr>
            </w:pPr>
            <w:r>
              <w:rPr>
                <w:rFonts w:hint="eastAsia" w:ascii="宋体" w:hAnsi="宋体" w:cs="宋体"/>
                <w:sz w:val="24"/>
                <w:szCs w:val="24"/>
              </w:rPr>
              <w:t>合同签订后150个自然日</w:t>
            </w:r>
            <w:r>
              <w:rPr>
                <w:rFonts w:ascii="宋体" w:hAnsi="宋体" w:cs="宋体"/>
                <w:sz w:val="24"/>
                <w:szCs w:val="24"/>
              </w:rPr>
              <w:t>完成项目施工并通过验收</w:t>
            </w:r>
          </w:p>
        </w:tc>
      </w:tr>
      <w:tr w14:paraId="1D9C1B0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7BA0690">
            <w:pPr>
              <w:widowControl/>
              <w:wordWrap w:val="0"/>
              <w:spacing w:line="400" w:lineRule="exact"/>
              <w:jc w:val="center"/>
              <w:rPr>
                <w:rFonts w:ascii="宋体" w:hAnsi="宋体" w:cs="宋体"/>
                <w:sz w:val="24"/>
                <w:szCs w:val="24"/>
              </w:rPr>
            </w:pPr>
            <w:r>
              <w:rPr>
                <w:rFonts w:hint="eastAsia" w:ascii="宋体" w:hAnsi="宋体" w:cs="宋体"/>
                <w:kern w:val="0"/>
                <w:sz w:val="24"/>
                <w:szCs w:val="24"/>
              </w:rPr>
              <w:t>2</w:t>
            </w:r>
          </w:p>
        </w:tc>
        <w:tc>
          <w:tcPr>
            <w:tcW w:w="0" w:type="auto"/>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48F015C">
            <w:pPr>
              <w:widowControl/>
              <w:wordWrap w:val="0"/>
              <w:spacing w:line="400" w:lineRule="exact"/>
              <w:jc w:val="center"/>
              <w:rPr>
                <w:rFonts w:ascii="宋体" w:hAnsi="宋体" w:cs="宋体"/>
                <w:sz w:val="24"/>
                <w:szCs w:val="24"/>
              </w:rPr>
            </w:pPr>
            <w:r>
              <w:rPr>
                <w:rFonts w:hint="eastAsia" w:ascii="宋体" w:hAnsi="宋体" w:cs="宋体"/>
                <w:kern w:val="0"/>
                <w:sz w:val="24"/>
                <w:szCs w:val="24"/>
              </w:rPr>
              <w:t>★</w:t>
            </w:r>
          </w:p>
        </w:tc>
        <w:tc>
          <w:tcPr>
            <w:tcW w:w="0" w:type="auto"/>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57842FB">
            <w:pPr>
              <w:widowControl/>
              <w:wordWrap w:val="0"/>
              <w:spacing w:line="400" w:lineRule="exact"/>
              <w:jc w:val="center"/>
              <w:rPr>
                <w:rFonts w:ascii="宋体" w:hAnsi="宋体" w:cs="宋体"/>
                <w:sz w:val="24"/>
                <w:szCs w:val="24"/>
              </w:rPr>
            </w:pPr>
            <w:r>
              <w:rPr>
                <w:rFonts w:hint="eastAsia" w:ascii="宋体" w:hAnsi="宋体" w:cs="宋体"/>
                <w:kern w:val="0"/>
                <w:sz w:val="24"/>
                <w:szCs w:val="24"/>
              </w:rPr>
              <w:t>交货地点</w:t>
            </w:r>
          </w:p>
        </w:tc>
        <w:tc>
          <w:tcPr>
            <w:tcW w:w="0" w:type="auto"/>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27CDEDD">
            <w:pPr>
              <w:widowControl/>
              <w:wordWrap w:val="0"/>
              <w:spacing w:line="400" w:lineRule="exact"/>
              <w:jc w:val="left"/>
              <w:rPr>
                <w:rFonts w:ascii="宋体" w:hAnsi="宋体" w:cs="宋体"/>
                <w:sz w:val="24"/>
                <w:szCs w:val="24"/>
              </w:rPr>
            </w:pPr>
            <w:r>
              <w:rPr>
                <w:rFonts w:hint="eastAsia" w:ascii="宋体" w:hAnsi="宋体" w:cs="宋体"/>
                <w:sz w:val="24"/>
                <w:szCs w:val="24"/>
              </w:rPr>
              <w:t>采购人指定地点</w:t>
            </w:r>
          </w:p>
        </w:tc>
      </w:tr>
      <w:tr w14:paraId="7F8B184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2C27B1B">
            <w:pPr>
              <w:widowControl/>
              <w:wordWrap w:val="0"/>
              <w:spacing w:line="400" w:lineRule="exact"/>
              <w:jc w:val="center"/>
              <w:rPr>
                <w:rFonts w:ascii="宋体" w:hAnsi="宋体" w:cs="宋体"/>
                <w:sz w:val="24"/>
                <w:szCs w:val="24"/>
              </w:rPr>
            </w:pPr>
            <w:r>
              <w:rPr>
                <w:rFonts w:hint="eastAsia" w:ascii="宋体" w:hAnsi="宋体" w:cs="宋体"/>
                <w:kern w:val="0"/>
                <w:sz w:val="24"/>
                <w:szCs w:val="24"/>
              </w:rPr>
              <w:t>3</w:t>
            </w:r>
          </w:p>
        </w:tc>
        <w:tc>
          <w:tcPr>
            <w:tcW w:w="0" w:type="auto"/>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B7DEEDF">
            <w:pPr>
              <w:widowControl/>
              <w:wordWrap w:val="0"/>
              <w:spacing w:line="400" w:lineRule="exact"/>
              <w:jc w:val="center"/>
              <w:rPr>
                <w:rFonts w:ascii="宋体" w:hAnsi="宋体" w:cs="宋体"/>
                <w:sz w:val="24"/>
                <w:szCs w:val="24"/>
              </w:rPr>
            </w:pPr>
            <w:r>
              <w:rPr>
                <w:rFonts w:hint="eastAsia" w:ascii="宋体" w:hAnsi="宋体" w:cs="宋体"/>
                <w:kern w:val="0"/>
                <w:sz w:val="24"/>
                <w:szCs w:val="24"/>
              </w:rPr>
              <w:t>★</w:t>
            </w:r>
          </w:p>
        </w:tc>
        <w:tc>
          <w:tcPr>
            <w:tcW w:w="0" w:type="auto"/>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4A516F4">
            <w:pPr>
              <w:widowControl/>
              <w:wordWrap w:val="0"/>
              <w:spacing w:line="400" w:lineRule="exact"/>
              <w:jc w:val="center"/>
              <w:rPr>
                <w:rFonts w:ascii="宋体" w:hAnsi="宋体" w:cs="宋体"/>
                <w:sz w:val="24"/>
                <w:szCs w:val="24"/>
              </w:rPr>
            </w:pPr>
            <w:r>
              <w:rPr>
                <w:rFonts w:hint="eastAsia" w:ascii="宋体" w:hAnsi="宋体" w:cs="宋体"/>
                <w:kern w:val="0"/>
                <w:sz w:val="24"/>
                <w:szCs w:val="24"/>
              </w:rPr>
              <w:t>交货条件</w:t>
            </w:r>
          </w:p>
        </w:tc>
        <w:tc>
          <w:tcPr>
            <w:tcW w:w="3250" w:type="pct"/>
            <w:tcBorders>
              <w:top w:val="single" w:color="000000" w:sz="6" w:space="0"/>
              <w:left w:val="single" w:color="000000" w:sz="6" w:space="0"/>
              <w:bottom w:val="single" w:color="000000" w:sz="6" w:space="0"/>
              <w:right w:val="single" w:color="000000" w:sz="6" w:space="0"/>
            </w:tcBorders>
            <w:tcMar>
              <w:left w:w="120" w:type="dxa"/>
              <w:right w:w="120" w:type="dxa"/>
            </w:tcMar>
          </w:tcPr>
          <w:p w14:paraId="2537D564">
            <w:pPr>
              <w:pStyle w:val="301"/>
              <w:spacing w:line="400" w:lineRule="exact"/>
              <w:rPr>
                <w:rFonts w:hint="default" w:ascii="宋体" w:hAnsi="宋体" w:cs="宋体"/>
                <w:sz w:val="24"/>
                <w:szCs w:val="24"/>
              </w:rPr>
            </w:pPr>
            <w:r>
              <w:rPr>
                <w:rFonts w:ascii="宋体" w:hAnsi="宋体" w:cs="宋体"/>
                <w:sz w:val="24"/>
                <w:szCs w:val="24"/>
              </w:rPr>
              <w:t>完成项目施工并通过验收</w:t>
            </w:r>
          </w:p>
        </w:tc>
      </w:tr>
      <w:tr w14:paraId="42C6F04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D4D8107">
            <w:pPr>
              <w:widowControl/>
              <w:wordWrap w:val="0"/>
              <w:spacing w:line="400" w:lineRule="exact"/>
              <w:jc w:val="center"/>
              <w:rPr>
                <w:rFonts w:ascii="宋体" w:hAnsi="宋体" w:cs="宋体"/>
                <w:sz w:val="24"/>
                <w:szCs w:val="24"/>
              </w:rPr>
            </w:pPr>
            <w:r>
              <w:rPr>
                <w:rFonts w:hint="eastAsia" w:ascii="宋体" w:hAnsi="宋体" w:cs="宋体"/>
                <w:kern w:val="0"/>
                <w:sz w:val="24"/>
                <w:szCs w:val="24"/>
              </w:rPr>
              <w:t>4</w:t>
            </w:r>
          </w:p>
        </w:tc>
        <w:tc>
          <w:tcPr>
            <w:tcW w:w="0" w:type="auto"/>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9D746C3">
            <w:pPr>
              <w:widowControl/>
              <w:wordWrap w:val="0"/>
              <w:spacing w:line="400" w:lineRule="exact"/>
              <w:jc w:val="center"/>
              <w:rPr>
                <w:rFonts w:ascii="宋体" w:hAnsi="宋体" w:cs="宋体"/>
                <w:sz w:val="24"/>
                <w:szCs w:val="24"/>
              </w:rPr>
            </w:pPr>
            <w:r>
              <w:rPr>
                <w:rFonts w:hint="eastAsia" w:ascii="宋体" w:hAnsi="宋体" w:cs="宋体"/>
                <w:kern w:val="0"/>
                <w:sz w:val="24"/>
                <w:szCs w:val="24"/>
              </w:rPr>
              <w:t>★</w:t>
            </w:r>
          </w:p>
        </w:tc>
        <w:tc>
          <w:tcPr>
            <w:tcW w:w="0" w:type="auto"/>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ECB3005">
            <w:pPr>
              <w:widowControl/>
              <w:wordWrap w:val="0"/>
              <w:spacing w:line="400" w:lineRule="exact"/>
              <w:jc w:val="center"/>
              <w:rPr>
                <w:rFonts w:ascii="宋体" w:hAnsi="宋体" w:cs="宋体"/>
                <w:sz w:val="24"/>
                <w:szCs w:val="24"/>
              </w:rPr>
            </w:pPr>
            <w:r>
              <w:rPr>
                <w:rFonts w:hint="eastAsia" w:ascii="宋体" w:hAnsi="宋体" w:cs="宋体"/>
                <w:kern w:val="0"/>
                <w:sz w:val="24"/>
                <w:szCs w:val="24"/>
              </w:rPr>
              <w:t>是否邀请投标人验收</w:t>
            </w:r>
          </w:p>
        </w:tc>
        <w:tc>
          <w:tcPr>
            <w:tcW w:w="3250" w:type="pct"/>
            <w:tcBorders>
              <w:top w:val="single" w:color="000000" w:sz="6" w:space="0"/>
              <w:left w:val="single" w:color="000000" w:sz="6" w:space="0"/>
              <w:bottom w:val="single" w:color="000000" w:sz="6" w:space="0"/>
              <w:right w:val="single" w:color="000000" w:sz="6" w:space="0"/>
            </w:tcBorders>
            <w:tcMar>
              <w:left w:w="120" w:type="dxa"/>
              <w:right w:w="120" w:type="dxa"/>
            </w:tcMar>
          </w:tcPr>
          <w:p w14:paraId="3E7368A2">
            <w:pPr>
              <w:spacing w:line="360" w:lineRule="auto"/>
              <w:ind w:firstLine="480" w:firstLineChars="200"/>
              <w:jc w:val="left"/>
              <w:rPr>
                <w:rFonts w:ascii="宋体" w:hAnsi="宋体" w:cs="宋体"/>
                <w:sz w:val="24"/>
                <w:szCs w:val="24"/>
              </w:rPr>
            </w:pPr>
            <w:r>
              <w:rPr>
                <w:rFonts w:hint="eastAsia" w:ascii="宋体" w:hAnsi="宋体" w:cs="宋体"/>
                <w:bCs/>
                <w:sz w:val="24"/>
                <w:szCs w:val="24"/>
              </w:rPr>
              <w:t>不邀请投标人验收</w:t>
            </w:r>
          </w:p>
        </w:tc>
      </w:tr>
      <w:tr w14:paraId="4F493D7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4D9BA36">
            <w:pPr>
              <w:widowControl/>
              <w:wordWrap w:val="0"/>
              <w:spacing w:line="400" w:lineRule="exact"/>
              <w:jc w:val="center"/>
              <w:rPr>
                <w:rFonts w:ascii="宋体" w:hAnsi="宋体" w:cs="宋体"/>
                <w:sz w:val="24"/>
                <w:szCs w:val="24"/>
              </w:rPr>
            </w:pPr>
            <w:r>
              <w:rPr>
                <w:rFonts w:hint="eastAsia" w:ascii="宋体" w:hAnsi="宋体" w:cs="宋体"/>
                <w:kern w:val="0"/>
                <w:sz w:val="24"/>
                <w:szCs w:val="24"/>
              </w:rPr>
              <w:t>5</w:t>
            </w:r>
          </w:p>
        </w:tc>
        <w:tc>
          <w:tcPr>
            <w:tcW w:w="0" w:type="auto"/>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FCDED65">
            <w:pPr>
              <w:widowControl/>
              <w:wordWrap w:val="0"/>
              <w:spacing w:line="400" w:lineRule="exact"/>
              <w:jc w:val="center"/>
              <w:rPr>
                <w:rFonts w:ascii="宋体" w:hAnsi="宋体" w:cs="宋体"/>
                <w:sz w:val="24"/>
                <w:szCs w:val="24"/>
              </w:rPr>
            </w:pPr>
            <w:r>
              <w:rPr>
                <w:rFonts w:hint="eastAsia" w:ascii="宋体" w:hAnsi="宋体" w:cs="宋体"/>
                <w:kern w:val="0"/>
                <w:sz w:val="24"/>
                <w:szCs w:val="24"/>
              </w:rPr>
              <w:t>★</w:t>
            </w:r>
          </w:p>
        </w:tc>
        <w:tc>
          <w:tcPr>
            <w:tcW w:w="0" w:type="auto"/>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CF1D5F0">
            <w:pPr>
              <w:widowControl/>
              <w:wordWrap w:val="0"/>
              <w:spacing w:line="400" w:lineRule="exact"/>
              <w:jc w:val="center"/>
              <w:rPr>
                <w:rFonts w:ascii="宋体" w:hAnsi="宋体" w:cs="宋体"/>
                <w:sz w:val="24"/>
                <w:szCs w:val="24"/>
              </w:rPr>
            </w:pPr>
            <w:r>
              <w:rPr>
                <w:rFonts w:hint="eastAsia" w:ascii="宋体" w:hAnsi="宋体" w:cs="宋体"/>
                <w:kern w:val="0"/>
                <w:sz w:val="24"/>
                <w:szCs w:val="24"/>
              </w:rPr>
              <w:t>履约验收方式</w:t>
            </w:r>
          </w:p>
        </w:tc>
        <w:tc>
          <w:tcPr>
            <w:tcW w:w="0" w:type="auto"/>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CD921CD">
            <w:pPr>
              <w:pStyle w:val="44"/>
              <w:widowControl/>
              <w:wordWrap w:val="0"/>
              <w:spacing w:line="400" w:lineRule="exact"/>
            </w:pPr>
            <w:r>
              <w:rPr>
                <w:rFonts w:hint="eastAsia"/>
              </w:rPr>
              <w:t>1、期次1，说明：按磋商文件、响应文件、采购合同以及国家相关行业标准进行验收及主管部门验收。</w:t>
            </w:r>
          </w:p>
        </w:tc>
      </w:tr>
      <w:tr w14:paraId="4BCE1F5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948D212">
            <w:pPr>
              <w:widowControl/>
              <w:wordWrap w:val="0"/>
              <w:spacing w:line="400" w:lineRule="exact"/>
              <w:jc w:val="center"/>
              <w:rPr>
                <w:rFonts w:ascii="宋体" w:hAnsi="宋体" w:cs="宋体"/>
                <w:sz w:val="24"/>
                <w:szCs w:val="24"/>
              </w:rPr>
            </w:pPr>
            <w:r>
              <w:rPr>
                <w:rFonts w:hint="eastAsia" w:ascii="宋体" w:hAnsi="宋体" w:cs="宋体"/>
                <w:kern w:val="0"/>
                <w:sz w:val="24"/>
                <w:szCs w:val="24"/>
              </w:rPr>
              <w:t>6</w:t>
            </w:r>
          </w:p>
        </w:tc>
        <w:tc>
          <w:tcPr>
            <w:tcW w:w="0" w:type="auto"/>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5BCA152">
            <w:pPr>
              <w:widowControl/>
              <w:wordWrap w:val="0"/>
              <w:spacing w:line="400" w:lineRule="exact"/>
              <w:jc w:val="center"/>
              <w:rPr>
                <w:rFonts w:ascii="宋体" w:hAnsi="宋体" w:cs="宋体"/>
                <w:sz w:val="24"/>
                <w:szCs w:val="24"/>
              </w:rPr>
            </w:pPr>
            <w:r>
              <w:rPr>
                <w:rFonts w:hint="eastAsia" w:ascii="宋体" w:hAnsi="宋体" w:cs="宋体"/>
                <w:kern w:val="0"/>
                <w:sz w:val="24"/>
                <w:szCs w:val="24"/>
              </w:rPr>
              <w:t>★</w:t>
            </w:r>
          </w:p>
        </w:tc>
        <w:tc>
          <w:tcPr>
            <w:tcW w:w="0" w:type="auto"/>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7CCEE0E">
            <w:pPr>
              <w:widowControl/>
              <w:wordWrap w:val="0"/>
              <w:spacing w:line="400" w:lineRule="exact"/>
              <w:jc w:val="center"/>
              <w:rPr>
                <w:rFonts w:ascii="宋体" w:hAnsi="宋体" w:cs="宋体"/>
                <w:sz w:val="24"/>
                <w:szCs w:val="24"/>
              </w:rPr>
            </w:pPr>
            <w:r>
              <w:rPr>
                <w:rFonts w:hint="eastAsia" w:ascii="宋体" w:hAnsi="宋体" w:cs="宋体"/>
                <w:kern w:val="0"/>
                <w:sz w:val="24"/>
                <w:szCs w:val="24"/>
              </w:rPr>
              <w:t>合同支付方式</w:t>
            </w:r>
          </w:p>
        </w:tc>
        <w:tc>
          <w:tcPr>
            <w:tcW w:w="0" w:type="auto"/>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64553CD">
            <w:pPr>
              <w:spacing w:line="400" w:lineRule="exact"/>
              <w:ind w:firstLine="480" w:firstLineChars="200"/>
              <w:rPr>
                <w:rFonts w:hint="eastAsia" w:ascii="宋体" w:hAnsi="宋体" w:cs="宋体"/>
                <w:sz w:val="24"/>
                <w:szCs w:val="24"/>
              </w:rPr>
            </w:pPr>
            <w:r>
              <w:rPr>
                <w:rFonts w:hint="eastAsia" w:ascii="宋体" w:hAnsi="宋体" w:cs="宋体"/>
                <w:sz w:val="24"/>
                <w:szCs w:val="24"/>
              </w:rPr>
              <w:t>(1)工程竣工验收合格，成交供应商开具增值税专用发票，经采购人审核批准后, 达到付款条件起30日, 采购人以转账的形式支付合同总金额的80.00%.</w:t>
            </w:r>
          </w:p>
          <w:p w14:paraId="0B622B62">
            <w:pPr>
              <w:spacing w:line="400" w:lineRule="exact"/>
              <w:ind w:firstLine="480" w:firstLineChars="200"/>
            </w:pPr>
            <w:r>
              <w:rPr>
                <w:rFonts w:hint="eastAsia" w:ascii="宋体" w:hAnsi="宋体" w:cs="宋体"/>
                <w:sz w:val="24"/>
                <w:szCs w:val="24"/>
              </w:rPr>
              <w:t>(2)工程结算审核完成且工程竣工档案资料完整归档后，成交供应商开具增值税专用发票, 达到付款条件起30日,采购人以转账的形式支付至工程结算审核金额的100%.</w:t>
            </w:r>
          </w:p>
          <w:p w14:paraId="7A2407B9">
            <w:pPr>
              <w:spacing w:line="400" w:lineRule="exact"/>
              <w:ind w:firstLine="480" w:firstLineChars="200"/>
              <w:rPr>
                <w:rFonts w:hint="eastAsia" w:ascii="宋体" w:hAnsi="宋体" w:cs="宋体"/>
                <w:sz w:val="24"/>
                <w:szCs w:val="24"/>
              </w:rPr>
            </w:pPr>
            <w:r>
              <w:rPr>
                <w:rFonts w:hint="eastAsia" w:ascii="宋体" w:hAnsi="宋体" w:cs="宋体"/>
                <w:sz w:val="24"/>
                <w:szCs w:val="24"/>
              </w:rPr>
              <w:t>注:</w:t>
            </w:r>
            <w:r>
              <w:rPr>
                <w:rFonts w:hint="eastAsia" w:ascii="宋体" w:hAnsi="宋体" w:cs="宋体"/>
                <w:sz w:val="24"/>
                <w:szCs w:val="24"/>
                <w:lang w:val="en-US" w:eastAsia="zh-CN"/>
              </w:rPr>
              <w:t>1.</w:t>
            </w:r>
            <w:r>
              <w:rPr>
                <w:rFonts w:hint="eastAsia" w:ascii="宋体" w:hAnsi="宋体" w:cs="宋体"/>
                <w:sz w:val="24"/>
                <w:szCs w:val="24"/>
              </w:rPr>
              <w:t>经第三方机构审核后的审定价款低于合同总价的按审定价款进行结算，经第三方机构审核后的审定价款高于合同总价的按合同总价进行结算。由于工程量清单偏差引起的损失由供应商自行承担。各种因素（包含政策性调整）引起的材料价格、施工机械使用费、管理费、利润等变化及风险因素、人工费不作调整。</w:t>
            </w:r>
          </w:p>
          <w:p w14:paraId="4E301000">
            <w:pPr>
              <w:spacing w:line="400" w:lineRule="exact"/>
              <w:ind w:firstLine="480" w:firstLineChars="200"/>
              <w:rPr>
                <w:rFonts w:hint="default" w:ascii="宋体" w:hAnsi="宋体" w:eastAsia="宋体" w:cs="宋体"/>
                <w:sz w:val="24"/>
                <w:szCs w:val="24"/>
                <w:lang w:val="en-US" w:eastAsia="zh-CN"/>
              </w:rPr>
            </w:pPr>
            <w:r>
              <w:rPr>
                <w:rFonts w:hint="eastAsia" w:ascii="宋体" w:hAnsi="宋体" w:cs="宋体"/>
                <w:sz w:val="24"/>
                <w:szCs w:val="24"/>
                <w:lang w:val="en-US" w:eastAsia="zh-CN"/>
              </w:rPr>
              <w:t>2.成交供应商保证开具的发票真实、合法、有效，若成交供应商未按时开具发票或发票不符合约定，成交供应商应承担采购人因此遭受的直接经济损失，包括但不限于无法抵扣的进项税额、滞纳金、罚款及维权成本。</w:t>
            </w:r>
          </w:p>
        </w:tc>
      </w:tr>
      <w:tr w14:paraId="5264105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9F8A7A7">
            <w:pPr>
              <w:widowControl/>
              <w:wordWrap w:val="0"/>
              <w:spacing w:line="400" w:lineRule="exact"/>
              <w:jc w:val="center"/>
              <w:rPr>
                <w:rFonts w:ascii="宋体" w:hAnsi="宋体" w:cs="宋体"/>
                <w:sz w:val="24"/>
                <w:szCs w:val="24"/>
              </w:rPr>
            </w:pPr>
            <w:r>
              <w:rPr>
                <w:rFonts w:hint="eastAsia" w:ascii="宋体" w:hAnsi="宋体" w:cs="宋体"/>
                <w:kern w:val="0"/>
                <w:sz w:val="24"/>
                <w:szCs w:val="24"/>
              </w:rPr>
              <w:t>7</w:t>
            </w:r>
          </w:p>
        </w:tc>
        <w:tc>
          <w:tcPr>
            <w:tcW w:w="0" w:type="auto"/>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1A17040">
            <w:pPr>
              <w:widowControl/>
              <w:wordWrap w:val="0"/>
              <w:spacing w:line="400" w:lineRule="exact"/>
              <w:jc w:val="center"/>
              <w:rPr>
                <w:rFonts w:ascii="宋体" w:hAnsi="宋体" w:cs="宋体"/>
                <w:sz w:val="24"/>
                <w:szCs w:val="24"/>
              </w:rPr>
            </w:pPr>
            <w:r>
              <w:rPr>
                <w:rFonts w:hint="eastAsia" w:ascii="宋体" w:hAnsi="宋体" w:cs="宋体"/>
                <w:kern w:val="0"/>
                <w:sz w:val="24"/>
                <w:szCs w:val="24"/>
              </w:rPr>
              <w:t>★</w:t>
            </w:r>
          </w:p>
        </w:tc>
        <w:tc>
          <w:tcPr>
            <w:tcW w:w="0" w:type="auto"/>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737D696">
            <w:pPr>
              <w:widowControl/>
              <w:wordWrap w:val="0"/>
              <w:spacing w:line="400" w:lineRule="exact"/>
              <w:jc w:val="center"/>
              <w:rPr>
                <w:rFonts w:ascii="宋体" w:hAnsi="宋体" w:cs="宋体"/>
                <w:sz w:val="24"/>
                <w:szCs w:val="24"/>
              </w:rPr>
            </w:pPr>
            <w:r>
              <w:rPr>
                <w:rFonts w:hint="eastAsia" w:ascii="宋体" w:hAnsi="宋体" w:cs="宋体"/>
                <w:kern w:val="0"/>
                <w:sz w:val="24"/>
                <w:szCs w:val="24"/>
              </w:rPr>
              <w:t>履约保证金</w:t>
            </w:r>
          </w:p>
        </w:tc>
        <w:tc>
          <w:tcPr>
            <w:tcW w:w="0" w:type="auto"/>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84349B4">
            <w:pPr>
              <w:pStyle w:val="301"/>
              <w:wordWrap w:val="0"/>
              <w:spacing w:line="360" w:lineRule="auto"/>
              <w:ind w:firstLine="480" w:firstLineChars="200"/>
              <w:rPr>
                <w:rFonts w:hint="default"/>
              </w:rPr>
            </w:pPr>
            <w:r>
              <w:rPr>
                <w:rFonts w:ascii="宋体" w:hAnsi="宋体" w:cs="宋体"/>
                <w:sz w:val="24"/>
                <w:szCs w:val="24"/>
              </w:rPr>
              <w:t>是否收取履约保证金：</w:t>
            </w:r>
            <w:r>
              <w:rPr>
                <w:rFonts w:ascii="宋体" w:hAnsi="宋体" w:cs="宋体"/>
                <w:sz w:val="24"/>
              </w:rPr>
              <w:t>是。履约保证金百分比：合同金额</w:t>
            </w:r>
            <w:r>
              <w:rPr>
                <w:rFonts w:ascii="宋体" w:hAnsi="宋体" w:cs="宋体"/>
                <w:bCs/>
                <w:sz w:val="24"/>
              </w:rPr>
              <w:t>5%。说明：成交通知书发出后，合同签订前成交人应按</w:t>
            </w:r>
            <w:r>
              <w:rPr>
                <w:rFonts w:ascii="宋体" w:hAnsi="宋体" w:cs="宋体"/>
                <w:sz w:val="24"/>
              </w:rPr>
              <w:t>合同金额</w:t>
            </w:r>
            <w:r>
              <w:rPr>
                <w:rFonts w:ascii="宋体" w:hAnsi="宋体" w:cs="宋体"/>
                <w:bCs/>
                <w:sz w:val="24"/>
              </w:rPr>
              <w:t>的5%缴纳，以银行转账形式或履约保函形式向采购人提交履约保证金。履约保证金在合同约定全部事项（含售后维保期三年）履行完毕，</w:t>
            </w:r>
            <w:r>
              <w:rPr>
                <w:rFonts w:ascii="宋体" w:hAnsi="宋体" w:cs="宋体"/>
                <w:sz w:val="24"/>
              </w:rPr>
              <w:t>经采购人确认双方无未了事项后，采购人在收到成交人书面申请30日内通过银行转账方式无息退还</w:t>
            </w:r>
            <w:r>
              <w:rPr>
                <w:rFonts w:ascii="宋体" w:hAnsi="宋体" w:cs="宋体"/>
                <w:bCs/>
                <w:sz w:val="24"/>
              </w:rPr>
              <w:t>。</w:t>
            </w:r>
          </w:p>
        </w:tc>
      </w:tr>
    </w:tbl>
    <w:p w14:paraId="48BCE9C4">
      <w:pPr>
        <w:pStyle w:val="301"/>
        <w:spacing w:line="400" w:lineRule="exact"/>
        <w:rPr>
          <w:rFonts w:hint="default" w:ascii="宋体" w:hAnsi="宋体" w:cs="宋体"/>
          <w:sz w:val="24"/>
          <w:szCs w:val="24"/>
        </w:rPr>
      </w:pPr>
      <w:r>
        <w:rPr>
          <w:rFonts w:ascii="宋体" w:hAnsi="宋体" w:cs="宋体"/>
          <w:sz w:val="24"/>
          <w:szCs w:val="24"/>
        </w:rPr>
        <w:t>★8、其他说明</w:t>
      </w:r>
    </w:p>
    <w:p w14:paraId="1131342E">
      <w:pPr>
        <w:pStyle w:val="301"/>
        <w:spacing w:line="400" w:lineRule="exact"/>
        <w:rPr>
          <w:rFonts w:hint="default" w:ascii="宋体" w:hAnsi="宋体" w:cs="宋体"/>
          <w:sz w:val="24"/>
          <w:szCs w:val="24"/>
        </w:rPr>
      </w:pPr>
      <w:r>
        <w:rPr>
          <w:rFonts w:ascii="宋体" w:hAnsi="宋体" w:cs="宋体"/>
          <w:sz w:val="24"/>
          <w:szCs w:val="24"/>
        </w:rPr>
        <w:t xml:space="preserve">    8.1为保证采购人的合法权益，确保供应商编制的响应文件中对本项目“技术规格、数量及质量要求”应答的真实性，在采购合同签订前，采购人有必要对所有成交候选人所投产品明细清单中全部或部分产品的技术参数及功能和系统进行实物核实，成交候选人应在3个自然日内积极配合采购人（因此产生的费用全部由供应商承担）。同时提供相关产品的检测报告或相关证书原件查验，若达不到响应文件“技术规格、数量及质量要求”，采购人将不予签订合同，若查实提供虚假材料，采购人将追究成交候选人的法律责任，并选择符合核查条件的供应商签订合同。</w:t>
      </w:r>
    </w:p>
    <w:p w14:paraId="75C2E1F8">
      <w:pPr>
        <w:pStyle w:val="301"/>
        <w:spacing w:before="105" w:after="105" w:line="400" w:lineRule="exact"/>
        <w:ind w:firstLine="420"/>
        <w:rPr>
          <w:rFonts w:hint="default" w:ascii="宋体" w:hAnsi="宋体" w:cs="宋体"/>
          <w:sz w:val="24"/>
          <w:szCs w:val="24"/>
        </w:rPr>
      </w:pPr>
      <w:r>
        <w:rPr>
          <w:rFonts w:ascii="宋体" w:hAnsi="宋体" w:cs="宋体"/>
          <w:sz w:val="24"/>
          <w:szCs w:val="24"/>
        </w:rPr>
        <w:t>8.2不许随意更换响应文件中所报的项目经理，如确须更换，则事前须征得采购人同意，如有违反，一经发现取消成交资格，并赔偿由此造成的一切损失(包含质量安全事故、拖延工期、增加投资等损失)。在施工过程中，造成损失的，按实际发生额赔偿。</w:t>
      </w:r>
    </w:p>
    <w:p w14:paraId="22B43F72">
      <w:pPr>
        <w:pStyle w:val="301"/>
        <w:spacing w:before="105" w:after="105" w:line="400" w:lineRule="exact"/>
        <w:ind w:firstLine="420"/>
        <w:rPr>
          <w:rFonts w:hint="default" w:ascii="宋体" w:hAnsi="宋体" w:cs="宋体"/>
          <w:sz w:val="24"/>
          <w:szCs w:val="24"/>
        </w:rPr>
      </w:pPr>
      <w:r>
        <w:rPr>
          <w:rFonts w:ascii="宋体" w:hAnsi="宋体" w:cs="宋体"/>
          <w:sz w:val="24"/>
          <w:szCs w:val="24"/>
        </w:rPr>
        <w:t>8.3在工程进行中，成交人要注意保护现场内的各种管线和设施。若有任何损坏，须立即通知有关部门，并由损坏责任单位承担损失和修复费用。</w:t>
      </w:r>
    </w:p>
    <w:p w14:paraId="4A78CF93">
      <w:pPr>
        <w:pStyle w:val="301"/>
        <w:spacing w:before="105" w:after="105" w:line="400" w:lineRule="exact"/>
        <w:ind w:firstLine="420"/>
        <w:rPr>
          <w:rFonts w:hint="default" w:ascii="宋体" w:hAnsi="宋体" w:cs="宋体"/>
          <w:sz w:val="24"/>
          <w:szCs w:val="24"/>
        </w:rPr>
      </w:pPr>
      <w:r>
        <w:rPr>
          <w:rFonts w:ascii="宋体" w:hAnsi="宋体" w:cs="宋体"/>
          <w:sz w:val="24"/>
          <w:szCs w:val="24"/>
        </w:rPr>
        <w:t>8.4成交人在整个施工期间都应遵守采购人的规章制度。</w:t>
      </w:r>
    </w:p>
    <w:p w14:paraId="46EE0C72">
      <w:pPr>
        <w:pStyle w:val="301"/>
        <w:spacing w:before="105" w:after="105" w:line="400" w:lineRule="exact"/>
        <w:ind w:firstLine="420"/>
        <w:rPr>
          <w:rFonts w:hint="default" w:ascii="宋体" w:hAnsi="宋体" w:cs="宋体"/>
          <w:sz w:val="24"/>
          <w:szCs w:val="24"/>
        </w:rPr>
      </w:pPr>
      <w:r>
        <w:rPr>
          <w:rFonts w:ascii="宋体" w:hAnsi="宋体" w:cs="宋体"/>
          <w:sz w:val="24"/>
          <w:szCs w:val="24"/>
        </w:rPr>
        <w:t>8.5采购人协助成交人办理施工报建等有关手续，采购人提供有关资料。</w:t>
      </w:r>
    </w:p>
    <w:p w14:paraId="50D75AA5">
      <w:pPr>
        <w:pStyle w:val="301"/>
        <w:spacing w:before="105" w:after="105" w:line="400" w:lineRule="exact"/>
        <w:ind w:firstLine="420"/>
        <w:rPr>
          <w:rFonts w:hint="default" w:ascii="宋体" w:hAnsi="宋体" w:cs="宋体"/>
          <w:sz w:val="24"/>
          <w:szCs w:val="24"/>
        </w:rPr>
      </w:pPr>
      <w:r>
        <w:rPr>
          <w:rFonts w:ascii="宋体" w:hAnsi="宋体" w:cs="宋体"/>
          <w:sz w:val="24"/>
          <w:szCs w:val="24"/>
        </w:rPr>
        <w:t>8.6成交人应承担所有与编写和提交响应文件有关的费用，不论报价的结果如何，采购人、采购代理机构在任何情况下均无义务和责任承担这些费用。</w:t>
      </w:r>
    </w:p>
    <w:p w14:paraId="62F03785">
      <w:pPr>
        <w:pStyle w:val="301"/>
        <w:spacing w:before="105" w:after="105" w:line="400" w:lineRule="exact"/>
        <w:ind w:firstLine="420"/>
        <w:rPr>
          <w:rFonts w:hint="default" w:ascii="宋体" w:hAnsi="宋体" w:cs="宋体"/>
          <w:sz w:val="24"/>
          <w:szCs w:val="24"/>
        </w:rPr>
      </w:pPr>
      <w:r>
        <w:rPr>
          <w:rFonts w:ascii="宋体" w:hAnsi="宋体" w:cs="宋体"/>
          <w:sz w:val="24"/>
          <w:szCs w:val="24"/>
        </w:rPr>
        <w:t>★9、违约责任</w:t>
      </w:r>
    </w:p>
    <w:p w14:paraId="6B223DFE">
      <w:pPr>
        <w:pStyle w:val="301"/>
        <w:spacing w:before="105" w:after="105" w:line="400" w:lineRule="exact"/>
        <w:ind w:firstLine="420"/>
        <w:rPr>
          <w:rFonts w:hint="default" w:ascii="宋体" w:hAnsi="宋体" w:cs="宋体"/>
          <w:sz w:val="24"/>
          <w:szCs w:val="24"/>
        </w:rPr>
      </w:pPr>
      <w:r>
        <w:rPr>
          <w:rFonts w:ascii="宋体" w:hAnsi="宋体" w:cs="宋体"/>
          <w:sz w:val="24"/>
          <w:szCs w:val="24"/>
        </w:rPr>
        <w:t>9.1因成交供应商原因造成采购合同无法按时签订的，视为成交供应商违约，对采购人造成的损失的，成交供应商还需另行支付相应的赔偿。如超过30日仍无法签订采购合同的，采购人有权取消成交供应商的成交资格，另行组织招投标，所造成的损失由成交供应商承担；同时，被取消成交资格的成交供应商不得再行报名参加此项目。</w:t>
      </w:r>
    </w:p>
    <w:p w14:paraId="7DA7928A">
      <w:pPr>
        <w:pStyle w:val="301"/>
        <w:spacing w:before="105" w:after="105" w:line="400" w:lineRule="exact"/>
        <w:ind w:firstLine="420"/>
        <w:rPr>
          <w:rFonts w:hint="default" w:ascii="宋体" w:hAnsi="宋体" w:cs="宋体"/>
          <w:sz w:val="24"/>
          <w:szCs w:val="24"/>
        </w:rPr>
      </w:pPr>
      <w:r>
        <w:rPr>
          <w:rFonts w:ascii="宋体" w:hAnsi="宋体" w:cs="宋体"/>
          <w:sz w:val="24"/>
          <w:szCs w:val="24"/>
        </w:rPr>
        <w:t>9.2在签定采购合同之后，有下列情形之一的，将视为成交供应商违约，采购人有权从履约保证金中取得补偿（如有提交履约保证金的），并可进一步提出追索和索赔：</w:t>
      </w:r>
    </w:p>
    <w:p w14:paraId="4917507F">
      <w:pPr>
        <w:pStyle w:val="301"/>
        <w:spacing w:before="105" w:after="105" w:line="400" w:lineRule="exact"/>
        <w:ind w:firstLine="420"/>
        <w:rPr>
          <w:rFonts w:hint="default" w:ascii="宋体" w:hAnsi="宋体" w:cs="宋体"/>
          <w:sz w:val="24"/>
          <w:szCs w:val="24"/>
        </w:rPr>
      </w:pPr>
      <w:r>
        <w:rPr>
          <w:rFonts w:ascii="宋体" w:hAnsi="宋体" w:cs="宋体"/>
          <w:sz w:val="24"/>
          <w:szCs w:val="24"/>
        </w:rPr>
        <w:t>9.2.1成交供应商提供的产品不是原装正品或来源渠道不合法、不合规，不能享受原厂或原厂认可的售后维修机构售后服务的；</w:t>
      </w:r>
    </w:p>
    <w:p w14:paraId="28A140EB">
      <w:pPr>
        <w:pStyle w:val="301"/>
        <w:spacing w:before="105" w:after="105" w:line="400" w:lineRule="exact"/>
        <w:ind w:firstLine="420"/>
        <w:rPr>
          <w:rFonts w:hint="default" w:ascii="宋体" w:hAnsi="宋体" w:cs="宋体"/>
          <w:sz w:val="24"/>
          <w:szCs w:val="24"/>
        </w:rPr>
      </w:pPr>
      <w:r>
        <w:rPr>
          <w:rFonts w:ascii="宋体" w:hAnsi="宋体" w:cs="宋体"/>
          <w:sz w:val="24"/>
          <w:szCs w:val="24"/>
        </w:rPr>
        <w:t>9.2.3成交供应商未能按合同规定履行其义务的；</w:t>
      </w:r>
    </w:p>
    <w:p w14:paraId="58974CEA">
      <w:pPr>
        <w:pStyle w:val="301"/>
        <w:spacing w:before="105" w:after="105" w:line="400" w:lineRule="exact"/>
        <w:ind w:firstLine="420"/>
        <w:rPr>
          <w:rFonts w:hint="default" w:ascii="宋体" w:hAnsi="宋体" w:cs="宋体"/>
          <w:sz w:val="24"/>
          <w:szCs w:val="24"/>
        </w:rPr>
      </w:pPr>
      <w:r>
        <w:rPr>
          <w:rFonts w:ascii="宋体" w:hAnsi="宋体" w:cs="宋体"/>
          <w:sz w:val="24"/>
          <w:szCs w:val="24"/>
        </w:rPr>
        <w:t>9.2.4在签定采购合同之后，成交供应商要求解除合同的；</w:t>
      </w:r>
    </w:p>
    <w:p w14:paraId="0AC8B271">
      <w:pPr>
        <w:pStyle w:val="301"/>
        <w:spacing w:before="105" w:after="105" w:line="400" w:lineRule="exact"/>
        <w:ind w:firstLine="420"/>
        <w:rPr>
          <w:rFonts w:hint="default" w:ascii="宋体" w:hAnsi="宋体" w:cs="宋体"/>
          <w:sz w:val="24"/>
          <w:szCs w:val="24"/>
        </w:rPr>
      </w:pPr>
      <w:r>
        <w:rPr>
          <w:rFonts w:ascii="宋体" w:hAnsi="宋体" w:cs="宋体"/>
          <w:sz w:val="24"/>
          <w:szCs w:val="24"/>
        </w:rPr>
        <w:t>9.3本项目不得以任何名义和理由进行分包或转包。如有发现，视为成交供应商违约，采购人有权单方终止合同，对采购人造成损失的，需另行支付相应的赔偿。</w:t>
      </w:r>
    </w:p>
    <w:p w14:paraId="24B50D97">
      <w:pPr>
        <w:pStyle w:val="301"/>
        <w:spacing w:before="105" w:after="105" w:line="400" w:lineRule="exact"/>
        <w:ind w:firstLine="420"/>
        <w:rPr>
          <w:rFonts w:hint="default" w:ascii="宋体" w:hAnsi="宋体" w:cs="宋体"/>
          <w:sz w:val="24"/>
          <w:szCs w:val="24"/>
        </w:rPr>
      </w:pPr>
      <w:r>
        <w:rPr>
          <w:rFonts w:ascii="宋体" w:hAnsi="宋体" w:cs="宋体"/>
          <w:sz w:val="24"/>
          <w:szCs w:val="24"/>
        </w:rPr>
        <w:t>9.4成交供应商履行义务不符合合同约定时，采购人有权扣减尾款。</w:t>
      </w:r>
    </w:p>
    <w:p w14:paraId="7AEEACDD">
      <w:pPr>
        <w:pStyle w:val="301"/>
        <w:spacing w:before="105" w:after="105" w:line="400" w:lineRule="exact"/>
        <w:ind w:firstLine="420"/>
        <w:rPr>
          <w:rFonts w:hint="default" w:ascii="宋体" w:hAnsi="宋体" w:cs="宋体"/>
          <w:sz w:val="24"/>
          <w:szCs w:val="24"/>
        </w:rPr>
      </w:pPr>
      <w:r>
        <w:rPr>
          <w:rFonts w:ascii="宋体" w:hAnsi="宋体" w:cs="宋体"/>
          <w:sz w:val="24"/>
          <w:szCs w:val="24"/>
        </w:rPr>
        <w:t>9.5因成交供应商原因发生重大质量事故，除依约承担赔偿责任外，还将按有关质量管理办法规定执行。同时，采购人有权保留更换成交供应商的权利，并报相关行政主管部门处罚。</w:t>
      </w:r>
    </w:p>
    <w:p w14:paraId="7FFD16D7">
      <w:pPr>
        <w:pStyle w:val="301"/>
        <w:spacing w:before="105" w:after="105" w:line="400" w:lineRule="exact"/>
        <w:ind w:firstLine="420"/>
        <w:rPr>
          <w:rFonts w:hint="default" w:ascii="宋体" w:hAnsi="宋体" w:cs="宋体"/>
          <w:sz w:val="24"/>
          <w:szCs w:val="24"/>
        </w:rPr>
      </w:pPr>
      <w:r>
        <w:rPr>
          <w:rFonts w:ascii="宋体" w:hAnsi="宋体" w:cs="宋体"/>
          <w:sz w:val="24"/>
          <w:szCs w:val="24"/>
        </w:rPr>
        <w:t>9.6若发生死亡安全事故，除按国家有关安全管理规定及采购人有关安全管理办法执行外，并报相关行政主管部门处罚；发生重大安全事故或特大安全事故，除按国家有关安全管理规定及采购人有关安全管理办法执行外，采购人有权终止合同，给采购人造成的损失，还应承担赔偿责任。</w:t>
      </w:r>
    </w:p>
    <w:p w14:paraId="729B6CD8">
      <w:pPr>
        <w:pStyle w:val="301"/>
        <w:spacing w:before="105" w:after="105" w:line="400" w:lineRule="exact"/>
        <w:ind w:firstLine="420"/>
        <w:rPr>
          <w:rFonts w:hint="default" w:ascii="宋体" w:hAnsi="宋体" w:cs="宋体"/>
          <w:sz w:val="24"/>
          <w:szCs w:val="24"/>
        </w:rPr>
      </w:pPr>
      <w:r>
        <w:rPr>
          <w:rFonts w:ascii="宋体" w:hAnsi="宋体" w:cs="宋体"/>
          <w:sz w:val="24"/>
          <w:szCs w:val="24"/>
        </w:rPr>
        <w:t>9.7在明确违约责任后，成交供应商应在接到书面通知书起七天内支付违约金、赔偿金等。由供应商缴纳违约金给采购人，再由采购人直接上缴国库，若供应商不及时上缴违约金，采购人有权暂不支付相关费用。因供应商原因造成违约赔偿，违约金的上限：签约合同价款的10%。</w:t>
      </w:r>
    </w:p>
    <w:p w14:paraId="6CE989C3">
      <w:pPr>
        <w:pStyle w:val="301"/>
        <w:spacing w:before="105" w:after="105" w:line="400" w:lineRule="exact"/>
        <w:ind w:firstLine="420"/>
        <w:rPr>
          <w:rFonts w:hint="default" w:ascii="宋体" w:hAnsi="宋体" w:cs="宋体"/>
          <w:bCs/>
          <w:sz w:val="24"/>
          <w:szCs w:val="24"/>
          <w:shd w:val="clear" w:color="auto" w:fill="FFFFFF"/>
        </w:rPr>
      </w:pPr>
      <w:r>
        <w:rPr>
          <w:rFonts w:ascii="宋体" w:hAnsi="宋体" w:cs="宋体"/>
          <w:sz w:val="24"/>
          <w:szCs w:val="24"/>
        </w:rPr>
        <w:t>9.8本磋商文件未明确的其它约定事项或条款，待采购人与成交供应商签订合同时，由双方协商订立。</w:t>
      </w:r>
    </w:p>
    <w:p w14:paraId="2151BB2C">
      <w:pPr>
        <w:pStyle w:val="301"/>
        <w:spacing w:line="360" w:lineRule="auto"/>
        <w:ind w:firstLine="480"/>
        <w:rPr>
          <w:rFonts w:hint="default" w:ascii="宋体" w:hAnsi="宋体" w:cs="宋体"/>
          <w:b/>
          <w:sz w:val="24"/>
          <w:szCs w:val="24"/>
        </w:rPr>
      </w:pPr>
      <w:r>
        <w:rPr>
          <w:rFonts w:ascii="宋体" w:hAnsi="宋体" w:cs="宋体"/>
          <w:sz w:val="24"/>
          <w:szCs w:val="24"/>
        </w:rPr>
        <w:t>★</w:t>
      </w:r>
      <w:r>
        <w:rPr>
          <w:rFonts w:ascii="宋体" w:hAnsi="宋体" w:cs="宋体"/>
          <w:b/>
          <w:sz w:val="24"/>
          <w:szCs w:val="24"/>
          <w:shd w:val="clear" w:color="auto" w:fill="FFFFFF"/>
        </w:rPr>
        <w:t>10、保密条款</w:t>
      </w:r>
    </w:p>
    <w:p w14:paraId="7C5684D5">
      <w:pPr>
        <w:pStyle w:val="301"/>
        <w:spacing w:line="360" w:lineRule="auto"/>
        <w:ind w:firstLine="480"/>
        <w:rPr>
          <w:rFonts w:hint="default" w:ascii="宋体" w:hAnsi="宋体" w:cs="宋体"/>
          <w:bCs/>
          <w:sz w:val="24"/>
          <w:szCs w:val="24"/>
        </w:rPr>
      </w:pPr>
      <w:r>
        <w:rPr>
          <w:rFonts w:ascii="宋体" w:hAnsi="宋体" w:cs="宋体"/>
          <w:bCs/>
          <w:sz w:val="24"/>
          <w:szCs w:val="24"/>
          <w:shd w:val="clear" w:color="auto" w:fill="FFFFFF"/>
        </w:rPr>
        <w:t>10.1、成交人要认真遵守国家保密法律、法规和规章制度，履行保密义务；成交人进入采购人工作区域的工作人员需签订《保密承诺书》，要严格履行保密义务，不得违规记录、存储、复制国家秘密、工作秘密和内部管理信息，不以任何方式泄露所接触和知悉的国家秘密、工作秘密和内部管理信息，不得对采购人工作信息资料、工作场所、内部场景等进行拍照、录像，不得将采购人有关秘密、内部管理信息、工作场所场景通过微信、抖音等上传自媒体，严禁将采购人工作文件等内部资料泄露出去，如发生泄露、泄密行为，成交人及其工作人员将承担相应责任和法律后果。</w:t>
      </w:r>
    </w:p>
    <w:p w14:paraId="462BF75C">
      <w:pPr>
        <w:pStyle w:val="301"/>
        <w:spacing w:line="360" w:lineRule="auto"/>
        <w:ind w:firstLine="480"/>
        <w:rPr>
          <w:rFonts w:hint="default" w:ascii="宋体" w:hAnsi="宋体" w:cs="宋体"/>
          <w:bCs/>
          <w:sz w:val="24"/>
          <w:szCs w:val="24"/>
          <w:shd w:val="clear" w:color="auto" w:fill="FFFFFF"/>
        </w:rPr>
      </w:pPr>
      <w:r>
        <w:rPr>
          <w:rFonts w:ascii="宋体" w:hAnsi="宋体" w:cs="宋体"/>
          <w:bCs/>
          <w:sz w:val="24"/>
          <w:szCs w:val="24"/>
          <w:shd w:val="clear" w:color="auto" w:fill="FFFFFF"/>
        </w:rPr>
        <w:t>10.2、成交人必须为保障相关人员组织学习保密要求，针对调换人员保密要求制定应急预案，因保密管理要求造成无法供货等所产生的所有相关责任及经济损失都由成交人承担。</w:t>
      </w:r>
    </w:p>
    <w:p w14:paraId="1CFD06C3">
      <w:pPr>
        <w:pStyle w:val="301"/>
        <w:spacing w:line="360" w:lineRule="auto"/>
        <w:ind w:firstLine="480"/>
        <w:rPr>
          <w:rFonts w:hint="default" w:ascii="宋体" w:hAnsi="宋体" w:cs="宋体"/>
          <w:bCs/>
          <w:sz w:val="24"/>
          <w:szCs w:val="24"/>
          <w:shd w:val="clear" w:color="auto" w:fill="FFFFFF"/>
        </w:rPr>
      </w:pPr>
      <w:r>
        <w:rPr>
          <w:rFonts w:ascii="宋体" w:hAnsi="宋体" w:cs="宋体"/>
          <w:b/>
          <w:sz w:val="24"/>
          <w:szCs w:val="24"/>
        </w:rPr>
        <w:t>10.3</w:t>
      </w:r>
      <w:r>
        <w:rPr>
          <w:rFonts w:ascii="宋体" w:hAnsi="宋体" w:cs="宋体"/>
          <w:sz w:val="24"/>
          <w:szCs w:val="24"/>
        </w:rPr>
        <w:t>本条款不因合同届满或解除而失效。</w:t>
      </w:r>
    </w:p>
    <w:p w14:paraId="7BA1B8E0">
      <w:pPr>
        <w:pStyle w:val="301"/>
        <w:spacing w:line="360" w:lineRule="auto"/>
        <w:ind w:firstLine="480"/>
        <w:rPr>
          <w:rFonts w:hint="default" w:ascii="宋体" w:hAnsi="宋体" w:cs="宋体"/>
          <w:b/>
          <w:sz w:val="24"/>
          <w:szCs w:val="24"/>
        </w:rPr>
      </w:pPr>
      <w:r>
        <w:rPr>
          <w:rFonts w:ascii="宋体" w:hAnsi="宋体" w:cs="宋体"/>
          <w:sz w:val="24"/>
          <w:szCs w:val="24"/>
        </w:rPr>
        <w:t>★</w:t>
      </w:r>
      <w:r>
        <w:rPr>
          <w:rFonts w:ascii="宋体" w:hAnsi="宋体" w:cs="宋体"/>
          <w:b/>
          <w:sz w:val="24"/>
          <w:szCs w:val="24"/>
          <w:shd w:val="clear" w:color="auto" w:fill="FFFFFF"/>
        </w:rPr>
        <w:t>11、廉政条款</w:t>
      </w:r>
    </w:p>
    <w:p w14:paraId="7B27288E">
      <w:pPr>
        <w:pStyle w:val="301"/>
        <w:spacing w:line="360" w:lineRule="auto"/>
        <w:ind w:firstLine="480"/>
        <w:rPr>
          <w:rFonts w:hint="default" w:ascii="宋体" w:hAnsi="宋体" w:cs="宋体"/>
          <w:bCs/>
          <w:sz w:val="24"/>
          <w:szCs w:val="24"/>
        </w:rPr>
      </w:pPr>
      <w:r>
        <w:rPr>
          <w:rFonts w:ascii="宋体" w:hAnsi="宋体" w:cs="宋体"/>
          <w:bCs/>
          <w:sz w:val="24"/>
          <w:szCs w:val="24"/>
        </w:rPr>
        <w:t>成交人及其工作人员不得有以任何形式行贿采购人工作人员的行为，若发现并被核查属实的，采购人有权解除合同且不退还履约保证金，同时将成交人列入不良行为记录名单；若合同履行完毕，并且已经退还履约保证金的，将对成交人列入不良行为记录名单；情形严重的，成交人及其工作人员还要承担相应的法律责任；采购人及其工作人员不得索要或接受成交人的礼金及吃请等，如有违反廉政纪律等行为的，依据有关规定给予党纪、政纪或组织处理，情节严重的，还应承担相应的法律责任。</w:t>
      </w:r>
    </w:p>
    <w:p w14:paraId="7D0D0AEB">
      <w:pPr>
        <w:pStyle w:val="301"/>
        <w:spacing w:line="360" w:lineRule="auto"/>
        <w:ind w:firstLine="480" w:firstLineChars="200"/>
        <w:outlineLvl w:val="3"/>
        <w:rPr>
          <w:rFonts w:hint="default" w:ascii="宋体" w:hAnsi="宋体" w:cs="宋体"/>
          <w:sz w:val="24"/>
          <w:szCs w:val="24"/>
        </w:rPr>
      </w:pPr>
      <w:r>
        <w:rPr>
          <w:rFonts w:ascii="宋体" w:hAnsi="宋体" w:cs="宋体"/>
          <w:sz w:val="24"/>
          <w:szCs w:val="24"/>
        </w:rPr>
        <w:t>★</w:t>
      </w:r>
      <w:r>
        <w:rPr>
          <w:rFonts w:ascii="宋体" w:hAnsi="宋体" w:cs="宋体"/>
          <w:b/>
          <w:sz w:val="24"/>
          <w:szCs w:val="24"/>
        </w:rPr>
        <w:t>12、解决争议的方法</w:t>
      </w:r>
    </w:p>
    <w:p w14:paraId="3781661B">
      <w:pPr>
        <w:spacing w:line="360" w:lineRule="auto"/>
        <w:ind w:firstLine="480" w:firstLineChars="200"/>
        <w:jc w:val="left"/>
        <w:rPr>
          <w:rFonts w:ascii="宋体" w:hAnsi="宋体" w:cs="宋体"/>
          <w:sz w:val="24"/>
          <w:szCs w:val="24"/>
        </w:rPr>
      </w:pPr>
      <w:r>
        <w:rPr>
          <w:rFonts w:hint="eastAsia" w:ascii="宋体" w:hAnsi="宋体" w:cs="宋体"/>
          <w:sz w:val="24"/>
          <w:szCs w:val="24"/>
        </w:rPr>
        <w:t>因本项目有关的一切事项发生争议，由双方友好协商解决。协商不成的，任何一方均可选择以下方式解决：漳州市芗城区人民法院提起诉讼。</w:t>
      </w:r>
    </w:p>
    <w:p w14:paraId="209C58FE">
      <w:pPr>
        <w:pStyle w:val="301"/>
        <w:spacing w:line="360" w:lineRule="auto"/>
        <w:ind w:firstLine="480" w:firstLineChars="200"/>
        <w:outlineLvl w:val="3"/>
        <w:rPr>
          <w:rFonts w:hint="default" w:ascii="宋体" w:hAnsi="宋体" w:cs="宋体"/>
          <w:sz w:val="24"/>
          <w:szCs w:val="24"/>
        </w:rPr>
      </w:pPr>
      <w:r>
        <w:rPr>
          <w:rFonts w:ascii="宋体" w:hAnsi="宋体" w:cs="宋体"/>
          <w:sz w:val="24"/>
          <w:szCs w:val="24"/>
        </w:rPr>
        <w:t>若因</w:t>
      </w:r>
      <w:r>
        <w:rPr>
          <w:rFonts w:ascii="宋体" w:hAnsi="宋体" w:cs="宋体"/>
          <w:bCs/>
          <w:sz w:val="24"/>
          <w:szCs w:val="24"/>
        </w:rPr>
        <w:t>成交人</w:t>
      </w:r>
      <w:r>
        <w:rPr>
          <w:rFonts w:ascii="宋体" w:hAnsi="宋体" w:cs="宋体"/>
          <w:sz w:val="24"/>
          <w:szCs w:val="24"/>
        </w:rPr>
        <w:t>未按约定履行本合同义务导致采购人所产生的一切损失（包括但不限于人身财产的损失、律师费、诉讼费、保全费、鉴定费等），均由成交人承担赔偿责任。</w:t>
      </w:r>
    </w:p>
    <w:p w14:paraId="66EFD654">
      <w:pPr>
        <w:pStyle w:val="301"/>
        <w:spacing w:line="360" w:lineRule="auto"/>
        <w:ind w:firstLine="480" w:firstLineChars="200"/>
        <w:outlineLvl w:val="3"/>
        <w:rPr>
          <w:rFonts w:hint="default" w:ascii="宋体" w:hAnsi="宋体" w:cs="宋体"/>
          <w:b/>
          <w:bCs/>
          <w:sz w:val="24"/>
          <w:szCs w:val="24"/>
        </w:rPr>
      </w:pPr>
      <w:r>
        <w:rPr>
          <w:rFonts w:ascii="宋体" w:hAnsi="宋体" w:cs="宋体"/>
          <w:sz w:val="24"/>
          <w:szCs w:val="24"/>
        </w:rPr>
        <w:t>★</w:t>
      </w:r>
      <w:r>
        <w:rPr>
          <w:rFonts w:ascii="宋体" w:hAnsi="宋体" w:cs="宋体"/>
          <w:b/>
          <w:bCs/>
          <w:sz w:val="24"/>
          <w:szCs w:val="24"/>
        </w:rPr>
        <w:t>13、</w:t>
      </w:r>
      <w:r>
        <w:rPr>
          <w:rFonts w:hint="default" w:ascii="宋体" w:hAnsi="宋体" w:cs="宋体"/>
          <w:b/>
          <w:bCs/>
          <w:sz w:val="24"/>
          <w:szCs w:val="24"/>
        </w:rPr>
        <w:t>不可抗力</w:t>
      </w:r>
    </w:p>
    <w:p w14:paraId="499DE736">
      <w:pPr>
        <w:pStyle w:val="301"/>
        <w:spacing w:before="105" w:after="105" w:line="400" w:lineRule="exact"/>
        <w:ind w:firstLine="482"/>
        <w:rPr>
          <w:rFonts w:hint="default" w:ascii="宋体" w:hAnsi="宋体" w:cs="宋体"/>
          <w:sz w:val="24"/>
          <w:szCs w:val="24"/>
        </w:rPr>
      </w:pPr>
      <w:r>
        <w:rPr>
          <w:rFonts w:ascii="宋体" w:hAnsi="宋体" w:cs="宋体"/>
          <w:sz w:val="24"/>
          <w:szCs w:val="24"/>
        </w:rPr>
        <w:t>因不可抗力造成违约的，遭受不可抗力一方应及时向对方通报不能履行或不能完全履行的理由，并在随后取得有关主管机关证明后的15日内向另一方提供不可抗力发生以及持续期间的充分证据。基于以上行为，允许遭受不可抗力一方延期履行、部分履行或者不履行合同，并根据情况可部分或全部免于承担违约责任。</w:t>
      </w:r>
    </w:p>
    <w:p w14:paraId="1A51DD73">
      <w:pPr>
        <w:pStyle w:val="301"/>
        <w:spacing w:before="105" w:after="105" w:line="400" w:lineRule="exact"/>
        <w:ind w:firstLine="482"/>
        <w:rPr>
          <w:rFonts w:hint="default" w:ascii="宋体" w:hAnsi="宋体" w:cs="宋体"/>
          <w:sz w:val="24"/>
          <w:szCs w:val="24"/>
        </w:rPr>
      </w:pPr>
      <w:r>
        <w:rPr>
          <w:rFonts w:ascii="宋体" w:hAnsi="宋体" w:cs="宋体"/>
          <w:sz w:val="24"/>
          <w:szCs w:val="24"/>
        </w:rPr>
        <w:t>本合同中的不可抗力指不能预见、不能避免并不能克服的客观情况。包括但不限于：自然灾害如地震、台风、洪水、火灾；政府行为、法律规定或其适用的变化或者其他任何无法预见、避免或者控制的事件。</w:t>
      </w:r>
    </w:p>
    <w:p w14:paraId="47F1D5B6">
      <w:pPr>
        <w:spacing w:line="360" w:lineRule="auto"/>
        <w:ind w:firstLine="420" w:firstLineChars="200"/>
        <w:jc w:val="left"/>
      </w:pPr>
    </w:p>
    <w:p w14:paraId="3AED6800">
      <w:pPr>
        <w:pStyle w:val="301"/>
        <w:spacing w:line="360" w:lineRule="auto"/>
        <w:ind w:firstLine="482"/>
        <w:rPr>
          <w:rFonts w:hint="default" w:ascii="宋体" w:hAnsi="宋体" w:cs="宋体"/>
          <w:b/>
          <w:sz w:val="24"/>
          <w:szCs w:val="24"/>
        </w:rPr>
      </w:pPr>
      <w:r>
        <w:rPr>
          <w:rFonts w:ascii="宋体" w:hAnsi="宋体" w:cs="宋体"/>
          <w:b/>
          <w:sz w:val="24"/>
          <w:szCs w:val="24"/>
        </w:rPr>
        <w:t>四、其他事项</w:t>
      </w:r>
    </w:p>
    <w:p w14:paraId="7748E947">
      <w:pPr>
        <w:pStyle w:val="44"/>
        <w:spacing w:line="360" w:lineRule="auto"/>
        <w:ind w:firstLine="480" w:firstLineChars="200"/>
        <w:jc w:val="left"/>
      </w:pPr>
      <w:r>
        <w:rPr>
          <w:rFonts w:hint="eastAsia"/>
        </w:rPr>
        <w:t>1、除磋商文件另有规定外，若出现有关法律、法规和规章有强制性规定但磋商文件未列明的情形，则供应商应按照有关法律、法规和规章强制性规定执行。</w:t>
      </w:r>
    </w:p>
    <w:p w14:paraId="62E3A3E6">
      <w:pPr>
        <w:pStyle w:val="301"/>
        <w:tabs>
          <w:tab w:val="left" w:pos="425"/>
        </w:tabs>
        <w:spacing w:line="360" w:lineRule="auto"/>
        <w:ind w:firstLine="482"/>
        <w:rPr>
          <w:rFonts w:hint="default" w:ascii="宋体" w:hAnsi="宋体" w:cs="宋体"/>
          <w:bCs/>
          <w:kern w:val="2"/>
          <w:sz w:val="24"/>
          <w:szCs w:val="24"/>
        </w:rPr>
      </w:pPr>
      <w:r>
        <w:rPr>
          <w:rFonts w:ascii="宋体" w:hAnsi="宋体" w:cs="宋体"/>
          <w:bCs/>
          <w:kern w:val="2"/>
          <w:sz w:val="24"/>
          <w:szCs w:val="24"/>
        </w:rPr>
        <w:t>2.主要设备清单</w:t>
      </w:r>
    </w:p>
    <w:tbl>
      <w:tblPr>
        <w:tblStyle w:val="49"/>
        <w:tblW w:w="92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4"/>
        <w:gridCol w:w="1656"/>
        <w:gridCol w:w="1668"/>
        <w:gridCol w:w="2820"/>
        <w:gridCol w:w="1239"/>
        <w:gridCol w:w="992"/>
      </w:tblGrid>
      <w:tr w14:paraId="7151C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34" w:type="dxa"/>
            <w:vAlign w:val="center"/>
          </w:tcPr>
          <w:p w14:paraId="63B19132">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序号</w:t>
            </w:r>
          </w:p>
        </w:tc>
        <w:tc>
          <w:tcPr>
            <w:tcW w:w="1656" w:type="dxa"/>
            <w:vAlign w:val="center"/>
          </w:tcPr>
          <w:p w14:paraId="23191847">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项目编码</w:t>
            </w:r>
          </w:p>
        </w:tc>
        <w:tc>
          <w:tcPr>
            <w:tcW w:w="1668" w:type="dxa"/>
            <w:vAlign w:val="center"/>
          </w:tcPr>
          <w:p w14:paraId="49CD7900">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项目名称</w:t>
            </w:r>
          </w:p>
        </w:tc>
        <w:tc>
          <w:tcPr>
            <w:tcW w:w="2820" w:type="dxa"/>
            <w:vAlign w:val="center"/>
          </w:tcPr>
          <w:p w14:paraId="6474E9E9">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项目特征描述</w:t>
            </w:r>
          </w:p>
        </w:tc>
        <w:tc>
          <w:tcPr>
            <w:tcW w:w="1239" w:type="dxa"/>
            <w:vAlign w:val="center"/>
          </w:tcPr>
          <w:p w14:paraId="4CCB55F5">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计量单位</w:t>
            </w:r>
          </w:p>
        </w:tc>
        <w:tc>
          <w:tcPr>
            <w:tcW w:w="992" w:type="dxa"/>
            <w:vAlign w:val="center"/>
          </w:tcPr>
          <w:p w14:paraId="0E7DEA14">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工程量</w:t>
            </w:r>
          </w:p>
        </w:tc>
      </w:tr>
      <w:tr w14:paraId="03EB8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9209" w:type="dxa"/>
            <w:gridSpan w:val="6"/>
            <w:vAlign w:val="center"/>
          </w:tcPr>
          <w:p w14:paraId="51ACEE86">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家具</w:t>
            </w:r>
          </w:p>
        </w:tc>
      </w:tr>
      <w:tr w14:paraId="06456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34" w:type="dxa"/>
            <w:vAlign w:val="center"/>
          </w:tcPr>
          <w:p w14:paraId="5B4BC801">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1</w:t>
            </w:r>
          </w:p>
        </w:tc>
        <w:tc>
          <w:tcPr>
            <w:tcW w:w="1656" w:type="dxa"/>
            <w:vAlign w:val="center"/>
          </w:tcPr>
          <w:p w14:paraId="2F26797A">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01BC002</w:t>
            </w:r>
          </w:p>
        </w:tc>
        <w:tc>
          <w:tcPr>
            <w:tcW w:w="1668" w:type="dxa"/>
            <w:vAlign w:val="center"/>
          </w:tcPr>
          <w:p w14:paraId="5EAC3B1E">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会议桌</w:t>
            </w:r>
          </w:p>
        </w:tc>
        <w:tc>
          <w:tcPr>
            <w:tcW w:w="2820" w:type="dxa"/>
            <w:noWrap/>
            <w:vAlign w:val="center"/>
          </w:tcPr>
          <w:p w14:paraId="4EAA3605">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详见工程量清单。</w:t>
            </w:r>
          </w:p>
        </w:tc>
        <w:tc>
          <w:tcPr>
            <w:tcW w:w="1239" w:type="dxa"/>
            <w:vAlign w:val="center"/>
          </w:tcPr>
          <w:p w14:paraId="0BE74172">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张</w:t>
            </w:r>
          </w:p>
        </w:tc>
        <w:tc>
          <w:tcPr>
            <w:tcW w:w="992" w:type="dxa"/>
            <w:vAlign w:val="center"/>
          </w:tcPr>
          <w:p w14:paraId="62DD859D">
            <w:pPr>
              <w:widowControl/>
              <w:jc w:val="righ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1</w:t>
            </w:r>
          </w:p>
        </w:tc>
      </w:tr>
      <w:tr w14:paraId="6ACC8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34" w:type="dxa"/>
            <w:vAlign w:val="center"/>
          </w:tcPr>
          <w:p w14:paraId="0A3B286C">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2</w:t>
            </w:r>
          </w:p>
        </w:tc>
        <w:tc>
          <w:tcPr>
            <w:tcW w:w="1656" w:type="dxa"/>
            <w:vAlign w:val="center"/>
          </w:tcPr>
          <w:p w14:paraId="5C130FBE">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01BC004</w:t>
            </w:r>
          </w:p>
        </w:tc>
        <w:tc>
          <w:tcPr>
            <w:tcW w:w="1668" w:type="dxa"/>
            <w:vAlign w:val="center"/>
          </w:tcPr>
          <w:p w14:paraId="2E97BC34">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桌子</w:t>
            </w:r>
          </w:p>
        </w:tc>
        <w:tc>
          <w:tcPr>
            <w:tcW w:w="2820" w:type="dxa"/>
            <w:noWrap/>
            <w:vAlign w:val="center"/>
          </w:tcPr>
          <w:p w14:paraId="63CD6539">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详见工程量清单。</w:t>
            </w:r>
          </w:p>
        </w:tc>
        <w:tc>
          <w:tcPr>
            <w:tcW w:w="1239" w:type="dxa"/>
            <w:vAlign w:val="center"/>
          </w:tcPr>
          <w:p w14:paraId="6FFE64BA">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张</w:t>
            </w:r>
          </w:p>
        </w:tc>
        <w:tc>
          <w:tcPr>
            <w:tcW w:w="992" w:type="dxa"/>
            <w:vAlign w:val="center"/>
          </w:tcPr>
          <w:p w14:paraId="677D7A9C">
            <w:pPr>
              <w:widowControl/>
              <w:jc w:val="righ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1</w:t>
            </w:r>
          </w:p>
        </w:tc>
      </w:tr>
      <w:tr w14:paraId="4BDBF3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34" w:type="dxa"/>
            <w:vAlign w:val="center"/>
          </w:tcPr>
          <w:p w14:paraId="36461984">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3</w:t>
            </w:r>
          </w:p>
        </w:tc>
        <w:tc>
          <w:tcPr>
            <w:tcW w:w="1656" w:type="dxa"/>
            <w:vAlign w:val="center"/>
          </w:tcPr>
          <w:p w14:paraId="32E34813">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01BC007</w:t>
            </w:r>
          </w:p>
        </w:tc>
        <w:tc>
          <w:tcPr>
            <w:tcW w:w="1668" w:type="dxa"/>
            <w:vAlign w:val="center"/>
          </w:tcPr>
          <w:p w14:paraId="289F919D">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会议桌</w:t>
            </w:r>
          </w:p>
        </w:tc>
        <w:tc>
          <w:tcPr>
            <w:tcW w:w="2820" w:type="dxa"/>
            <w:noWrap/>
            <w:vAlign w:val="center"/>
          </w:tcPr>
          <w:p w14:paraId="53CBF126">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详见工程量清单。</w:t>
            </w:r>
          </w:p>
        </w:tc>
        <w:tc>
          <w:tcPr>
            <w:tcW w:w="1239" w:type="dxa"/>
            <w:vAlign w:val="center"/>
          </w:tcPr>
          <w:p w14:paraId="0EF50751">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张</w:t>
            </w:r>
          </w:p>
        </w:tc>
        <w:tc>
          <w:tcPr>
            <w:tcW w:w="992" w:type="dxa"/>
            <w:vAlign w:val="center"/>
          </w:tcPr>
          <w:p w14:paraId="0EE9F178">
            <w:pPr>
              <w:widowControl/>
              <w:jc w:val="righ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1</w:t>
            </w:r>
          </w:p>
        </w:tc>
      </w:tr>
      <w:tr w14:paraId="29C14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34" w:type="dxa"/>
            <w:vAlign w:val="center"/>
          </w:tcPr>
          <w:p w14:paraId="12D2090E">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4</w:t>
            </w:r>
          </w:p>
        </w:tc>
        <w:tc>
          <w:tcPr>
            <w:tcW w:w="1656" w:type="dxa"/>
            <w:vAlign w:val="center"/>
          </w:tcPr>
          <w:p w14:paraId="6B9B7B14">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01BC024</w:t>
            </w:r>
          </w:p>
        </w:tc>
        <w:tc>
          <w:tcPr>
            <w:tcW w:w="1668" w:type="dxa"/>
            <w:vAlign w:val="center"/>
          </w:tcPr>
          <w:p w14:paraId="4FCE0621">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开水机</w:t>
            </w:r>
          </w:p>
        </w:tc>
        <w:tc>
          <w:tcPr>
            <w:tcW w:w="2820" w:type="dxa"/>
            <w:noWrap/>
            <w:vAlign w:val="center"/>
          </w:tcPr>
          <w:p w14:paraId="73F18532">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详见工程量清单。</w:t>
            </w:r>
          </w:p>
        </w:tc>
        <w:tc>
          <w:tcPr>
            <w:tcW w:w="1239" w:type="dxa"/>
            <w:vAlign w:val="center"/>
          </w:tcPr>
          <w:p w14:paraId="266D9756">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台</w:t>
            </w:r>
          </w:p>
        </w:tc>
        <w:tc>
          <w:tcPr>
            <w:tcW w:w="992" w:type="dxa"/>
            <w:vAlign w:val="center"/>
          </w:tcPr>
          <w:p w14:paraId="47077D59">
            <w:pPr>
              <w:widowControl/>
              <w:jc w:val="righ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1</w:t>
            </w:r>
          </w:p>
        </w:tc>
      </w:tr>
      <w:tr w14:paraId="24D26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9209" w:type="dxa"/>
            <w:gridSpan w:val="6"/>
            <w:vAlign w:val="center"/>
          </w:tcPr>
          <w:p w14:paraId="0B4CF022">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强电工程</w:t>
            </w:r>
          </w:p>
        </w:tc>
      </w:tr>
      <w:tr w14:paraId="69E8E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34" w:type="dxa"/>
            <w:vAlign w:val="center"/>
          </w:tcPr>
          <w:p w14:paraId="759827B1">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5</w:t>
            </w:r>
          </w:p>
        </w:tc>
        <w:tc>
          <w:tcPr>
            <w:tcW w:w="1656" w:type="dxa"/>
            <w:vAlign w:val="center"/>
          </w:tcPr>
          <w:p w14:paraId="55B3AFC5">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030404017001</w:t>
            </w:r>
          </w:p>
        </w:tc>
        <w:tc>
          <w:tcPr>
            <w:tcW w:w="1668" w:type="dxa"/>
            <w:vAlign w:val="center"/>
          </w:tcPr>
          <w:p w14:paraId="7953AB7A">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配电箱</w:t>
            </w:r>
          </w:p>
        </w:tc>
        <w:tc>
          <w:tcPr>
            <w:tcW w:w="2820" w:type="dxa"/>
            <w:noWrap/>
            <w:vAlign w:val="center"/>
          </w:tcPr>
          <w:p w14:paraId="4492173B">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详见工程量清单。</w:t>
            </w:r>
          </w:p>
        </w:tc>
        <w:tc>
          <w:tcPr>
            <w:tcW w:w="1239" w:type="dxa"/>
            <w:vAlign w:val="center"/>
          </w:tcPr>
          <w:p w14:paraId="3FFC27E2">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台</w:t>
            </w:r>
          </w:p>
        </w:tc>
        <w:tc>
          <w:tcPr>
            <w:tcW w:w="992" w:type="dxa"/>
            <w:vAlign w:val="center"/>
          </w:tcPr>
          <w:p w14:paraId="295F7A8E">
            <w:pPr>
              <w:widowControl/>
              <w:jc w:val="righ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1</w:t>
            </w:r>
          </w:p>
        </w:tc>
      </w:tr>
      <w:tr w14:paraId="4E36B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34" w:type="dxa"/>
            <w:vAlign w:val="center"/>
          </w:tcPr>
          <w:p w14:paraId="10965EFF">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6</w:t>
            </w:r>
          </w:p>
        </w:tc>
        <w:tc>
          <w:tcPr>
            <w:tcW w:w="1656" w:type="dxa"/>
            <w:vAlign w:val="center"/>
          </w:tcPr>
          <w:p w14:paraId="3804DCC7">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030404017002</w:t>
            </w:r>
          </w:p>
        </w:tc>
        <w:tc>
          <w:tcPr>
            <w:tcW w:w="1668" w:type="dxa"/>
            <w:vAlign w:val="center"/>
          </w:tcPr>
          <w:p w14:paraId="3260908F">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配电箱</w:t>
            </w:r>
          </w:p>
        </w:tc>
        <w:tc>
          <w:tcPr>
            <w:tcW w:w="2820" w:type="dxa"/>
            <w:noWrap/>
            <w:vAlign w:val="center"/>
          </w:tcPr>
          <w:p w14:paraId="211F2A19">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详见工程量清单。</w:t>
            </w:r>
          </w:p>
        </w:tc>
        <w:tc>
          <w:tcPr>
            <w:tcW w:w="1239" w:type="dxa"/>
            <w:vAlign w:val="center"/>
          </w:tcPr>
          <w:p w14:paraId="4B8C4699">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台</w:t>
            </w:r>
          </w:p>
        </w:tc>
        <w:tc>
          <w:tcPr>
            <w:tcW w:w="992" w:type="dxa"/>
            <w:vAlign w:val="center"/>
          </w:tcPr>
          <w:p w14:paraId="778F2F32">
            <w:pPr>
              <w:widowControl/>
              <w:jc w:val="righ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1</w:t>
            </w:r>
          </w:p>
        </w:tc>
      </w:tr>
      <w:tr w14:paraId="15881B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34" w:type="dxa"/>
            <w:vAlign w:val="center"/>
          </w:tcPr>
          <w:p w14:paraId="723C2EC3">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7</w:t>
            </w:r>
          </w:p>
        </w:tc>
        <w:tc>
          <w:tcPr>
            <w:tcW w:w="1656" w:type="dxa"/>
            <w:vAlign w:val="center"/>
          </w:tcPr>
          <w:p w14:paraId="2F38733A">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030404017003</w:t>
            </w:r>
          </w:p>
        </w:tc>
        <w:tc>
          <w:tcPr>
            <w:tcW w:w="1668" w:type="dxa"/>
            <w:vAlign w:val="center"/>
          </w:tcPr>
          <w:p w14:paraId="4E56B155">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配电箱</w:t>
            </w:r>
          </w:p>
        </w:tc>
        <w:tc>
          <w:tcPr>
            <w:tcW w:w="2820" w:type="dxa"/>
            <w:noWrap/>
            <w:vAlign w:val="center"/>
          </w:tcPr>
          <w:p w14:paraId="202B5DA0">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详见工程量清单。</w:t>
            </w:r>
          </w:p>
        </w:tc>
        <w:tc>
          <w:tcPr>
            <w:tcW w:w="1239" w:type="dxa"/>
            <w:vAlign w:val="center"/>
          </w:tcPr>
          <w:p w14:paraId="72A528F5">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台</w:t>
            </w:r>
          </w:p>
        </w:tc>
        <w:tc>
          <w:tcPr>
            <w:tcW w:w="992" w:type="dxa"/>
            <w:vAlign w:val="center"/>
          </w:tcPr>
          <w:p w14:paraId="7C71A109">
            <w:pPr>
              <w:widowControl/>
              <w:jc w:val="righ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1</w:t>
            </w:r>
          </w:p>
        </w:tc>
      </w:tr>
      <w:tr w14:paraId="5BA275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9209" w:type="dxa"/>
            <w:gridSpan w:val="6"/>
            <w:vAlign w:val="center"/>
          </w:tcPr>
          <w:p w14:paraId="0B70C9F8">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应急照明</w:t>
            </w:r>
          </w:p>
        </w:tc>
      </w:tr>
      <w:tr w14:paraId="00836A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34" w:type="dxa"/>
            <w:vAlign w:val="center"/>
          </w:tcPr>
          <w:p w14:paraId="6D45A253">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8</w:t>
            </w:r>
          </w:p>
        </w:tc>
        <w:tc>
          <w:tcPr>
            <w:tcW w:w="1656" w:type="dxa"/>
            <w:vAlign w:val="center"/>
          </w:tcPr>
          <w:p w14:paraId="5D8B0462">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030404017004</w:t>
            </w:r>
          </w:p>
        </w:tc>
        <w:tc>
          <w:tcPr>
            <w:tcW w:w="1668" w:type="dxa"/>
            <w:vAlign w:val="center"/>
          </w:tcPr>
          <w:p w14:paraId="2CD05AC5">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配电箱</w:t>
            </w:r>
          </w:p>
        </w:tc>
        <w:tc>
          <w:tcPr>
            <w:tcW w:w="2820" w:type="dxa"/>
            <w:noWrap/>
            <w:vAlign w:val="center"/>
          </w:tcPr>
          <w:p w14:paraId="0CAE069A">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详见工程量清单。</w:t>
            </w:r>
          </w:p>
        </w:tc>
        <w:tc>
          <w:tcPr>
            <w:tcW w:w="1239" w:type="dxa"/>
            <w:vAlign w:val="center"/>
          </w:tcPr>
          <w:p w14:paraId="726F988F">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台</w:t>
            </w:r>
          </w:p>
        </w:tc>
        <w:tc>
          <w:tcPr>
            <w:tcW w:w="992" w:type="dxa"/>
            <w:vAlign w:val="center"/>
          </w:tcPr>
          <w:p w14:paraId="23EB99D3">
            <w:pPr>
              <w:widowControl/>
              <w:jc w:val="righ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1</w:t>
            </w:r>
          </w:p>
        </w:tc>
      </w:tr>
      <w:tr w14:paraId="11CCF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9209" w:type="dxa"/>
            <w:gridSpan w:val="6"/>
            <w:vAlign w:val="center"/>
          </w:tcPr>
          <w:p w14:paraId="09D38DB7">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通风空调</w:t>
            </w:r>
          </w:p>
        </w:tc>
      </w:tr>
      <w:tr w14:paraId="075A5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34" w:type="dxa"/>
            <w:vAlign w:val="center"/>
          </w:tcPr>
          <w:p w14:paraId="6579B648">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9</w:t>
            </w:r>
          </w:p>
        </w:tc>
        <w:tc>
          <w:tcPr>
            <w:tcW w:w="1656" w:type="dxa"/>
            <w:vAlign w:val="center"/>
          </w:tcPr>
          <w:p w14:paraId="72F28091">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030701003001</w:t>
            </w:r>
          </w:p>
        </w:tc>
        <w:tc>
          <w:tcPr>
            <w:tcW w:w="1668" w:type="dxa"/>
            <w:vAlign w:val="center"/>
          </w:tcPr>
          <w:p w14:paraId="4DFF61F9">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空调器</w:t>
            </w:r>
          </w:p>
        </w:tc>
        <w:tc>
          <w:tcPr>
            <w:tcW w:w="2820" w:type="dxa"/>
            <w:noWrap/>
            <w:vAlign w:val="center"/>
          </w:tcPr>
          <w:p w14:paraId="567DFEAF">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详见工程量清单。</w:t>
            </w:r>
          </w:p>
        </w:tc>
        <w:tc>
          <w:tcPr>
            <w:tcW w:w="1239" w:type="dxa"/>
            <w:vAlign w:val="center"/>
          </w:tcPr>
          <w:p w14:paraId="06C13B5E">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台</w:t>
            </w:r>
          </w:p>
        </w:tc>
        <w:tc>
          <w:tcPr>
            <w:tcW w:w="992" w:type="dxa"/>
            <w:vAlign w:val="center"/>
          </w:tcPr>
          <w:p w14:paraId="2DAC97F9">
            <w:pPr>
              <w:widowControl/>
              <w:jc w:val="righ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1</w:t>
            </w:r>
          </w:p>
        </w:tc>
      </w:tr>
      <w:tr w14:paraId="283C2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34" w:type="dxa"/>
            <w:vAlign w:val="center"/>
          </w:tcPr>
          <w:p w14:paraId="34C52151">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10</w:t>
            </w:r>
          </w:p>
        </w:tc>
        <w:tc>
          <w:tcPr>
            <w:tcW w:w="1656" w:type="dxa"/>
            <w:vAlign w:val="center"/>
          </w:tcPr>
          <w:p w14:paraId="51641294">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030701003002</w:t>
            </w:r>
          </w:p>
        </w:tc>
        <w:tc>
          <w:tcPr>
            <w:tcW w:w="1668" w:type="dxa"/>
            <w:vAlign w:val="center"/>
          </w:tcPr>
          <w:p w14:paraId="549AC0EE">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空调器</w:t>
            </w:r>
          </w:p>
        </w:tc>
        <w:tc>
          <w:tcPr>
            <w:tcW w:w="2820" w:type="dxa"/>
            <w:noWrap/>
            <w:vAlign w:val="center"/>
          </w:tcPr>
          <w:p w14:paraId="7E776932">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详见工程量清单。</w:t>
            </w:r>
          </w:p>
        </w:tc>
        <w:tc>
          <w:tcPr>
            <w:tcW w:w="1239" w:type="dxa"/>
            <w:vAlign w:val="center"/>
          </w:tcPr>
          <w:p w14:paraId="3E2B1325">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台</w:t>
            </w:r>
          </w:p>
        </w:tc>
        <w:tc>
          <w:tcPr>
            <w:tcW w:w="992" w:type="dxa"/>
            <w:vAlign w:val="center"/>
          </w:tcPr>
          <w:p w14:paraId="08179778">
            <w:pPr>
              <w:widowControl/>
              <w:jc w:val="righ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1</w:t>
            </w:r>
          </w:p>
        </w:tc>
      </w:tr>
      <w:tr w14:paraId="05E4A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34" w:type="dxa"/>
            <w:vAlign w:val="center"/>
          </w:tcPr>
          <w:p w14:paraId="4A873B35">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11</w:t>
            </w:r>
          </w:p>
        </w:tc>
        <w:tc>
          <w:tcPr>
            <w:tcW w:w="1656" w:type="dxa"/>
            <w:vAlign w:val="center"/>
          </w:tcPr>
          <w:p w14:paraId="318A8E1B">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030701003003</w:t>
            </w:r>
          </w:p>
        </w:tc>
        <w:tc>
          <w:tcPr>
            <w:tcW w:w="1668" w:type="dxa"/>
            <w:vAlign w:val="center"/>
          </w:tcPr>
          <w:p w14:paraId="3147CA1D">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空调器</w:t>
            </w:r>
          </w:p>
        </w:tc>
        <w:tc>
          <w:tcPr>
            <w:tcW w:w="2820" w:type="dxa"/>
            <w:noWrap/>
            <w:vAlign w:val="center"/>
          </w:tcPr>
          <w:p w14:paraId="46D04583">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详见工程量清单。</w:t>
            </w:r>
          </w:p>
        </w:tc>
        <w:tc>
          <w:tcPr>
            <w:tcW w:w="1239" w:type="dxa"/>
            <w:vAlign w:val="center"/>
          </w:tcPr>
          <w:p w14:paraId="7F6019FE">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台</w:t>
            </w:r>
          </w:p>
        </w:tc>
        <w:tc>
          <w:tcPr>
            <w:tcW w:w="992" w:type="dxa"/>
            <w:vAlign w:val="center"/>
          </w:tcPr>
          <w:p w14:paraId="2B0D78D0">
            <w:pPr>
              <w:widowControl/>
              <w:jc w:val="righ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1</w:t>
            </w:r>
          </w:p>
        </w:tc>
      </w:tr>
      <w:tr w14:paraId="5CDFC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34" w:type="dxa"/>
            <w:vAlign w:val="center"/>
          </w:tcPr>
          <w:p w14:paraId="2646C44C">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12</w:t>
            </w:r>
          </w:p>
        </w:tc>
        <w:tc>
          <w:tcPr>
            <w:tcW w:w="1656" w:type="dxa"/>
            <w:vAlign w:val="center"/>
          </w:tcPr>
          <w:p w14:paraId="1246BA7F">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030701004001</w:t>
            </w:r>
          </w:p>
        </w:tc>
        <w:tc>
          <w:tcPr>
            <w:tcW w:w="1668" w:type="dxa"/>
            <w:vAlign w:val="center"/>
          </w:tcPr>
          <w:p w14:paraId="238C66DA">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风机盘管</w:t>
            </w:r>
          </w:p>
        </w:tc>
        <w:tc>
          <w:tcPr>
            <w:tcW w:w="2820" w:type="dxa"/>
            <w:noWrap/>
            <w:vAlign w:val="center"/>
          </w:tcPr>
          <w:p w14:paraId="25DC754D">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详见工程量清单。</w:t>
            </w:r>
          </w:p>
        </w:tc>
        <w:tc>
          <w:tcPr>
            <w:tcW w:w="1239" w:type="dxa"/>
            <w:vAlign w:val="center"/>
          </w:tcPr>
          <w:p w14:paraId="2B39B56B">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台</w:t>
            </w:r>
          </w:p>
        </w:tc>
        <w:tc>
          <w:tcPr>
            <w:tcW w:w="992" w:type="dxa"/>
            <w:vAlign w:val="center"/>
          </w:tcPr>
          <w:p w14:paraId="2F21B089">
            <w:pPr>
              <w:widowControl/>
              <w:jc w:val="righ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1</w:t>
            </w:r>
          </w:p>
        </w:tc>
      </w:tr>
      <w:tr w14:paraId="7A67D3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34" w:type="dxa"/>
            <w:vAlign w:val="center"/>
          </w:tcPr>
          <w:p w14:paraId="725DFA93">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13</w:t>
            </w:r>
          </w:p>
        </w:tc>
        <w:tc>
          <w:tcPr>
            <w:tcW w:w="1656" w:type="dxa"/>
            <w:vAlign w:val="center"/>
          </w:tcPr>
          <w:p w14:paraId="7FAD7694">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030701004002</w:t>
            </w:r>
          </w:p>
        </w:tc>
        <w:tc>
          <w:tcPr>
            <w:tcW w:w="1668" w:type="dxa"/>
            <w:vAlign w:val="center"/>
          </w:tcPr>
          <w:p w14:paraId="4187FD8D">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风机盘管</w:t>
            </w:r>
          </w:p>
        </w:tc>
        <w:tc>
          <w:tcPr>
            <w:tcW w:w="2820" w:type="dxa"/>
            <w:noWrap/>
            <w:vAlign w:val="center"/>
          </w:tcPr>
          <w:p w14:paraId="32908810">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详见工程量清单。</w:t>
            </w:r>
          </w:p>
        </w:tc>
        <w:tc>
          <w:tcPr>
            <w:tcW w:w="1239" w:type="dxa"/>
            <w:vAlign w:val="center"/>
          </w:tcPr>
          <w:p w14:paraId="2C0C6570">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台</w:t>
            </w:r>
          </w:p>
        </w:tc>
        <w:tc>
          <w:tcPr>
            <w:tcW w:w="992" w:type="dxa"/>
            <w:vAlign w:val="center"/>
          </w:tcPr>
          <w:p w14:paraId="6C6E6D44">
            <w:pPr>
              <w:widowControl/>
              <w:jc w:val="righ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1</w:t>
            </w:r>
          </w:p>
        </w:tc>
      </w:tr>
      <w:tr w14:paraId="02A78C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34" w:type="dxa"/>
            <w:vAlign w:val="center"/>
          </w:tcPr>
          <w:p w14:paraId="69EF0FF9">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14</w:t>
            </w:r>
          </w:p>
        </w:tc>
        <w:tc>
          <w:tcPr>
            <w:tcW w:w="1656" w:type="dxa"/>
            <w:vAlign w:val="center"/>
          </w:tcPr>
          <w:p w14:paraId="2AF55912">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030701004003</w:t>
            </w:r>
          </w:p>
        </w:tc>
        <w:tc>
          <w:tcPr>
            <w:tcW w:w="1668" w:type="dxa"/>
            <w:vAlign w:val="center"/>
          </w:tcPr>
          <w:p w14:paraId="600B4315">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风机盘管</w:t>
            </w:r>
          </w:p>
        </w:tc>
        <w:tc>
          <w:tcPr>
            <w:tcW w:w="2820" w:type="dxa"/>
            <w:noWrap/>
            <w:vAlign w:val="center"/>
          </w:tcPr>
          <w:p w14:paraId="0EEB8538">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详见工程量清单。</w:t>
            </w:r>
          </w:p>
        </w:tc>
        <w:tc>
          <w:tcPr>
            <w:tcW w:w="1239" w:type="dxa"/>
            <w:vAlign w:val="center"/>
          </w:tcPr>
          <w:p w14:paraId="5A441254">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台</w:t>
            </w:r>
          </w:p>
        </w:tc>
        <w:tc>
          <w:tcPr>
            <w:tcW w:w="992" w:type="dxa"/>
            <w:vAlign w:val="center"/>
          </w:tcPr>
          <w:p w14:paraId="26615BDA">
            <w:pPr>
              <w:widowControl/>
              <w:jc w:val="righ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1</w:t>
            </w:r>
          </w:p>
        </w:tc>
      </w:tr>
      <w:tr w14:paraId="25AF5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34" w:type="dxa"/>
            <w:vAlign w:val="center"/>
          </w:tcPr>
          <w:p w14:paraId="34E3778D">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15</w:t>
            </w:r>
          </w:p>
        </w:tc>
        <w:tc>
          <w:tcPr>
            <w:tcW w:w="1656" w:type="dxa"/>
            <w:vAlign w:val="center"/>
          </w:tcPr>
          <w:p w14:paraId="4946BE70">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030701004004</w:t>
            </w:r>
          </w:p>
        </w:tc>
        <w:tc>
          <w:tcPr>
            <w:tcW w:w="1668" w:type="dxa"/>
            <w:vAlign w:val="center"/>
          </w:tcPr>
          <w:p w14:paraId="1AFBD6A8">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风机盘管</w:t>
            </w:r>
          </w:p>
        </w:tc>
        <w:tc>
          <w:tcPr>
            <w:tcW w:w="2820" w:type="dxa"/>
            <w:noWrap/>
            <w:vAlign w:val="center"/>
          </w:tcPr>
          <w:p w14:paraId="356E4F76">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详见工程量清单。</w:t>
            </w:r>
          </w:p>
        </w:tc>
        <w:tc>
          <w:tcPr>
            <w:tcW w:w="1239" w:type="dxa"/>
            <w:vAlign w:val="center"/>
          </w:tcPr>
          <w:p w14:paraId="332837DB">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台</w:t>
            </w:r>
          </w:p>
        </w:tc>
        <w:tc>
          <w:tcPr>
            <w:tcW w:w="992" w:type="dxa"/>
            <w:vAlign w:val="center"/>
          </w:tcPr>
          <w:p w14:paraId="447E5358">
            <w:pPr>
              <w:widowControl/>
              <w:jc w:val="righ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1</w:t>
            </w:r>
          </w:p>
        </w:tc>
      </w:tr>
      <w:tr w14:paraId="7A255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34" w:type="dxa"/>
            <w:vAlign w:val="center"/>
          </w:tcPr>
          <w:p w14:paraId="14C73B51">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16</w:t>
            </w:r>
          </w:p>
        </w:tc>
        <w:tc>
          <w:tcPr>
            <w:tcW w:w="1656" w:type="dxa"/>
            <w:vAlign w:val="center"/>
          </w:tcPr>
          <w:p w14:paraId="5F97171A">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030701004005</w:t>
            </w:r>
          </w:p>
        </w:tc>
        <w:tc>
          <w:tcPr>
            <w:tcW w:w="1668" w:type="dxa"/>
            <w:vAlign w:val="center"/>
          </w:tcPr>
          <w:p w14:paraId="5846CC5C">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风机盘管</w:t>
            </w:r>
          </w:p>
        </w:tc>
        <w:tc>
          <w:tcPr>
            <w:tcW w:w="2820" w:type="dxa"/>
            <w:noWrap/>
            <w:vAlign w:val="center"/>
          </w:tcPr>
          <w:p w14:paraId="03DE2ECC">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详见工程量清单。</w:t>
            </w:r>
          </w:p>
        </w:tc>
        <w:tc>
          <w:tcPr>
            <w:tcW w:w="1239" w:type="dxa"/>
            <w:vAlign w:val="center"/>
          </w:tcPr>
          <w:p w14:paraId="7BC2F21E">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台</w:t>
            </w:r>
          </w:p>
        </w:tc>
        <w:tc>
          <w:tcPr>
            <w:tcW w:w="992" w:type="dxa"/>
            <w:vAlign w:val="center"/>
          </w:tcPr>
          <w:p w14:paraId="58CAFDD1">
            <w:pPr>
              <w:widowControl/>
              <w:jc w:val="righ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1</w:t>
            </w:r>
          </w:p>
        </w:tc>
      </w:tr>
      <w:tr w14:paraId="14D22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34" w:type="dxa"/>
            <w:vAlign w:val="center"/>
          </w:tcPr>
          <w:p w14:paraId="0A07ABDE">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17</w:t>
            </w:r>
          </w:p>
        </w:tc>
        <w:tc>
          <w:tcPr>
            <w:tcW w:w="1656" w:type="dxa"/>
            <w:vAlign w:val="center"/>
          </w:tcPr>
          <w:p w14:paraId="48893FD6">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030701004006</w:t>
            </w:r>
          </w:p>
        </w:tc>
        <w:tc>
          <w:tcPr>
            <w:tcW w:w="1668" w:type="dxa"/>
            <w:vAlign w:val="center"/>
          </w:tcPr>
          <w:p w14:paraId="4B6B90C7">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风机盘管</w:t>
            </w:r>
          </w:p>
        </w:tc>
        <w:tc>
          <w:tcPr>
            <w:tcW w:w="2820" w:type="dxa"/>
            <w:noWrap/>
            <w:vAlign w:val="center"/>
          </w:tcPr>
          <w:p w14:paraId="2700F5C0">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详见工程量清单。</w:t>
            </w:r>
          </w:p>
        </w:tc>
        <w:tc>
          <w:tcPr>
            <w:tcW w:w="1239" w:type="dxa"/>
            <w:vAlign w:val="center"/>
          </w:tcPr>
          <w:p w14:paraId="79324CC7">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台</w:t>
            </w:r>
          </w:p>
        </w:tc>
        <w:tc>
          <w:tcPr>
            <w:tcW w:w="992" w:type="dxa"/>
            <w:vAlign w:val="center"/>
          </w:tcPr>
          <w:p w14:paraId="3BCD04CE">
            <w:pPr>
              <w:widowControl/>
              <w:jc w:val="righ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5</w:t>
            </w:r>
          </w:p>
        </w:tc>
      </w:tr>
      <w:tr w14:paraId="40478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34" w:type="dxa"/>
            <w:vAlign w:val="center"/>
          </w:tcPr>
          <w:p w14:paraId="4B6C421E">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18</w:t>
            </w:r>
          </w:p>
        </w:tc>
        <w:tc>
          <w:tcPr>
            <w:tcW w:w="1656" w:type="dxa"/>
            <w:vAlign w:val="center"/>
          </w:tcPr>
          <w:p w14:paraId="10B9C114">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030701003004</w:t>
            </w:r>
          </w:p>
        </w:tc>
        <w:tc>
          <w:tcPr>
            <w:tcW w:w="1668" w:type="dxa"/>
            <w:vAlign w:val="center"/>
          </w:tcPr>
          <w:p w14:paraId="68130C86">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空调器</w:t>
            </w:r>
          </w:p>
        </w:tc>
        <w:tc>
          <w:tcPr>
            <w:tcW w:w="2820" w:type="dxa"/>
            <w:noWrap/>
            <w:vAlign w:val="center"/>
          </w:tcPr>
          <w:p w14:paraId="5D843A3E">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详见工程量清单。</w:t>
            </w:r>
          </w:p>
        </w:tc>
        <w:tc>
          <w:tcPr>
            <w:tcW w:w="1239" w:type="dxa"/>
            <w:vAlign w:val="center"/>
          </w:tcPr>
          <w:p w14:paraId="75C80B47">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台</w:t>
            </w:r>
          </w:p>
        </w:tc>
        <w:tc>
          <w:tcPr>
            <w:tcW w:w="992" w:type="dxa"/>
            <w:vAlign w:val="center"/>
          </w:tcPr>
          <w:p w14:paraId="402A743C">
            <w:pPr>
              <w:widowControl/>
              <w:jc w:val="righ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2</w:t>
            </w:r>
          </w:p>
        </w:tc>
      </w:tr>
      <w:tr w14:paraId="52E4E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34" w:type="dxa"/>
            <w:vAlign w:val="center"/>
          </w:tcPr>
          <w:p w14:paraId="3AF8E61E">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19</w:t>
            </w:r>
          </w:p>
        </w:tc>
        <w:tc>
          <w:tcPr>
            <w:tcW w:w="1656" w:type="dxa"/>
            <w:vAlign w:val="center"/>
          </w:tcPr>
          <w:p w14:paraId="2BDA1424">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030701003005</w:t>
            </w:r>
          </w:p>
        </w:tc>
        <w:tc>
          <w:tcPr>
            <w:tcW w:w="1668" w:type="dxa"/>
            <w:vAlign w:val="center"/>
          </w:tcPr>
          <w:p w14:paraId="46762EB1">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空调器</w:t>
            </w:r>
          </w:p>
        </w:tc>
        <w:tc>
          <w:tcPr>
            <w:tcW w:w="2820" w:type="dxa"/>
            <w:noWrap/>
            <w:vAlign w:val="center"/>
          </w:tcPr>
          <w:p w14:paraId="251FE6AF">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详见工程量清单。</w:t>
            </w:r>
          </w:p>
        </w:tc>
        <w:tc>
          <w:tcPr>
            <w:tcW w:w="1239" w:type="dxa"/>
            <w:vAlign w:val="center"/>
          </w:tcPr>
          <w:p w14:paraId="09DA43E5">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台</w:t>
            </w:r>
          </w:p>
        </w:tc>
        <w:tc>
          <w:tcPr>
            <w:tcW w:w="992" w:type="dxa"/>
            <w:vAlign w:val="center"/>
          </w:tcPr>
          <w:p w14:paraId="6ADE0AF9">
            <w:pPr>
              <w:widowControl/>
              <w:jc w:val="righ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2</w:t>
            </w:r>
          </w:p>
        </w:tc>
      </w:tr>
      <w:tr w14:paraId="42E97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34" w:type="dxa"/>
            <w:vAlign w:val="center"/>
          </w:tcPr>
          <w:p w14:paraId="22CF2869">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20</w:t>
            </w:r>
          </w:p>
        </w:tc>
        <w:tc>
          <w:tcPr>
            <w:tcW w:w="1656" w:type="dxa"/>
            <w:vAlign w:val="center"/>
          </w:tcPr>
          <w:p w14:paraId="03830A5E">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030701003006</w:t>
            </w:r>
          </w:p>
        </w:tc>
        <w:tc>
          <w:tcPr>
            <w:tcW w:w="1668" w:type="dxa"/>
            <w:vAlign w:val="center"/>
          </w:tcPr>
          <w:p w14:paraId="246F89D8">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空调器</w:t>
            </w:r>
          </w:p>
        </w:tc>
        <w:tc>
          <w:tcPr>
            <w:tcW w:w="2820" w:type="dxa"/>
            <w:noWrap/>
            <w:vAlign w:val="center"/>
          </w:tcPr>
          <w:p w14:paraId="39BA47F7">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详见工程量清单。</w:t>
            </w:r>
          </w:p>
        </w:tc>
        <w:tc>
          <w:tcPr>
            <w:tcW w:w="1239" w:type="dxa"/>
            <w:vAlign w:val="center"/>
          </w:tcPr>
          <w:p w14:paraId="2F9ECF8E">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台</w:t>
            </w:r>
          </w:p>
        </w:tc>
        <w:tc>
          <w:tcPr>
            <w:tcW w:w="992" w:type="dxa"/>
            <w:vAlign w:val="center"/>
          </w:tcPr>
          <w:p w14:paraId="646D53DF">
            <w:pPr>
              <w:widowControl/>
              <w:jc w:val="righ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3</w:t>
            </w:r>
          </w:p>
        </w:tc>
      </w:tr>
      <w:tr w14:paraId="1E6EC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34" w:type="dxa"/>
            <w:vAlign w:val="center"/>
          </w:tcPr>
          <w:p w14:paraId="2F96F488">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21</w:t>
            </w:r>
          </w:p>
        </w:tc>
        <w:tc>
          <w:tcPr>
            <w:tcW w:w="1656" w:type="dxa"/>
            <w:vAlign w:val="center"/>
          </w:tcPr>
          <w:p w14:paraId="1D45B10E">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030701003007</w:t>
            </w:r>
          </w:p>
        </w:tc>
        <w:tc>
          <w:tcPr>
            <w:tcW w:w="1668" w:type="dxa"/>
            <w:vAlign w:val="center"/>
          </w:tcPr>
          <w:p w14:paraId="06D4DE9F">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空调器</w:t>
            </w:r>
          </w:p>
        </w:tc>
        <w:tc>
          <w:tcPr>
            <w:tcW w:w="2820" w:type="dxa"/>
            <w:noWrap/>
            <w:vAlign w:val="center"/>
          </w:tcPr>
          <w:p w14:paraId="12550CDE">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详见工程量清单。</w:t>
            </w:r>
          </w:p>
        </w:tc>
        <w:tc>
          <w:tcPr>
            <w:tcW w:w="1239" w:type="dxa"/>
            <w:vAlign w:val="center"/>
          </w:tcPr>
          <w:p w14:paraId="49453B03">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台</w:t>
            </w:r>
          </w:p>
        </w:tc>
        <w:tc>
          <w:tcPr>
            <w:tcW w:w="992" w:type="dxa"/>
            <w:vAlign w:val="center"/>
          </w:tcPr>
          <w:p w14:paraId="0543C0BA">
            <w:pPr>
              <w:widowControl/>
              <w:jc w:val="righ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1</w:t>
            </w:r>
          </w:p>
        </w:tc>
      </w:tr>
      <w:tr w14:paraId="1B880C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34" w:type="dxa"/>
            <w:vAlign w:val="center"/>
          </w:tcPr>
          <w:p w14:paraId="01BE8968">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22</w:t>
            </w:r>
          </w:p>
        </w:tc>
        <w:tc>
          <w:tcPr>
            <w:tcW w:w="1656" w:type="dxa"/>
            <w:vAlign w:val="center"/>
          </w:tcPr>
          <w:p w14:paraId="1D345539">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030701003008</w:t>
            </w:r>
          </w:p>
        </w:tc>
        <w:tc>
          <w:tcPr>
            <w:tcW w:w="1668" w:type="dxa"/>
            <w:vAlign w:val="center"/>
          </w:tcPr>
          <w:p w14:paraId="48E1DDD1">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空调器</w:t>
            </w:r>
          </w:p>
        </w:tc>
        <w:tc>
          <w:tcPr>
            <w:tcW w:w="2820" w:type="dxa"/>
            <w:noWrap/>
            <w:vAlign w:val="center"/>
          </w:tcPr>
          <w:p w14:paraId="4B124A45">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详见工程量清单。</w:t>
            </w:r>
          </w:p>
        </w:tc>
        <w:tc>
          <w:tcPr>
            <w:tcW w:w="1239" w:type="dxa"/>
            <w:vAlign w:val="center"/>
          </w:tcPr>
          <w:p w14:paraId="12E4418F">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台</w:t>
            </w:r>
          </w:p>
        </w:tc>
        <w:tc>
          <w:tcPr>
            <w:tcW w:w="992" w:type="dxa"/>
            <w:vAlign w:val="center"/>
          </w:tcPr>
          <w:p w14:paraId="574B3252">
            <w:pPr>
              <w:widowControl/>
              <w:jc w:val="righ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2</w:t>
            </w:r>
          </w:p>
        </w:tc>
      </w:tr>
      <w:tr w14:paraId="78DF2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34" w:type="dxa"/>
            <w:vAlign w:val="center"/>
          </w:tcPr>
          <w:p w14:paraId="190D4FDC">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23</w:t>
            </w:r>
          </w:p>
        </w:tc>
        <w:tc>
          <w:tcPr>
            <w:tcW w:w="1656" w:type="dxa"/>
            <w:vAlign w:val="center"/>
          </w:tcPr>
          <w:p w14:paraId="3B0B2271">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030701003009</w:t>
            </w:r>
          </w:p>
        </w:tc>
        <w:tc>
          <w:tcPr>
            <w:tcW w:w="1668" w:type="dxa"/>
            <w:vAlign w:val="center"/>
          </w:tcPr>
          <w:p w14:paraId="2F1A653A">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空调器</w:t>
            </w:r>
          </w:p>
        </w:tc>
        <w:tc>
          <w:tcPr>
            <w:tcW w:w="2820" w:type="dxa"/>
            <w:noWrap/>
            <w:vAlign w:val="center"/>
          </w:tcPr>
          <w:p w14:paraId="0D09DC93">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详见工程量清单。</w:t>
            </w:r>
          </w:p>
        </w:tc>
        <w:tc>
          <w:tcPr>
            <w:tcW w:w="1239" w:type="dxa"/>
            <w:vAlign w:val="center"/>
          </w:tcPr>
          <w:p w14:paraId="569A6277">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台</w:t>
            </w:r>
          </w:p>
        </w:tc>
        <w:tc>
          <w:tcPr>
            <w:tcW w:w="992" w:type="dxa"/>
            <w:vAlign w:val="center"/>
          </w:tcPr>
          <w:p w14:paraId="35493696">
            <w:pPr>
              <w:widowControl/>
              <w:jc w:val="righ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5</w:t>
            </w:r>
          </w:p>
        </w:tc>
      </w:tr>
    </w:tbl>
    <w:p w14:paraId="1D49630F">
      <w:pPr>
        <w:pStyle w:val="301"/>
        <w:tabs>
          <w:tab w:val="left" w:pos="425"/>
        </w:tabs>
        <w:spacing w:line="360" w:lineRule="auto"/>
        <w:rPr>
          <w:rFonts w:hint="default" w:ascii="宋体" w:hAnsi="宋体" w:cs="宋体"/>
          <w:bCs/>
          <w:kern w:val="2"/>
          <w:sz w:val="24"/>
          <w:szCs w:val="24"/>
        </w:rPr>
      </w:pPr>
    </w:p>
    <w:p w14:paraId="7E117C85">
      <w:pPr>
        <w:pStyle w:val="301"/>
        <w:tabs>
          <w:tab w:val="left" w:pos="425"/>
        </w:tabs>
        <w:spacing w:line="360" w:lineRule="auto"/>
        <w:ind w:firstLine="482"/>
        <w:rPr>
          <w:rFonts w:hint="default" w:ascii="宋体" w:hAnsi="宋体" w:cs="宋体"/>
          <w:bCs/>
          <w:kern w:val="2"/>
          <w:sz w:val="24"/>
          <w:szCs w:val="24"/>
        </w:rPr>
      </w:pPr>
      <w:r>
        <w:rPr>
          <w:rFonts w:ascii="宋体" w:hAnsi="宋体" w:cs="宋体"/>
          <w:bCs/>
          <w:kern w:val="2"/>
          <w:sz w:val="24"/>
          <w:szCs w:val="24"/>
        </w:rPr>
        <w:t>注:1、本项目工程量清单内的上述主要设备费用需根据工程量清单中综合单价开具固定资产发票，工程量清单其他部分费用开具建安发票。若未按此项要求开具发票，采购人不予结算金额，一切损失由成交人自行承担。</w:t>
      </w:r>
    </w:p>
    <w:p w14:paraId="13B9D2F5">
      <w:pPr>
        <w:pStyle w:val="301"/>
        <w:tabs>
          <w:tab w:val="left" w:pos="425"/>
        </w:tabs>
        <w:spacing w:line="360" w:lineRule="auto"/>
        <w:ind w:firstLine="482"/>
        <w:rPr>
          <w:rFonts w:hint="default" w:ascii="宋体" w:hAnsi="宋体" w:cs="宋体"/>
          <w:b/>
          <w:kern w:val="2"/>
          <w:sz w:val="24"/>
          <w:szCs w:val="24"/>
        </w:rPr>
      </w:pPr>
      <w:r>
        <w:rPr>
          <w:rFonts w:ascii="宋体" w:hAnsi="宋体" w:cs="宋体"/>
          <w:b/>
          <w:kern w:val="2"/>
          <w:sz w:val="24"/>
          <w:szCs w:val="24"/>
        </w:rPr>
        <w:t>2、主要设备清单供应商须在首次响应文件中逐项填写品牌、型号，未按照此要求的，按无效响应处理。</w:t>
      </w:r>
    </w:p>
    <w:p w14:paraId="35EBC3D0">
      <w:pPr>
        <w:jc w:val="center"/>
        <w:outlineLvl w:val="0"/>
        <w:rPr>
          <w:rFonts w:ascii="宋体" w:hAnsi="宋体" w:cs="宋体"/>
          <w:b/>
          <w:sz w:val="36"/>
        </w:rPr>
      </w:pPr>
      <w:r>
        <w:rPr>
          <w:rFonts w:hint="eastAsia" w:ascii="宋体" w:hAnsi="宋体" w:cs="宋体"/>
          <w:kern w:val="0"/>
          <w:sz w:val="24"/>
          <w:szCs w:val="24"/>
        </w:rPr>
        <w:br w:type="page"/>
      </w:r>
      <w:r>
        <w:rPr>
          <w:rFonts w:hint="eastAsia" w:ascii="宋体" w:hAnsi="宋体" w:cs="宋体"/>
          <w:b/>
          <w:sz w:val="36"/>
        </w:rPr>
        <w:t xml:space="preserve">第四章  </w:t>
      </w:r>
      <w:bookmarkStart w:id="145" w:name="福建师范大学采购合同"/>
      <w:bookmarkEnd w:id="145"/>
      <w:bookmarkStart w:id="146" w:name="投标文件格式"/>
      <w:r>
        <w:rPr>
          <w:rFonts w:hint="eastAsia" w:ascii="宋体" w:hAnsi="宋体" w:cs="宋体"/>
          <w:b/>
          <w:sz w:val="36"/>
        </w:rPr>
        <w:t>采购合同</w:t>
      </w:r>
      <w:bookmarkEnd w:id="141"/>
      <w:bookmarkEnd w:id="142"/>
      <w:bookmarkEnd w:id="143"/>
      <w:bookmarkEnd w:id="144"/>
      <w:r>
        <w:rPr>
          <w:rFonts w:hint="eastAsia" w:ascii="宋体" w:hAnsi="宋体" w:cs="宋体"/>
          <w:b/>
          <w:sz w:val="36"/>
        </w:rPr>
        <w:t>（参考）</w:t>
      </w:r>
    </w:p>
    <w:p w14:paraId="7BE61F15">
      <w:pPr>
        <w:pStyle w:val="44"/>
        <w:widowControl/>
        <w:spacing w:line="380" w:lineRule="exact"/>
        <w:jc w:val="right"/>
      </w:pPr>
      <w:bookmarkStart w:id="147" w:name="_Toc31831_WPSOffice_Level1"/>
      <w:bookmarkStart w:id="148" w:name="_Toc21948_WPSOffice_Level1"/>
      <w:bookmarkStart w:id="149" w:name="_Toc4701_WPSOffice_Level1"/>
      <w:r>
        <w:rPr>
          <w:rFonts w:hint="eastAsia"/>
        </w:rPr>
        <w:t>合同号：</w:t>
      </w:r>
    </w:p>
    <w:p w14:paraId="18D2245F">
      <w:pPr>
        <w:spacing w:line="400" w:lineRule="exact"/>
        <w:rPr>
          <w:rFonts w:ascii="宋体" w:hAnsi="宋体" w:cs="宋体"/>
          <w:sz w:val="24"/>
          <w:szCs w:val="24"/>
        </w:rPr>
      </w:pPr>
    </w:p>
    <w:p w14:paraId="7711CC9D">
      <w:pPr>
        <w:pStyle w:val="301"/>
        <w:spacing w:line="400" w:lineRule="exact"/>
        <w:rPr>
          <w:rFonts w:hint="default" w:ascii="宋体" w:hAnsi="宋体" w:cs="宋体"/>
          <w:sz w:val="24"/>
          <w:szCs w:val="24"/>
        </w:rPr>
      </w:pPr>
      <w:r>
        <w:rPr>
          <w:rFonts w:ascii="宋体" w:hAnsi="宋体" w:cs="宋体"/>
          <w:sz w:val="24"/>
          <w:szCs w:val="24"/>
        </w:rPr>
        <w:t>甲方： ___________</w:t>
      </w:r>
    </w:p>
    <w:p w14:paraId="2248A3EA">
      <w:pPr>
        <w:pStyle w:val="301"/>
        <w:spacing w:line="400" w:lineRule="exact"/>
        <w:rPr>
          <w:rFonts w:hint="default" w:ascii="宋体" w:hAnsi="宋体" w:cs="宋体"/>
          <w:sz w:val="24"/>
          <w:szCs w:val="24"/>
        </w:rPr>
      </w:pPr>
      <w:r>
        <w:rPr>
          <w:rFonts w:ascii="宋体" w:hAnsi="宋体" w:cs="宋体"/>
          <w:sz w:val="24"/>
          <w:szCs w:val="24"/>
        </w:rPr>
        <w:t>住所地： ___________</w:t>
      </w:r>
    </w:p>
    <w:p w14:paraId="4DB3BFAB">
      <w:pPr>
        <w:pStyle w:val="301"/>
        <w:spacing w:line="400" w:lineRule="exact"/>
        <w:rPr>
          <w:rFonts w:hint="default" w:ascii="宋体" w:hAnsi="宋体" w:cs="宋体"/>
          <w:sz w:val="24"/>
          <w:szCs w:val="24"/>
        </w:rPr>
      </w:pPr>
      <w:r>
        <w:rPr>
          <w:rFonts w:ascii="宋体" w:hAnsi="宋体" w:cs="宋体"/>
          <w:sz w:val="24"/>
          <w:szCs w:val="24"/>
        </w:rPr>
        <w:t>联系人： ___________</w:t>
      </w:r>
    </w:p>
    <w:p w14:paraId="38013DDD">
      <w:pPr>
        <w:pStyle w:val="301"/>
        <w:spacing w:line="400" w:lineRule="exact"/>
        <w:rPr>
          <w:rFonts w:hint="default" w:ascii="宋体" w:hAnsi="宋体" w:cs="宋体"/>
          <w:sz w:val="24"/>
          <w:szCs w:val="24"/>
        </w:rPr>
      </w:pPr>
      <w:r>
        <w:rPr>
          <w:rFonts w:ascii="宋体" w:hAnsi="宋体" w:cs="宋体"/>
          <w:sz w:val="24"/>
          <w:szCs w:val="24"/>
        </w:rPr>
        <w:t>联系电话：___________</w:t>
      </w:r>
    </w:p>
    <w:p w14:paraId="629D0F7C">
      <w:pPr>
        <w:pStyle w:val="301"/>
        <w:spacing w:line="400" w:lineRule="exact"/>
        <w:rPr>
          <w:rFonts w:hint="default" w:ascii="宋体" w:hAnsi="宋体" w:cs="宋体"/>
          <w:sz w:val="24"/>
          <w:szCs w:val="24"/>
        </w:rPr>
      </w:pPr>
      <w:r>
        <w:rPr>
          <w:rFonts w:ascii="宋体" w:hAnsi="宋体" w:cs="宋体"/>
          <w:sz w:val="24"/>
          <w:szCs w:val="24"/>
        </w:rPr>
        <w:t>传真：___________</w:t>
      </w:r>
    </w:p>
    <w:p w14:paraId="6185E350">
      <w:pPr>
        <w:pStyle w:val="301"/>
        <w:spacing w:line="400" w:lineRule="exact"/>
        <w:rPr>
          <w:rFonts w:hint="default" w:ascii="宋体" w:hAnsi="宋体" w:cs="宋体"/>
          <w:sz w:val="24"/>
          <w:szCs w:val="24"/>
        </w:rPr>
      </w:pPr>
      <w:r>
        <w:rPr>
          <w:rFonts w:ascii="宋体" w:hAnsi="宋体" w:cs="宋体"/>
          <w:sz w:val="24"/>
          <w:szCs w:val="24"/>
        </w:rPr>
        <w:t>电子邮箱：___________</w:t>
      </w:r>
      <w:r>
        <w:rPr>
          <w:rFonts w:ascii="宋体" w:hAnsi="宋体" w:cs="宋体"/>
          <w:sz w:val="24"/>
          <w:szCs w:val="24"/>
        </w:rPr>
        <w:br w:type="textWrapping"/>
      </w:r>
    </w:p>
    <w:p w14:paraId="4AE8834F">
      <w:pPr>
        <w:pStyle w:val="301"/>
        <w:spacing w:line="400" w:lineRule="exact"/>
        <w:rPr>
          <w:rFonts w:hint="default" w:ascii="宋体" w:hAnsi="宋体" w:cs="宋体"/>
          <w:sz w:val="24"/>
          <w:szCs w:val="24"/>
        </w:rPr>
      </w:pPr>
      <w:r>
        <w:rPr>
          <w:rFonts w:ascii="宋体" w:hAnsi="宋体" w:cs="宋体"/>
          <w:sz w:val="24"/>
          <w:szCs w:val="24"/>
        </w:rPr>
        <w:t xml:space="preserve"> 乙方： ___________</w:t>
      </w:r>
    </w:p>
    <w:p w14:paraId="457B77B7">
      <w:pPr>
        <w:pStyle w:val="301"/>
        <w:spacing w:line="400" w:lineRule="exact"/>
        <w:rPr>
          <w:rFonts w:hint="default" w:ascii="宋体" w:hAnsi="宋体" w:cs="宋体"/>
          <w:sz w:val="24"/>
          <w:szCs w:val="24"/>
        </w:rPr>
      </w:pPr>
      <w:r>
        <w:rPr>
          <w:rFonts w:ascii="宋体" w:hAnsi="宋体" w:cs="宋体"/>
          <w:sz w:val="24"/>
          <w:szCs w:val="24"/>
        </w:rPr>
        <w:t xml:space="preserve"> 住所地： ___________</w:t>
      </w:r>
    </w:p>
    <w:p w14:paraId="77EDB456">
      <w:pPr>
        <w:pStyle w:val="301"/>
        <w:spacing w:line="400" w:lineRule="exact"/>
        <w:rPr>
          <w:rFonts w:hint="default" w:ascii="宋体" w:hAnsi="宋体" w:cs="宋体"/>
          <w:sz w:val="24"/>
          <w:szCs w:val="24"/>
        </w:rPr>
      </w:pPr>
      <w:r>
        <w:rPr>
          <w:rFonts w:ascii="宋体" w:hAnsi="宋体" w:cs="宋体"/>
          <w:sz w:val="24"/>
          <w:szCs w:val="24"/>
        </w:rPr>
        <w:t xml:space="preserve"> 联系人：___________</w:t>
      </w:r>
    </w:p>
    <w:p w14:paraId="6A740C66">
      <w:pPr>
        <w:pStyle w:val="301"/>
        <w:spacing w:line="400" w:lineRule="exact"/>
        <w:rPr>
          <w:rFonts w:hint="default" w:ascii="宋体" w:hAnsi="宋体" w:cs="宋体"/>
          <w:sz w:val="24"/>
          <w:szCs w:val="24"/>
        </w:rPr>
      </w:pPr>
      <w:r>
        <w:rPr>
          <w:rFonts w:ascii="宋体" w:hAnsi="宋体" w:cs="宋体"/>
          <w:sz w:val="24"/>
          <w:szCs w:val="24"/>
        </w:rPr>
        <w:t xml:space="preserve"> 联系电话：___________</w:t>
      </w:r>
    </w:p>
    <w:p w14:paraId="03F1922C">
      <w:pPr>
        <w:pStyle w:val="301"/>
        <w:spacing w:line="400" w:lineRule="exact"/>
        <w:rPr>
          <w:rFonts w:hint="default" w:ascii="宋体" w:hAnsi="宋体" w:cs="宋体"/>
          <w:sz w:val="24"/>
          <w:szCs w:val="24"/>
        </w:rPr>
      </w:pPr>
      <w:r>
        <w:rPr>
          <w:rFonts w:ascii="宋体" w:hAnsi="宋体" w:cs="宋体"/>
          <w:sz w:val="24"/>
          <w:szCs w:val="24"/>
        </w:rPr>
        <w:t xml:space="preserve"> 传真：___________</w:t>
      </w:r>
    </w:p>
    <w:p w14:paraId="0084F241">
      <w:pPr>
        <w:pStyle w:val="301"/>
        <w:spacing w:line="400" w:lineRule="exact"/>
        <w:rPr>
          <w:rFonts w:hint="default" w:ascii="宋体" w:hAnsi="宋体" w:cs="宋体"/>
          <w:sz w:val="24"/>
          <w:szCs w:val="24"/>
        </w:rPr>
      </w:pPr>
      <w:r>
        <w:rPr>
          <w:rFonts w:ascii="宋体" w:hAnsi="宋体" w:cs="宋体"/>
          <w:sz w:val="24"/>
          <w:szCs w:val="24"/>
        </w:rPr>
        <w:t xml:space="preserve"> 电子邮箱：___________</w:t>
      </w:r>
    </w:p>
    <w:p w14:paraId="36717A90">
      <w:pPr>
        <w:pStyle w:val="301"/>
        <w:spacing w:line="400" w:lineRule="exact"/>
        <w:rPr>
          <w:rFonts w:hint="default" w:ascii="宋体" w:hAnsi="宋体" w:cs="宋体"/>
          <w:sz w:val="24"/>
          <w:szCs w:val="24"/>
        </w:rPr>
      </w:pPr>
      <w:r>
        <w:rPr>
          <w:rFonts w:ascii="宋体" w:hAnsi="宋体" w:cs="宋体"/>
          <w:sz w:val="24"/>
          <w:szCs w:val="24"/>
        </w:rPr>
        <w:t>根据项目编号为________ 的 ___________项目（以下简称：“本项目”）的采购结果，遵循平等、自愿、公平和诚实信用的原则，双方签署本合同，具体内容如下：</w:t>
      </w:r>
    </w:p>
    <w:p w14:paraId="7712BE3F">
      <w:pPr>
        <w:pStyle w:val="301"/>
        <w:spacing w:line="400" w:lineRule="exact"/>
        <w:outlineLvl w:val="3"/>
        <w:rPr>
          <w:rFonts w:hint="default" w:ascii="宋体" w:hAnsi="宋体" w:cs="宋体"/>
          <w:sz w:val="24"/>
          <w:szCs w:val="24"/>
        </w:rPr>
      </w:pPr>
      <w:r>
        <w:rPr>
          <w:rFonts w:ascii="宋体" w:hAnsi="宋体" w:cs="宋体"/>
          <w:b/>
          <w:sz w:val="24"/>
          <w:szCs w:val="24"/>
        </w:rPr>
        <w:t xml:space="preserve"> 一、合同组成部分</w:t>
      </w:r>
    </w:p>
    <w:p w14:paraId="746EA412">
      <w:pPr>
        <w:pStyle w:val="301"/>
        <w:spacing w:line="400" w:lineRule="exact"/>
        <w:rPr>
          <w:rFonts w:hint="default" w:ascii="宋体" w:hAnsi="宋体" w:cs="宋体"/>
          <w:sz w:val="24"/>
          <w:szCs w:val="24"/>
        </w:rPr>
      </w:pPr>
      <w:r>
        <w:rPr>
          <w:rFonts w:ascii="宋体" w:hAnsi="宋体" w:cs="宋体"/>
          <w:sz w:val="24"/>
          <w:szCs w:val="24"/>
        </w:rPr>
        <w:t>1.1本合同条款及附件；</w:t>
      </w:r>
    </w:p>
    <w:p w14:paraId="02183D1E">
      <w:pPr>
        <w:pStyle w:val="301"/>
        <w:spacing w:line="400" w:lineRule="exact"/>
        <w:rPr>
          <w:rFonts w:hint="default" w:ascii="宋体" w:hAnsi="宋体" w:cs="宋体"/>
          <w:sz w:val="24"/>
          <w:szCs w:val="24"/>
        </w:rPr>
      </w:pPr>
      <w:r>
        <w:rPr>
          <w:rFonts w:ascii="宋体" w:hAnsi="宋体" w:cs="宋体"/>
          <w:sz w:val="24"/>
          <w:szCs w:val="24"/>
        </w:rPr>
        <w:t>1.2采购文件及其附件、补充文件；</w:t>
      </w:r>
    </w:p>
    <w:p w14:paraId="0FDAB8DA">
      <w:pPr>
        <w:pStyle w:val="301"/>
        <w:spacing w:line="400" w:lineRule="exact"/>
        <w:rPr>
          <w:rFonts w:hint="default" w:ascii="宋体" w:hAnsi="宋体" w:cs="宋体"/>
          <w:sz w:val="24"/>
          <w:szCs w:val="24"/>
        </w:rPr>
      </w:pPr>
      <w:r>
        <w:rPr>
          <w:rFonts w:ascii="宋体" w:hAnsi="宋体" w:cs="宋体"/>
          <w:sz w:val="24"/>
          <w:szCs w:val="24"/>
        </w:rPr>
        <w:t>1.3乙方的响应文件及其附件、补充文件；</w:t>
      </w:r>
    </w:p>
    <w:p w14:paraId="48684AE2">
      <w:pPr>
        <w:pStyle w:val="301"/>
        <w:spacing w:line="400" w:lineRule="exact"/>
        <w:rPr>
          <w:rFonts w:hint="default" w:ascii="宋体" w:hAnsi="宋体" w:cs="宋体"/>
          <w:sz w:val="24"/>
          <w:szCs w:val="24"/>
        </w:rPr>
      </w:pPr>
      <w:r>
        <w:rPr>
          <w:rFonts w:ascii="宋体" w:hAnsi="宋体" w:cs="宋体"/>
          <w:sz w:val="24"/>
          <w:szCs w:val="24"/>
        </w:rPr>
        <w:t>1.4其他文件或工程量清单等材料：</w:t>
      </w:r>
    </w:p>
    <w:p w14:paraId="24B52256">
      <w:pPr>
        <w:pStyle w:val="301"/>
        <w:spacing w:line="400" w:lineRule="exact"/>
        <w:outlineLvl w:val="3"/>
        <w:rPr>
          <w:rFonts w:hint="default" w:ascii="宋体" w:hAnsi="宋体" w:cs="宋体"/>
          <w:sz w:val="24"/>
          <w:szCs w:val="24"/>
        </w:rPr>
      </w:pPr>
      <w:r>
        <w:rPr>
          <w:rFonts w:ascii="宋体" w:hAnsi="宋体" w:cs="宋体"/>
          <w:b/>
          <w:sz w:val="24"/>
          <w:szCs w:val="24"/>
        </w:rPr>
        <w:t xml:space="preserve"> 二、合同标的</w:t>
      </w:r>
      <w:r>
        <w:rPr>
          <w:rFonts w:ascii="宋体" w:hAnsi="宋体" w:cs="宋体"/>
          <w:sz w:val="24"/>
          <w:szCs w:val="24"/>
        </w:rPr>
        <w:br w:type="textWrapping"/>
      </w:r>
    </w:p>
    <w:p w14:paraId="7077120F">
      <w:pPr>
        <w:pStyle w:val="301"/>
        <w:spacing w:line="400" w:lineRule="exact"/>
        <w:outlineLvl w:val="3"/>
        <w:rPr>
          <w:rFonts w:hint="default" w:ascii="宋体" w:hAnsi="宋体" w:cs="宋体"/>
          <w:sz w:val="24"/>
          <w:szCs w:val="24"/>
        </w:rPr>
      </w:pPr>
      <w:r>
        <w:rPr>
          <w:rFonts w:ascii="宋体" w:hAnsi="宋体" w:cs="宋体"/>
          <w:b/>
          <w:sz w:val="24"/>
          <w:szCs w:val="24"/>
        </w:rPr>
        <w:t xml:space="preserve"> 三、合同总金额</w:t>
      </w:r>
    </w:p>
    <w:p w14:paraId="7FF7847A">
      <w:pPr>
        <w:pStyle w:val="301"/>
        <w:spacing w:line="400" w:lineRule="exact"/>
        <w:rPr>
          <w:rFonts w:hint="default" w:ascii="宋体" w:hAnsi="宋体" w:cs="宋体"/>
          <w:sz w:val="24"/>
          <w:szCs w:val="24"/>
        </w:rPr>
      </w:pPr>
      <w:r>
        <w:rPr>
          <w:rFonts w:ascii="宋体" w:hAnsi="宋体" w:cs="宋体"/>
          <w:sz w:val="24"/>
          <w:szCs w:val="24"/>
        </w:rPr>
        <w:t>3.1合同总金额为人民币大写：</w:t>
      </w:r>
    </w:p>
    <w:p w14:paraId="3A9D15F4">
      <w:pPr>
        <w:pStyle w:val="301"/>
        <w:spacing w:line="400" w:lineRule="exact"/>
        <w:outlineLvl w:val="3"/>
        <w:rPr>
          <w:rFonts w:hint="default" w:ascii="宋体" w:hAnsi="宋体" w:cs="宋体"/>
          <w:sz w:val="24"/>
          <w:szCs w:val="24"/>
        </w:rPr>
      </w:pPr>
      <w:r>
        <w:rPr>
          <w:rFonts w:ascii="宋体" w:hAnsi="宋体" w:cs="宋体"/>
          <w:b/>
          <w:sz w:val="24"/>
          <w:szCs w:val="24"/>
        </w:rPr>
        <w:t xml:space="preserve"> 四、合同标的交付时间、地点和条件</w:t>
      </w:r>
    </w:p>
    <w:p w14:paraId="469563E1">
      <w:pPr>
        <w:pStyle w:val="301"/>
        <w:spacing w:line="400" w:lineRule="exact"/>
        <w:rPr>
          <w:rFonts w:hint="default" w:ascii="宋体" w:hAnsi="宋体" w:cs="宋体"/>
          <w:sz w:val="24"/>
          <w:szCs w:val="24"/>
        </w:rPr>
      </w:pPr>
      <w:r>
        <w:rPr>
          <w:rFonts w:ascii="宋体" w:hAnsi="宋体" w:cs="宋体"/>
          <w:sz w:val="24"/>
          <w:szCs w:val="24"/>
        </w:rPr>
        <w:t>4.1交付时间：</w:t>
      </w:r>
    </w:p>
    <w:p w14:paraId="2CF015D9">
      <w:pPr>
        <w:pStyle w:val="301"/>
        <w:spacing w:line="400" w:lineRule="exact"/>
        <w:rPr>
          <w:rFonts w:hint="default" w:ascii="宋体" w:hAnsi="宋体" w:cs="宋体"/>
          <w:sz w:val="24"/>
          <w:szCs w:val="24"/>
        </w:rPr>
      </w:pPr>
      <w:r>
        <w:rPr>
          <w:rFonts w:ascii="宋体" w:hAnsi="宋体" w:cs="宋体"/>
          <w:sz w:val="24"/>
          <w:szCs w:val="24"/>
        </w:rPr>
        <w:t>4.2交付地点：</w:t>
      </w:r>
    </w:p>
    <w:p w14:paraId="791EC164">
      <w:pPr>
        <w:pStyle w:val="301"/>
        <w:spacing w:line="400" w:lineRule="exact"/>
        <w:rPr>
          <w:rFonts w:hint="default" w:ascii="宋体" w:hAnsi="宋体" w:cs="宋体"/>
          <w:sz w:val="24"/>
          <w:szCs w:val="24"/>
        </w:rPr>
      </w:pPr>
      <w:r>
        <w:rPr>
          <w:rFonts w:ascii="宋体" w:hAnsi="宋体" w:cs="宋体"/>
          <w:sz w:val="24"/>
          <w:szCs w:val="24"/>
        </w:rPr>
        <w:t>4.3交付条件：</w:t>
      </w:r>
    </w:p>
    <w:p w14:paraId="72103637">
      <w:pPr>
        <w:pStyle w:val="301"/>
        <w:spacing w:line="400" w:lineRule="exact"/>
        <w:outlineLvl w:val="3"/>
        <w:rPr>
          <w:rFonts w:hint="default" w:ascii="宋体" w:hAnsi="宋体" w:cs="宋体"/>
          <w:sz w:val="24"/>
          <w:szCs w:val="24"/>
        </w:rPr>
      </w:pPr>
      <w:r>
        <w:rPr>
          <w:rFonts w:ascii="宋体" w:hAnsi="宋体" w:cs="宋体"/>
          <w:b/>
          <w:sz w:val="24"/>
          <w:szCs w:val="24"/>
        </w:rPr>
        <w:t xml:space="preserve"> 五、合同标的应符合采购文件、乙方响应文件的规定或根据各行业规范、标准等要求约定，具体如下：</w:t>
      </w:r>
      <w:r>
        <w:rPr>
          <w:rFonts w:ascii="宋体" w:hAnsi="宋体" w:cs="宋体"/>
          <w:sz w:val="24"/>
          <w:szCs w:val="24"/>
        </w:rPr>
        <w:br w:type="textWrapping"/>
      </w:r>
    </w:p>
    <w:p w14:paraId="1F4E99EF">
      <w:pPr>
        <w:pStyle w:val="301"/>
        <w:spacing w:line="400" w:lineRule="exact"/>
        <w:outlineLvl w:val="3"/>
        <w:rPr>
          <w:rFonts w:hint="default" w:ascii="宋体" w:hAnsi="宋体" w:cs="宋体"/>
          <w:sz w:val="24"/>
          <w:szCs w:val="24"/>
        </w:rPr>
      </w:pPr>
      <w:r>
        <w:rPr>
          <w:rFonts w:ascii="宋体" w:hAnsi="宋体" w:cs="宋体"/>
          <w:b/>
          <w:sz w:val="24"/>
          <w:szCs w:val="24"/>
        </w:rPr>
        <w:t xml:space="preserve"> 六、验收</w:t>
      </w:r>
    </w:p>
    <w:p w14:paraId="77187500">
      <w:pPr>
        <w:pStyle w:val="301"/>
        <w:spacing w:line="400" w:lineRule="exact"/>
        <w:rPr>
          <w:rFonts w:hint="default" w:ascii="宋体" w:hAnsi="宋体" w:cs="宋体"/>
          <w:sz w:val="24"/>
          <w:szCs w:val="24"/>
        </w:rPr>
      </w:pPr>
      <w:r>
        <w:rPr>
          <w:rFonts w:ascii="宋体" w:hAnsi="宋体" w:cs="宋体"/>
          <w:sz w:val="24"/>
          <w:szCs w:val="24"/>
        </w:rPr>
        <w:t>6.1验收应按照招标文件、乙方投标文件的规定或约定进行，具体如下：</w:t>
      </w:r>
    </w:p>
    <w:p w14:paraId="02F580E8">
      <w:pPr>
        <w:pStyle w:val="301"/>
        <w:spacing w:line="400" w:lineRule="exact"/>
        <w:rPr>
          <w:rFonts w:hint="default" w:ascii="宋体" w:hAnsi="宋体" w:cs="宋体"/>
          <w:sz w:val="24"/>
          <w:szCs w:val="24"/>
        </w:rPr>
      </w:pPr>
      <w:r>
        <w:rPr>
          <w:rFonts w:ascii="宋体" w:hAnsi="宋体" w:cs="宋体"/>
          <w:sz w:val="24"/>
          <w:szCs w:val="24"/>
        </w:rPr>
        <w:t>6.2本项目是否邀请其他投标人参与验收：</w:t>
      </w:r>
    </w:p>
    <w:p w14:paraId="5B63AEF6">
      <w:pPr>
        <w:pStyle w:val="301"/>
        <w:spacing w:line="400" w:lineRule="exact"/>
        <w:outlineLvl w:val="3"/>
        <w:rPr>
          <w:rFonts w:hint="default" w:ascii="宋体" w:hAnsi="宋体" w:cs="宋体"/>
          <w:sz w:val="24"/>
          <w:szCs w:val="24"/>
        </w:rPr>
      </w:pPr>
      <w:r>
        <w:rPr>
          <w:rFonts w:ascii="宋体" w:hAnsi="宋体" w:cs="宋体"/>
          <w:b/>
          <w:sz w:val="24"/>
          <w:szCs w:val="24"/>
        </w:rPr>
        <w:t xml:space="preserve"> 七、合同款项的支付应按照招标文件的规定进行，具体如下：</w:t>
      </w:r>
      <w:r>
        <w:rPr>
          <w:rFonts w:ascii="宋体" w:hAnsi="宋体" w:cs="宋体"/>
          <w:sz w:val="24"/>
          <w:szCs w:val="24"/>
        </w:rPr>
        <w:br w:type="textWrapping"/>
      </w:r>
    </w:p>
    <w:p w14:paraId="2D010C61">
      <w:pPr>
        <w:pStyle w:val="301"/>
        <w:spacing w:line="400" w:lineRule="exact"/>
        <w:outlineLvl w:val="3"/>
        <w:rPr>
          <w:rFonts w:hint="default" w:ascii="宋体" w:hAnsi="宋体" w:cs="宋体"/>
          <w:sz w:val="24"/>
          <w:szCs w:val="24"/>
        </w:rPr>
      </w:pPr>
      <w:r>
        <w:rPr>
          <w:rFonts w:ascii="宋体" w:hAnsi="宋体" w:cs="宋体"/>
          <w:b/>
          <w:sz w:val="24"/>
          <w:szCs w:val="24"/>
        </w:rPr>
        <w:t xml:space="preserve"> 八、履约保证金</w:t>
      </w:r>
      <w:r>
        <w:rPr>
          <w:rFonts w:ascii="宋体" w:hAnsi="宋体" w:cs="宋体"/>
          <w:sz w:val="24"/>
          <w:szCs w:val="24"/>
        </w:rPr>
        <w:br w:type="textWrapping"/>
      </w:r>
    </w:p>
    <w:p w14:paraId="6D186184">
      <w:pPr>
        <w:pStyle w:val="301"/>
        <w:spacing w:line="400" w:lineRule="exact"/>
        <w:outlineLvl w:val="3"/>
        <w:rPr>
          <w:rFonts w:hint="default" w:ascii="宋体" w:hAnsi="宋体" w:cs="宋体"/>
          <w:sz w:val="24"/>
          <w:szCs w:val="24"/>
        </w:rPr>
      </w:pPr>
      <w:r>
        <w:rPr>
          <w:rFonts w:ascii="宋体" w:hAnsi="宋体" w:cs="宋体"/>
          <w:b/>
          <w:sz w:val="24"/>
          <w:szCs w:val="24"/>
        </w:rPr>
        <w:t xml:space="preserve"> 九、合同有效期</w:t>
      </w:r>
      <w:r>
        <w:rPr>
          <w:rFonts w:ascii="宋体" w:hAnsi="宋体" w:cs="宋体"/>
          <w:sz w:val="24"/>
          <w:szCs w:val="24"/>
        </w:rPr>
        <w:br w:type="textWrapping"/>
      </w:r>
    </w:p>
    <w:p w14:paraId="57010213">
      <w:pPr>
        <w:pStyle w:val="301"/>
        <w:spacing w:line="400" w:lineRule="exact"/>
        <w:outlineLvl w:val="3"/>
        <w:rPr>
          <w:rFonts w:hint="default" w:ascii="宋体" w:hAnsi="宋体" w:cs="宋体"/>
          <w:sz w:val="24"/>
          <w:szCs w:val="24"/>
        </w:rPr>
      </w:pPr>
      <w:r>
        <w:rPr>
          <w:rFonts w:ascii="宋体" w:hAnsi="宋体" w:cs="宋体"/>
          <w:b/>
          <w:sz w:val="24"/>
          <w:szCs w:val="24"/>
        </w:rPr>
        <w:t xml:space="preserve"> 十、违约责任</w:t>
      </w:r>
      <w:r>
        <w:rPr>
          <w:rFonts w:ascii="宋体" w:hAnsi="宋体" w:cs="宋体"/>
          <w:sz w:val="24"/>
          <w:szCs w:val="24"/>
        </w:rPr>
        <w:br w:type="textWrapping"/>
      </w:r>
    </w:p>
    <w:p w14:paraId="6F0DF01E">
      <w:pPr>
        <w:pStyle w:val="301"/>
        <w:spacing w:line="400" w:lineRule="exact"/>
        <w:outlineLvl w:val="3"/>
        <w:rPr>
          <w:rFonts w:hint="default" w:ascii="宋体" w:hAnsi="宋体" w:cs="宋体"/>
          <w:sz w:val="24"/>
          <w:szCs w:val="24"/>
        </w:rPr>
      </w:pPr>
      <w:r>
        <w:rPr>
          <w:rFonts w:ascii="宋体" w:hAnsi="宋体" w:cs="宋体"/>
          <w:b/>
          <w:sz w:val="24"/>
          <w:szCs w:val="24"/>
        </w:rPr>
        <w:t xml:space="preserve"> 十一、知识产权</w:t>
      </w:r>
    </w:p>
    <w:p w14:paraId="75862366">
      <w:pPr>
        <w:pStyle w:val="301"/>
        <w:spacing w:line="400" w:lineRule="exact"/>
        <w:rPr>
          <w:rFonts w:hint="default" w:ascii="宋体" w:hAnsi="宋体" w:cs="宋体"/>
          <w:sz w:val="24"/>
          <w:szCs w:val="24"/>
        </w:rPr>
      </w:pPr>
      <w:r>
        <w:rPr>
          <w:rFonts w:ascii="宋体" w:hAnsi="宋体" w:cs="宋体"/>
          <w:sz w:val="24"/>
          <w:szCs w:val="24"/>
        </w:rPr>
        <w:t>11.1乙方提供的采购标的应符合国家知识产权法律、法规的规定且非假冒伪劣品；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w:t>
      </w:r>
    </w:p>
    <w:p w14:paraId="359F331E">
      <w:pPr>
        <w:pStyle w:val="301"/>
        <w:spacing w:line="400" w:lineRule="exact"/>
        <w:rPr>
          <w:rFonts w:hint="default" w:ascii="宋体" w:hAnsi="宋体" w:cs="宋体"/>
          <w:sz w:val="24"/>
          <w:szCs w:val="24"/>
        </w:rPr>
      </w:pPr>
      <w:r>
        <w:rPr>
          <w:rFonts w:ascii="宋体" w:hAnsi="宋体" w:cs="宋体"/>
          <w:sz w:val="24"/>
          <w:szCs w:val="24"/>
        </w:rPr>
        <w:t>11.2若乙方提供的采购标的不符合国家知识产权法律、法规的规定或被有关主管机关认定为假冒伪劣品，则乙方中标资格将被取消；甲方还将按照有关法律、法规和规章的规定进行处理，具体如下：</w:t>
      </w:r>
    </w:p>
    <w:p w14:paraId="70241700">
      <w:pPr>
        <w:pStyle w:val="301"/>
        <w:spacing w:line="400" w:lineRule="exact"/>
        <w:outlineLvl w:val="3"/>
        <w:rPr>
          <w:rFonts w:hint="default" w:ascii="宋体" w:hAnsi="宋体" w:cs="宋体"/>
          <w:sz w:val="24"/>
          <w:szCs w:val="24"/>
        </w:rPr>
      </w:pPr>
      <w:r>
        <w:rPr>
          <w:rFonts w:ascii="宋体" w:hAnsi="宋体" w:cs="宋体"/>
          <w:b/>
          <w:sz w:val="24"/>
          <w:szCs w:val="24"/>
        </w:rPr>
        <w:t xml:space="preserve"> 十二、解决争议的方法</w:t>
      </w:r>
    </w:p>
    <w:p w14:paraId="7467E5F9">
      <w:pPr>
        <w:pStyle w:val="301"/>
        <w:spacing w:line="400" w:lineRule="exact"/>
        <w:rPr>
          <w:rFonts w:hint="default" w:ascii="宋体" w:hAnsi="宋体" w:cs="宋体"/>
          <w:sz w:val="24"/>
          <w:szCs w:val="24"/>
        </w:rPr>
      </w:pPr>
      <w:r>
        <w:rPr>
          <w:rFonts w:ascii="宋体" w:hAnsi="宋体" w:cs="宋体"/>
          <w:sz w:val="24"/>
          <w:szCs w:val="24"/>
        </w:rPr>
        <w:t>12.1甲、乙双方协商解决。</w:t>
      </w:r>
    </w:p>
    <w:p w14:paraId="230B1714">
      <w:pPr>
        <w:pStyle w:val="301"/>
        <w:spacing w:line="400" w:lineRule="exact"/>
        <w:rPr>
          <w:rFonts w:hint="default" w:ascii="宋体" w:hAnsi="宋体" w:cs="宋体"/>
          <w:sz w:val="24"/>
          <w:szCs w:val="24"/>
        </w:rPr>
      </w:pPr>
      <w:r>
        <w:rPr>
          <w:rFonts w:ascii="宋体" w:hAnsi="宋体" w:cs="宋体"/>
          <w:sz w:val="24"/>
          <w:szCs w:val="24"/>
        </w:rPr>
        <w:t>12.2若协商解决不成，双方明确按以下第__方式解决：</w:t>
      </w:r>
    </w:p>
    <w:p w14:paraId="22B5BF0E">
      <w:pPr>
        <w:pStyle w:val="301"/>
        <w:spacing w:line="400" w:lineRule="exact"/>
        <w:rPr>
          <w:rFonts w:hint="default" w:ascii="宋体" w:hAnsi="宋体" w:cs="宋体"/>
          <w:sz w:val="24"/>
          <w:szCs w:val="24"/>
        </w:rPr>
      </w:pPr>
      <w:r>
        <w:rPr>
          <w:rFonts w:ascii="宋体" w:hAnsi="宋体" w:cs="宋体"/>
          <w:sz w:val="24"/>
          <w:szCs w:val="24"/>
        </w:rPr>
        <w:t xml:space="preserve"> 1、提交仲裁委员会仲裁，具体如下：</w:t>
      </w:r>
    </w:p>
    <w:p w14:paraId="014D6E70">
      <w:pPr>
        <w:pStyle w:val="301"/>
        <w:spacing w:line="400" w:lineRule="exact"/>
        <w:rPr>
          <w:rFonts w:hint="default" w:ascii="宋体" w:hAnsi="宋体" w:cs="宋体"/>
          <w:sz w:val="24"/>
          <w:szCs w:val="24"/>
        </w:rPr>
      </w:pPr>
      <w:r>
        <w:rPr>
          <w:rFonts w:ascii="宋体" w:hAnsi="宋体" w:cs="宋体"/>
          <w:sz w:val="24"/>
          <w:szCs w:val="24"/>
        </w:rPr>
        <w:t xml:space="preserve"> 2、向人民法院提起诉讼，具体如下：</w:t>
      </w:r>
    </w:p>
    <w:p w14:paraId="707729F7">
      <w:pPr>
        <w:pStyle w:val="301"/>
        <w:spacing w:line="400" w:lineRule="exact"/>
        <w:outlineLvl w:val="3"/>
        <w:rPr>
          <w:rFonts w:hint="default" w:ascii="宋体" w:hAnsi="宋体" w:cs="宋体"/>
          <w:sz w:val="24"/>
          <w:szCs w:val="24"/>
        </w:rPr>
      </w:pPr>
      <w:r>
        <w:rPr>
          <w:rFonts w:ascii="宋体" w:hAnsi="宋体" w:cs="宋体"/>
          <w:b/>
          <w:sz w:val="24"/>
          <w:szCs w:val="24"/>
        </w:rPr>
        <w:t xml:space="preserve"> 十三、不可抗力</w:t>
      </w:r>
    </w:p>
    <w:p w14:paraId="70A45E48">
      <w:pPr>
        <w:pStyle w:val="301"/>
        <w:spacing w:line="400" w:lineRule="exact"/>
        <w:rPr>
          <w:rFonts w:hint="default" w:ascii="宋体" w:hAnsi="宋体" w:cs="宋体"/>
          <w:sz w:val="24"/>
          <w:szCs w:val="24"/>
        </w:rPr>
      </w:pPr>
      <w:r>
        <w:rPr>
          <w:rFonts w:ascii="宋体" w:hAnsi="宋体" w:cs="宋体"/>
          <w:sz w:val="24"/>
          <w:szCs w:val="24"/>
        </w:rPr>
        <w:t>13.1因不可抗力造成违约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14:paraId="37B077F4">
      <w:pPr>
        <w:pStyle w:val="301"/>
        <w:spacing w:line="400" w:lineRule="exact"/>
        <w:rPr>
          <w:rFonts w:hint="default" w:ascii="宋体" w:hAnsi="宋体" w:cs="宋体"/>
          <w:sz w:val="24"/>
          <w:szCs w:val="24"/>
        </w:rPr>
      </w:pPr>
      <w:r>
        <w:rPr>
          <w:rFonts w:ascii="宋体" w:hAnsi="宋体" w:cs="宋体"/>
          <w:sz w:val="24"/>
          <w:szCs w:val="24"/>
        </w:rPr>
        <w:t>13.2本合同中的不可抗力指不能预见、不能避免、不能克服的客观情况，包括但不限于：自然灾害如地震、台风、洪水、火灾及政府行为、法律规定或其适用的变化或其他任何无法预见、避免或控制的事件。</w:t>
      </w:r>
    </w:p>
    <w:p w14:paraId="4BB2F8C9">
      <w:pPr>
        <w:pStyle w:val="301"/>
        <w:spacing w:line="400" w:lineRule="exact"/>
        <w:outlineLvl w:val="3"/>
        <w:rPr>
          <w:rFonts w:hint="default" w:ascii="宋体" w:hAnsi="宋体" w:cs="宋体"/>
          <w:sz w:val="24"/>
          <w:szCs w:val="24"/>
        </w:rPr>
      </w:pPr>
      <w:r>
        <w:rPr>
          <w:rFonts w:ascii="宋体" w:hAnsi="宋体" w:cs="宋体"/>
          <w:b/>
          <w:sz w:val="24"/>
          <w:szCs w:val="24"/>
        </w:rPr>
        <w:t xml:space="preserve"> 十四、合同条款</w:t>
      </w:r>
      <w:r>
        <w:rPr>
          <w:rFonts w:ascii="宋体" w:hAnsi="宋体" w:cs="宋体"/>
          <w:sz w:val="24"/>
          <w:szCs w:val="24"/>
        </w:rPr>
        <w:br w:type="textWrapping"/>
      </w:r>
    </w:p>
    <w:p w14:paraId="73231826">
      <w:pPr>
        <w:pStyle w:val="301"/>
        <w:spacing w:line="400" w:lineRule="exact"/>
        <w:outlineLvl w:val="3"/>
        <w:rPr>
          <w:rFonts w:hint="default" w:ascii="宋体" w:hAnsi="宋体" w:cs="宋体"/>
          <w:sz w:val="24"/>
          <w:szCs w:val="24"/>
        </w:rPr>
      </w:pPr>
      <w:r>
        <w:rPr>
          <w:rFonts w:ascii="宋体" w:hAnsi="宋体" w:cs="宋体"/>
          <w:b/>
          <w:sz w:val="24"/>
          <w:szCs w:val="24"/>
        </w:rPr>
        <w:t xml:space="preserve"> 十五、其他约定</w:t>
      </w:r>
    </w:p>
    <w:p w14:paraId="7ECD1E8F">
      <w:pPr>
        <w:pStyle w:val="301"/>
        <w:spacing w:line="400" w:lineRule="exact"/>
        <w:rPr>
          <w:rFonts w:hint="default" w:ascii="宋体" w:hAnsi="宋体" w:cs="宋体"/>
          <w:sz w:val="24"/>
          <w:szCs w:val="24"/>
        </w:rPr>
      </w:pPr>
      <w:r>
        <w:rPr>
          <w:rFonts w:ascii="宋体" w:hAnsi="宋体" w:cs="宋体"/>
          <w:sz w:val="24"/>
          <w:szCs w:val="24"/>
        </w:rPr>
        <w:t>15.1合同文件与本合同具有同等法律效力。</w:t>
      </w:r>
    </w:p>
    <w:p w14:paraId="27A7A6D1">
      <w:pPr>
        <w:pStyle w:val="301"/>
        <w:spacing w:line="400" w:lineRule="exact"/>
        <w:rPr>
          <w:rFonts w:hint="default" w:ascii="宋体" w:hAnsi="宋体" w:cs="宋体"/>
          <w:sz w:val="24"/>
          <w:szCs w:val="24"/>
        </w:rPr>
      </w:pPr>
      <w:r>
        <w:rPr>
          <w:rFonts w:ascii="宋体" w:hAnsi="宋体" w:cs="宋体"/>
          <w:sz w:val="24"/>
          <w:szCs w:val="24"/>
        </w:rPr>
        <w:t>15.2合同生效：合同经双方法定代表人或委托代理人签字并加盖单位公章后生效</w:t>
      </w:r>
    </w:p>
    <w:p w14:paraId="7BFBBA5C">
      <w:pPr>
        <w:pStyle w:val="301"/>
        <w:spacing w:line="400" w:lineRule="exact"/>
        <w:rPr>
          <w:rFonts w:hint="default" w:ascii="宋体" w:hAnsi="宋体" w:cs="宋体"/>
          <w:sz w:val="24"/>
          <w:szCs w:val="24"/>
        </w:rPr>
      </w:pPr>
      <w:r>
        <w:rPr>
          <w:rFonts w:ascii="宋体" w:hAnsi="宋体" w:cs="宋体"/>
          <w:sz w:val="24"/>
          <w:szCs w:val="24"/>
        </w:rPr>
        <w:t>15.3乙方完全遵守《中华人民共和国劳动合同法》有关规定和《中华人民共和国妇女权益保障法》中关于“劳动和社会保障权益”的有关要求。</w:t>
      </w:r>
    </w:p>
    <w:p w14:paraId="150F71AA">
      <w:pPr>
        <w:pStyle w:val="301"/>
        <w:spacing w:line="400" w:lineRule="exact"/>
        <w:rPr>
          <w:rFonts w:hint="default" w:ascii="宋体" w:hAnsi="宋体" w:cs="宋体"/>
          <w:sz w:val="24"/>
          <w:szCs w:val="24"/>
        </w:rPr>
      </w:pPr>
      <w:r>
        <w:rPr>
          <w:rFonts w:ascii="宋体" w:hAnsi="宋体" w:cs="宋体"/>
          <w:sz w:val="24"/>
          <w:szCs w:val="24"/>
        </w:rPr>
        <w:t>15.4本合同未尽事宜，遵照《中华人民共和国民法典》有关条文执行。</w:t>
      </w:r>
    </w:p>
    <w:p w14:paraId="7ACA3715">
      <w:pPr>
        <w:pStyle w:val="301"/>
        <w:spacing w:line="400" w:lineRule="exact"/>
        <w:rPr>
          <w:rFonts w:hint="default" w:ascii="宋体" w:hAnsi="宋体" w:cs="宋体"/>
          <w:sz w:val="24"/>
          <w:szCs w:val="24"/>
        </w:rPr>
      </w:pPr>
      <w:r>
        <w:rPr>
          <w:rFonts w:ascii="宋体" w:hAnsi="宋体" w:cs="宋体"/>
          <w:sz w:val="24"/>
          <w:szCs w:val="24"/>
        </w:rPr>
        <w:t>15.5本合同正本一式_______份，具有同等法律效力，甲方、乙方各执_______份；副本_______份，_______</w:t>
      </w:r>
    </w:p>
    <w:p w14:paraId="2EDE7AEF">
      <w:pPr>
        <w:pStyle w:val="301"/>
        <w:spacing w:line="400" w:lineRule="exact"/>
        <w:rPr>
          <w:rFonts w:hint="default" w:ascii="宋体" w:hAnsi="宋体" w:cs="宋体"/>
          <w:sz w:val="24"/>
          <w:szCs w:val="24"/>
        </w:rPr>
      </w:pPr>
      <w:r>
        <w:rPr>
          <w:rFonts w:ascii="宋体" w:hAnsi="宋体" w:cs="宋体"/>
          <w:sz w:val="24"/>
          <w:szCs w:val="24"/>
        </w:rPr>
        <w:t>15.6其他</w:t>
      </w:r>
    </w:p>
    <w:p w14:paraId="6C45FADB">
      <w:pPr>
        <w:pStyle w:val="301"/>
        <w:spacing w:line="400" w:lineRule="exact"/>
        <w:outlineLvl w:val="3"/>
        <w:rPr>
          <w:rFonts w:hint="default" w:ascii="宋体" w:hAnsi="宋体" w:cs="宋体"/>
          <w:sz w:val="24"/>
          <w:szCs w:val="24"/>
        </w:rPr>
      </w:pPr>
      <w:r>
        <w:rPr>
          <w:rFonts w:ascii="宋体" w:hAnsi="宋体" w:cs="宋体"/>
          <w:b/>
          <w:sz w:val="24"/>
          <w:szCs w:val="24"/>
        </w:rPr>
        <w:t xml:space="preserve"> 十六、合同附件</w:t>
      </w:r>
    </w:p>
    <w:p w14:paraId="5C77CC8F">
      <w:pPr>
        <w:pStyle w:val="301"/>
        <w:spacing w:line="400" w:lineRule="exact"/>
        <w:rPr>
          <w:rFonts w:hint="default" w:ascii="宋体" w:hAnsi="宋体" w:cs="宋体"/>
          <w:sz w:val="24"/>
          <w:szCs w:val="24"/>
        </w:rPr>
      </w:pPr>
    </w:p>
    <w:p w14:paraId="4E6DD84A">
      <w:pPr>
        <w:pStyle w:val="301"/>
        <w:spacing w:line="400" w:lineRule="exact"/>
        <w:rPr>
          <w:rFonts w:hint="default" w:ascii="宋体" w:hAnsi="宋体" w:cs="宋体"/>
          <w:sz w:val="24"/>
          <w:szCs w:val="24"/>
        </w:rPr>
      </w:pPr>
      <w:r>
        <w:rPr>
          <w:rFonts w:ascii="宋体" w:hAnsi="宋体" w:cs="宋体"/>
          <w:sz w:val="24"/>
          <w:szCs w:val="24"/>
        </w:rPr>
        <w:br w:type="textWrapping"/>
      </w:r>
      <w:r>
        <w:rPr>
          <w:rFonts w:ascii="宋体" w:hAnsi="宋体" w:cs="宋体"/>
          <w:sz w:val="24"/>
          <w:szCs w:val="24"/>
        </w:rPr>
        <w:br w:type="textWrapping"/>
      </w:r>
      <w:r>
        <w:rPr>
          <w:rFonts w:ascii="宋体" w:hAnsi="宋体" w:cs="宋体"/>
          <w:sz w:val="24"/>
          <w:szCs w:val="24"/>
        </w:rPr>
        <w:br w:type="textWrapping"/>
      </w:r>
    </w:p>
    <w:p w14:paraId="630EB6BF">
      <w:pPr>
        <w:pStyle w:val="301"/>
        <w:spacing w:line="400" w:lineRule="exact"/>
        <w:rPr>
          <w:rFonts w:hint="default" w:ascii="宋体" w:hAnsi="宋体" w:cs="宋体"/>
          <w:sz w:val="24"/>
          <w:szCs w:val="24"/>
        </w:rPr>
      </w:pPr>
      <w:r>
        <w:rPr>
          <w:rFonts w:ascii="宋体" w:hAnsi="宋体" w:cs="宋体"/>
          <w:sz w:val="24"/>
          <w:szCs w:val="24"/>
        </w:rPr>
        <w:t xml:space="preserve"> 甲方（采购人）：</w:t>
      </w:r>
    </w:p>
    <w:p w14:paraId="6227A0D8">
      <w:pPr>
        <w:pStyle w:val="301"/>
        <w:spacing w:line="400" w:lineRule="exact"/>
        <w:rPr>
          <w:rFonts w:hint="default" w:ascii="宋体" w:hAnsi="宋体" w:cs="宋体"/>
          <w:sz w:val="24"/>
          <w:szCs w:val="24"/>
        </w:rPr>
      </w:pPr>
      <w:r>
        <w:rPr>
          <w:rFonts w:ascii="宋体" w:hAnsi="宋体" w:cs="宋体"/>
          <w:sz w:val="24"/>
          <w:szCs w:val="24"/>
        </w:rPr>
        <w:t xml:space="preserve"> 法定（授权）代表人</w:t>
      </w:r>
    </w:p>
    <w:p w14:paraId="086D9630">
      <w:pPr>
        <w:pStyle w:val="301"/>
        <w:spacing w:line="400" w:lineRule="exact"/>
        <w:rPr>
          <w:rFonts w:hint="default" w:ascii="宋体" w:hAnsi="宋体" w:cs="宋体"/>
          <w:sz w:val="24"/>
          <w:szCs w:val="24"/>
        </w:rPr>
      </w:pPr>
      <w:r>
        <w:rPr>
          <w:rFonts w:ascii="宋体" w:hAnsi="宋体" w:cs="宋体"/>
          <w:sz w:val="24"/>
          <w:szCs w:val="24"/>
        </w:rPr>
        <w:t xml:space="preserve"> 纳税人识别号：</w:t>
      </w:r>
    </w:p>
    <w:p w14:paraId="056AEE79">
      <w:pPr>
        <w:pStyle w:val="301"/>
        <w:spacing w:line="400" w:lineRule="exact"/>
        <w:rPr>
          <w:rFonts w:hint="default" w:ascii="宋体" w:hAnsi="宋体" w:cs="宋体"/>
          <w:sz w:val="24"/>
          <w:szCs w:val="24"/>
        </w:rPr>
      </w:pPr>
      <w:r>
        <w:rPr>
          <w:rFonts w:ascii="宋体" w:hAnsi="宋体" w:cs="宋体"/>
          <w:sz w:val="24"/>
          <w:szCs w:val="24"/>
        </w:rPr>
        <w:t xml:space="preserve"> 开户银行：</w:t>
      </w:r>
    </w:p>
    <w:p w14:paraId="2F453BF7">
      <w:pPr>
        <w:pStyle w:val="301"/>
        <w:spacing w:line="400" w:lineRule="exact"/>
        <w:rPr>
          <w:rFonts w:hint="default" w:ascii="宋体" w:hAnsi="宋体" w:cs="宋体"/>
          <w:sz w:val="24"/>
          <w:szCs w:val="24"/>
        </w:rPr>
      </w:pPr>
      <w:r>
        <w:rPr>
          <w:rFonts w:ascii="宋体" w:hAnsi="宋体" w:cs="宋体"/>
          <w:sz w:val="24"/>
          <w:szCs w:val="24"/>
        </w:rPr>
        <w:t xml:space="preserve"> 银行账号：</w:t>
      </w:r>
    </w:p>
    <w:p w14:paraId="50F930F3">
      <w:pPr>
        <w:pStyle w:val="301"/>
        <w:spacing w:line="400" w:lineRule="exact"/>
        <w:rPr>
          <w:rFonts w:hint="default" w:ascii="宋体" w:hAnsi="宋体" w:cs="宋体"/>
          <w:sz w:val="24"/>
          <w:szCs w:val="24"/>
        </w:rPr>
      </w:pPr>
      <w:r>
        <w:rPr>
          <w:rFonts w:ascii="宋体" w:hAnsi="宋体" w:cs="宋体"/>
          <w:sz w:val="24"/>
          <w:szCs w:val="24"/>
        </w:rPr>
        <w:t xml:space="preserve"> 乙方（中标或成交人）：</w:t>
      </w:r>
    </w:p>
    <w:p w14:paraId="560A40A8">
      <w:pPr>
        <w:pStyle w:val="301"/>
        <w:spacing w:line="400" w:lineRule="exact"/>
        <w:rPr>
          <w:rFonts w:hint="default" w:ascii="宋体" w:hAnsi="宋体" w:cs="宋体"/>
          <w:sz w:val="24"/>
          <w:szCs w:val="24"/>
        </w:rPr>
      </w:pPr>
      <w:r>
        <w:rPr>
          <w:rFonts w:ascii="宋体" w:hAnsi="宋体" w:cs="宋体"/>
          <w:sz w:val="24"/>
          <w:szCs w:val="24"/>
        </w:rPr>
        <w:t xml:space="preserve"> 法定（授权）代表人：</w:t>
      </w:r>
    </w:p>
    <w:p w14:paraId="534B4E9E">
      <w:pPr>
        <w:pStyle w:val="301"/>
        <w:spacing w:line="400" w:lineRule="exact"/>
        <w:rPr>
          <w:rFonts w:hint="default" w:ascii="宋体" w:hAnsi="宋体" w:cs="宋体"/>
          <w:sz w:val="24"/>
          <w:szCs w:val="24"/>
        </w:rPr>
      </w:pPr>
      <w:r>
        <w:rPr>
          <w:rFonts w:ascii="宋体" w:hAnsi="宋体" w:cs="宋体"/>
          <w:sz w:val="24"/>
          <w:szCs w:val="24"/>
        </w:rPr>
        <w:t xml:space="preserve"> 纳税人识别号：</w:t>
      </w:r>
    </w:p>
    <w:p w14:paraId="0E7900C9">
      <w:pPr>
        <w:pStyle w:val="301"/>
        <w:spacing w:line="400" w:lineRule="exact"/>
        <w:rPr>
          <w:rFonts w:hint="default" w:ascii="宋体" w:hAnsi="宋体" w:cs="宋体"/>
          <w:sz w:val="24"/>
          <w:szCs w:val="24"/>
        </w:rPr>
      </w:pPr>
      <w:r>
        <w:rPr>
          <w:rFonts w:ascii="宋体" w:hAnsi="宋体" w:cs="宋体"/>
          <w:sz w:val="24"/>
          <w:szCs w:val="24"/>
        </w:rPr>
        <w:t xml:space="preserve"> 开户银行：</w:t>
      </w:r>
    </w:p>
    <w:p w14:paraId="1E05D28E">
      <w:pPr>
        <w:pStyle w:val="301"/>
        <w:spacing w:line="400" w:lineRule="exact"/>
        <w:rPr>
          <w:rFonts w:hint="default" w:ascii="宋体" w:hAnsi="宋体" w:cs="宋体"/>
          <w:sz w:val="24"/>
          <w:szCs w:val="24"/>
        </w:rPr>
      </w:pPr>
      <w:r>
        <w:rPr>
          <w:rFonts w:ascii="宋体" w:hAnsi="宋体" w:cs="宋体"/>
          <w:sz w:val="24"/>
          <w:szCs w:val="24"/>
        </w:rPr>
        <w:t xml:space="preserve"> 银行账号：</w:t>
      </w:r>
    </w:p>
    <w:p w14:paraId="5BA457E0">
      <w:pPr>
        <w:pStyle w:val="301"/>
        <w:spacing w:line="400" w:lineRule="exact"/>
        <w:rPr>
          <w:rFonts w:hint="default" w:ascii="宋体" w:hAnsi="宋体" w:cs="宋体"/>
          <w:sz w:val="24"/>
          <w:szCs w:val="24"/>
        </w:rPr>
      </w:pPr>
      <w:r>
        <w:rPr>
          <w:rFonts w:ascii="宋体" w:hAnsi="宋体" w:cs="宋体"/>
          <w:sz w:val="24"/>
          <w:szCs w:val="24"/>
        </w:rPr>
        <w:t xml:space="preserve"> 签订地点：__________________</w:t>
      </w:r>
    </w:p>
    <w:p w14:paraId="55135727">
      <w:pPr>
        <w:pStyle w:val="301"/>
        <w:spacing w:line="400" w:lineRule="exact"/>
        <w:rPr>
          <w:rFonts w:hint="default" w:ascii="宋体" w:hAnsi="宋体" w:cs="宋体"/>
          <w:sz w:val="24"/>
          <w:szCs w:val="24"/>
        </w:rPr>
      </w:pPr>
      <w:r>
        <w:rPr>
          <w:rFonts w:ascii="宋体" w:hAnsi="宋体" w:cs="宋体"/>
          <w:sz w:val="24"/>
          <w:szCs w:val="24"/>
        </w:rPr>
        <w:t xml:space="preserve"> 签订日期：___年___月___日</w:t>
      </w:r>
    </w:p>
    <w:p w14:paraId="67884097">
      <w:pPr>
        <w:autoSpaceDE w:val="0"/>
        <w:autoSpaceDN w:val="0"/>
        <w:adjustRightInd w:val="0"/>
        <w:spacing w:line="400" w:lineRule="exact"/>
        <w:rPr>
          <w:rFonts w:ascii="宋体" w:hAnsi="宋体" w:cs="宋体"/>
          <w:szCs w:val="21"/>
        </w:rPr>
      </w:pPr>
      <w:r>
        <w:rPr>
          <w:rFonts w:ascii="仿宋_GB2312" w:hAnsi="仿宋_GB2312" w:eastAsia="仿宋_GB2312" w:cs="仿宋_GB2312"/>
          <w:szCs w:val="24"/>
        </w:rPr>
        <w:br w:type="textWrapping"/>
      </w:r>
    </w:p>
    <w:p w14:paraId="702E0ADE">
      <w:pPr>
        <w:pStyle w:val="27"/>
        <w:spacing w:line="360" w:lineRule="auto"/>
        <w:jc w:val="center"/>
        <w:outlineLvl w:val="0"/>
        <w:rPr>
          <w:rFonts w:hAnsi="宋体" w:cs="宋体"/>
          <w:sz w:val="24"/>
        </w:rPr>
      </w:pPr>
      <w:r>
        <w:rPr>
          <w:rFonts w:hint="eastAsia" w:hAnsi="宋体" w:cs="宋体"/>
          <w:sz w:val="24"/>
          <w:szCs w:val="24"/>
        </w:rPr>
        <w:br w:type="page"/>
      </w:r>
      <w:bookmarkStart w:id="150" w:name="_Toc12704"/>
      <w:r>
        <w:rPr>
          <w:rFonts w:hint="eastAsia" w:hAnsi="宋体" w:cs="宋体"/>
          <w:b/>
          <w:sz w:val="36"/>
        </w:rPr>
        <w:t>第五章 响应文件格式</w:t>
      </w:r>
      <w:bookmarkEnd w:id="146"/>
      <w:bookmarkEnd w:id="147"/>
      <w:bookmarkEnd w:id="148"/>
      <w:bookmarkEnd w:id="149"/>
      <w:bookmarkEnd w:id="150"/>
    </w:p>
    <w:p w14:paraId="58327811">
      <w:pPr>
        <w:spacing w:line="360" w:lineRule="auto"/>
        <w:jc w:val="center"/>
        <w:rPr>
          <w:rFonts w:ascii="宋体" w:hAnsi="宋体" w:cs="宋体"/>
          <w:b/>
          <w:sz w:val="36"/>
        </w:rPr>
      </w:pPr>
    </w:p>
    <w:p w14:paraId="6C718135">
      <w:pPr>
        <w:spacing w:line="360" w:lineRule="auto"/>
        <w:jc w:val="center"/>
        <w:rPr>
          <w:rFonts w:ascii="宋体" w:hAnsi="宋体" w:cs="宋体"/>
          <w:b/>
          <w:sz w:val="36"/>
        </w:rPr>
      </w:pPr>
    </w:p>
    <w:p w14:paraId="468DED9D">
      <w:pPr>
        <w:spacing w:line="360" w:lineRule="auto"/>
        <w:jc w:val="center"/>
        <w:rPr>
          <w:rFonts w:ascii="宋体" w:hAnsi="宋体" w:cs="宋体"/>
          <w:b/>
          <w:sz w:val="36"/>
        </w:rPr>
      </w:pPr>
    </w:p>
    <w:tbl>
      <w:tblPr>
        <w:tblStyle w:val="4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9"/>
      </w:tblGrid>
      <w:tr w14:paraId="26EBD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26" w:hRule="atLeast"/>
          <w:jc w:val="center"/>
        </w:trPr>
        <w:tc>
          <w:tcPr>
            <w:tcW w:w="8529" w:type="dxa"/>
            <w:vAlign w:val="center"/>
          </w:tcPr>
          <w:p w14:paraId="455422A3">
            <w:pPr>
              <w:spacing w:line="360" w:lineRule="auto"/>
              <w:rPr>
                <w:rFonts w:ascii="宋体" w:hAnsi="宋体" w:cs="宋体"/>
                <w:b/>
                <w:sz w:val="28"/>
                <w:szCs w:val="28"/>
                <w:u w:val="single"/>
              </w:rPr>
            </w:pPr>
            <w:r>
              <w:rPr>
                <w:rFonts w:hint="eastAsia" w:ascii="宋体" w:hAnsi="宋体" w:cs="宋体"/>
                <w:b/>
                <w:sz w:val="28"/>
                <w:szCs w:val="28"/>
                <w:u w:val="single"/>
              </w:rPr>
              <w:t>注:本附件所有格式仅供制作响应文件时参考，供应商应根据行业特点结合本次采购的技术规格要求，对有关表格进行补充或修改，但不得对实质性文件的相关条款做出变动。</w:t>
            </w:r>
          </w:p>
        </w:tc>
      </w:tr>
    </w:tbl>
    <w:p w14:paraId="5A071A45">
      <w:pPr>
        <w:jc w:val="center"/>
        <w:rPr>
          <w:rFonts w:ascii="宋体" w:hAnsi="宋体" w:cs="宋体"/>
          <w:b/>
          <w:sz w:val="72"/>
        </w:rPr>
      </w:pPr>
    </w:p>
    <w:p w14:paraId="2FD98893">
      <w:pPr>
        <w:spacing w:line="360" w:lineRule="auto"/>
        <w:jc w:val="center"/>
        <w:rPr>
          <w:rFonts w:ascii="宋体" w:hAnsi="宋体" w:cs="宋体"/>
          <w:b/>
          <w:sz w:val="24"/>
        </w:rPr>
      </w:pPr>
      <w:r>
        <w:rPr>
          <w:rFonts w:hint="eastAsia" w:ascii="宋体" w:hAnsi="宋体" w:cs="宋体"/>
        </w:rPr>
        <w:br w:type="page"/>
      </w:r>
    </w:p>
    <w:p w14:paraId="7B26C588">
      <w:pPr>
        <w:jc w:val="center"/>
        <w:rPr>
          <w:rFonts w:ascii="宋体" w:hAnsi="宋体" w:cs="宋体"/>
          <w:b/>
          <w:sz w:val="28"/>
          <w:szCs w:val="28"/>
        </w:rPr>
      </w:pPr>
    </w:p>
    <w:p w14:paraId="6A0BA131">
      <w:pPr>
        <w:jc w:val="center"/>
        <w:outlineLvl w:val="0"/>
        <w:rPr>
          <w:rFonts w:ascii="宋体" w:hAnsi="宋体" w:cs="宋体"/>
          <w:b/>
          <w:sz w:val="72"/>
        </w:rPr>
      </w:pPr>
      <w:bookmarkStart w:id="151" w:name="_Toc11565_WPSOffice_Level1"/>
      <w:bookmarkStart w:id="152" w:name="_Toc13664"/>
      <w:bookmarkStart w:id="153" w:name="_Toc30699_WPSOffice_Level1"/>
      <w:bookmarkStart w:id="154" w:name="_Toc14290_WPSOffice_Level1"/>
    </w:p>
    <w:p w14:paraId="4E0125D5">
      <w:pPr>
        <w:jc w:val="center"/>
        <w:outlineLvl w:val="0"/>
        <w:rPr>
          <w:rFonts w:ascii="宋体" w:hAnsi="宋体" w:cs="宋体"/>
          <w:b/>
          <w:sz w:val="72"/>
        </w:rPr>
      </w:pPr>
      <w:r>
        <w:rPr>
          <w:rFonts w:hint="eastAsia" w:ascii="宋体" w:hAnsi="宋体" w:cs="宋体"/>
          <w:b/>
          <w:sz w:val="72"/>
        </w:rPr>
        <w:t>响  应  文  件</w:t>
      </w:r>
      <w:bookmarkEnd w:id="151"/>
      <w:bookmarkEnd w:id="152"/>
      <w:bookmarkEnd w:id="153"/>
      <w:bookmarkEnd w:id="154"/>
    </w:p>
    <w:p w14:paraId="6EF5C249">
      <w:pPr>
        <w:jc w:val="center"/>
        <w:rPr>
          <w:rFonts w:ascii="宋体" w:hAnsi="宋体" w:cs="宋体"/>
          <w:b/>
          <w:sz w:val="36"/>
        </w:rPr>
      </w:pPr>
    </w:p>
    <w:p w14:paraId="4BE40A8A">
      <w:pPr>
        <w:jc w:val="center"/>
        <w:outlineLvl w:val="0"/>
        <w:rPr>
          <w:rFonts w:ascii="宋体" w:hAnsi="宋体" w:cs="宋体"/>
          <w:b/>
          <w:sz w:val="36"/>
        </w:rPr>
      </w:pPr>
      <w:bookmarkStart w:id="155" w:name="_Toc29741_WPSOffice_Level1"/>
      <w:bookmarkStart w:id="156" w:name="_Toc27067"/>
      <w:bookmarkStart w:id="157" w:name="_Toc23742_WPSOffice_Level1"/>
      <w:bookmarkStart w:id="158" w:name="_Toc13963_WPSOffice_Level1"/>
      <w:r>
        <w:rPr>
          <w:rFonts w:hint="eastAsia" w:ascii="宋体" w:hAnsi="宋体" w:cs="宋体"/>
          <w:b/>
          <w:sz w:val="36"/>
        </w:rPr>
        <w:t>（正本/副本）</w:t>
      </w:r>
      <w:bookmarkEnd w:id="155"/>
      <w:bookmarkEnd w:id="156"/>
      <w:bookmarkEnd w:id="157"/>
      <w:bookmarkEnd w:id="158"/>
    </w:p>
    <w:p w14:paraId="79367A6F">
      <w:pPr>
        <w:jc w:val="center"/>
        <w:rPr>
          <w:rFonts w:ascii="宋体" w:hAnsi="宋体" w:cs="宋体"/>
          <w:b/>
          <w:sz w:val="36"/>
        </w:rPr>
      </w:pPr>
    </w:p>
    <w:p w14:paraId="7BDB7BD6">
      <w:pPr>
        <w:jc w:val="center"/>
        <w:rPr>
          <w:rFonts w:ascii="宋体" w:hAnsi="宋体" w:cs="宋体"/>
          <w:b/>
          <w:sz w:val="36"/>
        </w:rPr>
      </w:pPr>
    </w:p>
    <w:p w14:paraId="6878C4C3">
      <w:pPr>
        <w:ind w:firstLine="1970" w:firstLineChars="545"/>
        <w:outlineLvl w:val="0"/>
        <w:rPr>
          <w:rFonts w:ascii="宋体" w:hAnsi="宋体" w:cs="宋体"/>
          <w:b/>
          <w:sz w:val="36"/>
          <w:u w:val="single"/>
        </w:rPr>
      </w:pPr>
      <w:bookmarkStart w:id="159" w:name="_Toc8149_WPSOffice_Level2"/>
      <w:bookmarkStart w:id="160" w:name="_Toc26979_WPSOffice_Level2"/>
      <w:bookmarkStart w:id="161" w:name="_Toc27974"/>
      <w:r>
        <w:rPr>
          <w:rFonts w:hint="eastAsia" w:ascii="宋体" w:hAnsi="宋体" w:cs="宋体"/>
          <w:b/>
          <w:sz w:val="36"/>
        </w:rPr>
        <w:t>项目名称：</w:t>
      </w:r>
      <w:bookmarkEnd w:id="159"/>
      <w:bookmarkEnd w:id="160"/>
      <w:bookmarkEnd w:id="161"/>
    </w:p>
    <w:p w14:paraId="6C21E408">
      <w:pPr>
        <w:ind w:firstLine="1970" w:firstLineChars="545"/>
        <w:outlineLvl w:val="0"/>
        <w:rPr>
          <w:rFonts w:ascii="宋体" w:hAnsi="宋体" w:cs="宋体"/>
          <w:b/>
          <w:sz w:val="36"/>
          <w:u w:val="single"/>
        </w:rPr>
      </w:pPr>
      <w:bookmarkStart w:id="162" w:name="_Toc18178"/>
      <w:bookmarkStart w:id="163" w:name="_Toc28016_WPSOffice_Level2"/>
      <w:bookmarkStart w:id="164" w:name="_Toc24901_WPSOffice_Level2"/>
      <w:r>
        <w:rPr>
          <w:rFonts w:hint="eastAsia" w:ascii="宋体" w:hAnsi="宋体" w:cs="宋体"/>
          <w:b/>
          <w:sz w:val="36"/>
        </w:rPr>
        <w:t>项目编号：</w:t>
      </w:r>
      <w:bookmarkEnd w:id="162"/>
      <w:bookmarkEnd w:id="163"/>
      <w:bookmarkEnd w:id="164"/>
    </w:p>
    <w:p w14:paraId="24711A86">
      <w:pPr>
        <w:ind w:firstLine="1970" w:firstLineChars="545"/>
        <w:outlineLvl w:val="0"/>
        <w:rPr>
          <w:rFonts w:ascii="宋体" w:hAnsi="宋体" w:cs="宋体"/>
          <w:b/>
          <w:sz w:val="36"/>
        </w:rPr>
      </w:pPr>
      <w:bookmarkStart w:id="165" w:name="_Toc12089_WPSOffice_Level2"/>
      <w:bookmarkStart w:id="166" w:name="_Toc31272"/>
      <w:bookmarkStart w:id="167" w:name="_Toc7855_WPSOffice_Level2"/>
      <w:r>
        <w:rPr>
          <w:rFonts w:hint="eastAsia" w:ascii="宋体" w:hAnsi="宋体" w:cs="宋体"/>
          <w:b/>
          <w:sz w:val="36"/>
        </w:rPr>
        <w:t>合同包：</w:t>
      </w:r>
      <w:bookmarkEnd w:id="165"/>
      <w:bookmarkEnd w:id="166"/>
      <w:bookmarkEnd w:id="167"/>
    </w:p>
    <w:p w14:paraId="4C4F03AF">
      <w:pPr>
        <w:spacing w:line="360" w:lineRule="auto"/>
        <w:jc w:val="center"/>
        <w:rPr>
          <w:rFonts w:ascii="宋体" w:hAnsi="宋体" w:cs="宋体"/>
          <w:b/>
          <w:sz w:val="36"/>
        </w:rPr>
      </w:pPr>
    </w:p>
    <w:p w14:paraId="0C19B0D6">
      <w:pPr>
        <w:rPr>
          <w:rFonts w:ascii="宋体" w:hAnsi="宋体" w:cs="宋体"/>
          <w:b/>
          <w:sz w:val="36"/>
        </w:rPr>
      </w:pPr>
    </w:p>
    <w:p w14:paraId="176CEF6E">
      <w:pPr>
        <w:spacing w:line="440" w:lineRule="exact"/>
        <w:rPr>
          <w:rFonts w:ascii="宋体" w:hAnsi="宋体" w:cs="宋体"/>
          <w:b/>
          <w:sz w:val="36"/>
        </w:rPr>
      </w:pPr>
    </w:p>
    <w:p w14:paraId="105A38B4">
      <w:pPr>
        <w:spacing w:line="440" w:lineRule="exact"/>
        <w:rPr>
          <w:rFonts w:ascii="宋体" w:hAnsi="宋体" w:cs="宋体"/>
          <w:b/>
          <w:sz w:val="36"/>
        </w:rPr>
      </w:pPr>
    </w:p>
    <w:p w14:paraId="7520E679">
      <w:pPr>
        <w:spacing w:line="440" w:lineRule="exact"/>
        <w:rPr>
          <w:rFonts w:ascii="宋体" w:hAnsi="宋体" w:cs="宋体"/>
          <w:b/>
          <w:sz w:val="36"/>
        </w:rPr>
      </w:pPr>
    </w:p>
    <w:p w14:paraId="4C3DD615">
      <w:pPr>
        <w:spacing w:line="500" w:lineRule="exact"/>
        <w:outlineLvl w:val="0"/>
        <w:rPr>
          <w:rFonts w:ascii="宋体" w:hAnsi="宋体" w:cs="宋体"/>
          <w:b/>
          <w:sz w:val="32"/>
          <w:u w:val="single"/>
        </w:rPr>
      </w:pPr>
      <w:bookmarkStart w:id="168" w:name="_Toc21759_WPSOffice_Level2"/>
      <w:bookmarkStart w:id="169" w:name="_Toc13423_WPSOffice_Level2"/>
      <w:bookmarkStart w:id="170" w:name="_Toc5976"/>
      <w:r>
        <w:rPr>
          <w:rFonts w:hint="eastAsia" w:ascii="宋体" w:hAnsi="宋体" w:cs="宋体"/>
          <w:b/>
          <w:sz w:val="32"/>
        </w:rPr>
        <w:t>供应商全称（</w:t>
      </w:r>
      <w:r>
        <w:rPr>
          <w:rFonts w:hint="eastAsia" w:ascii="宋体" w:hAnsi="宋体" w:cs="宋体"/>
          <w:b/>
          <w:sz w:val="32"/>
          <w:szCs w:val="22"/>
        </w:rPr>
        <w:t>全称并加盖单位公章</w:t>
      </w:r>
      <w:r>
        <w:rPr>
          <w:rFonts w:hint="eastAsia" w:ascii="宋体" w:hAnsi="宋体" w:cs="宋体"/>
          <w:b/>
          <w:sz w:val="32"/>
        </w:rPr>
        <w:t>） ：</w:t>
      </w:r>
      <w:bookmarkEnd w:id="168"/>
      <w:bookmarkEnd w:id="169"/>
      <w:bookmarkEnd w:id="170"/>
    </w:p>
    <w:p w14:paraId="513D4BEE">
      <w:pPr>
        <w:spacing w:line="500" w:lineRule="exact"/>
        <w:ind w:firstLine="790" w:firstLineChars="246"/>
        <w:rPr>
          <w:rFonts w:ascii="宋体" w:hAnsi="宋体" w:cs="宋体"/>
          <w:b/>
          <w:sz w:val="32"/>
          <w:u w:val="single"/>
        </w:rPr>
      </w:pPr>
    </w:p>
    <w:p w14:paraId="6052FEDF">
      <w:pPr>
        <w:spacing w:line="500" w:lineRule="exact"/>
        <w:ind w:firstLine="790" w:firstLineChars="246"/>
        <w:outlineLvl w:val="0"/>
        <w:rPr>
          <w:rFonts w:ascii="宋体" w:hAnsi="宋体" w:cs="宋体"/>
          <w:b/>
          <w:sz w:val="32"/>
        </w:rPr>
      </w:pPr>
      <w:bookmarkStart w:id="171" w:name="_Toc25473_WPSOffice_Level2"/>
      <w:bookmarkStart w:id="172" w:name="_Toc20387_WPSOffice_Level2"/>
      <w:bookmarkStart w:id="173" w:name="_Toc29908"/>
      <w:r>
        <w:rPr>
          <w:rFonts w:hint="eastAsia" w:ascii="宋体" w:hAnsi="宋体" w:cs="宋体"/>
          <w:b/>
          <w:sz w:val="32"/>
        </w:rPr>
        <w:t>日    期 ：202年月日</w:t>
      </w:r>
      <w:bookmarkEnd w:id="171"/>
      <w:bookmarkEnd w:id="172"/>
      <w:bookmarkEnd w:id="173"/>
    </w:p>
    <w:p w14:paraId="3006EC12">
      <w:pPr>
        <w:pStyle w:val="7"/>
        <w:snapToGrid w:val="0"/>
        <w:spacing w:line="420" w:lineRule="atLeast"/>
        <w:ind w:firstLine="0"/>
        <w:jc w:val="center"/>
        <w:outlineLvl w:val="0"/>
        <w:rPr>
          <w:rFonts w:ascii="宋体" w:hAnsi="宋体" w:cs="宋体"/>
          <w:b/>
          <w:sz w:val="32"/>
        </w:rPr>
      </w:pPr>
      <w:r>
        <w:rPr>
          <w:rFonts w:hint="eastAsia" w:ascii="宋体" w:hAnsi="宋体" w:cs="宋体"/>
          <w:b/>
          <w:sz w:val="32"/>
        </w:rPr>
        <w:br w:type="page"/>
      </w:r>
      <w:bookmarkStart w:id="174" w:name="_Toc13548_WPSOffice_Level2"/>
      <w:bookmarkStart w:id="175" w:name="_Toc21853_WPSOffice_Level2"/>
      <w:bookmarkStart w:id="176" w:name="_Toc29293"/>
      <w:r>
        <w:rPr>
          <w:rFonts w:hint="eastAsia" w:ascii="宋体" w:hAnsi="宋体" w:cs="宋体"/>
          <w:b/>
          <w:sz w:val="32"/>
        </w:rPr>
        <w:t>目    录</w:t>
      </w:r>
      <w:bookmarkEnd w:id="174"/>
      <w:bookmarkEnd w:id="175"/>
      <w:bookmarkEnd w:id="176"/>
    </w:p>
    <w:p w14:paraId="1536D9B6">
      <w:pPr>
        <w:spacing w:line="360" w:lineRule="auto"/>
        <w:jc w:val="center"/>
        <w:rPr>
          <w:rFonts w:ascii="宋体" w:hAnsi="宋体" w:cs="宋体"/>
          <w:b/>
          <w:sz w:val="24"/>
        </w:rPr>
      </w:pPr>
    </w:p>
    <w:p w14:paraId="5DDA6600">
      <w:pPr>
        <w:spacing w:line="360" w:lineRule="auto"/>
        <w:jc w:val="left"/>
        <w:outlineLvl w:val="0"/>
        <w:rPr>
          <w:rFonts w:ascii="宋体" w:hAnsi="宋体" w:cs="宋体"/>
          <w:sz w:val="24"/>
        </w:rPr>
      </w:pPr>
      <w:bookmarkStart w:id="177" w:name="_Toc14366_WPSOffice_Level2"/>
      <w:bookmarkStart w:id="178" w:name="_Toc22505"/>
      <w:bookmarkStart w:id="179" w:name="_Toc5252_WPSOffice_Level2"/>
      <w:r>
        <w:rPr>
          <w:rFonts w:hint="eastAsia" w:ascii="宋体" w:hAnsi="宋体" w:cs="宋体"/>
          <w:sz w:val="24"/>
        </w:rPr>
        <w:t>（1）报价一览表</w:t>
      </w:r>
      <w:bookmarkEnd w:id="177"/>
      <w:bookmarkEnd w:id="178"/>
      <w:bookmarkEnd w:id="179"/>
    </w:p>
    <w:p w14:paraId="084F86CF">
      <w:pPr>
        <w:spacing w:line="360" w:lineRule="auto"/>
        <w:jc w:val="left"/>
        <w:outlineLvl w:val="0"/>
        <w:rPr>
          <w:rFonts w:ascii="宋体" w:hAnsi="宋体" w:cs="宋体"/>
          <w:sz w:val="24"/>
        </w:rPr>
      </w:pPr>
      <w:bookmarkStart w:id="180" w:name="_Toc23077_WPSOffice_Level2"/>
      <w:bookmarkStart w:id="181" w:name="_Toc27469"/>
      <w:bookmarkStart w:id="182" w:name="_Toc1597_WPSOffice_Level2"/>
      <w:r>
        <w:rPr>
          <w:rFonts w:hint="eastAsia" w:ascii="宋体" w:hAnsi="宋体" w:cs="宋体"/>
          <w:sz w:val="24"/>
        </w:rPr>
        <w:t>（2）报价一览表（最终报价）</w:t>
      </w:r>
      <w:bookmarkEnd w:id="180"/>
      <w:bookmarkEnd w:id="181"/>
      <w:bookmarkEnd w:id="182"/>
    </w:p>
    <w:p w14:paraId="2A0D03E0">
      <w:pPr>
        <w:spacing w:line="360" w:lineRule="auto"/>
        <w:jc w:val="left"/>
        <w:outlineLvl w:val="0"/>
        <w:rPr>
          <w:rFonts w:ascii="宋体" w:hAnsi="宋体" w:cs="宋体"/>
          <w:sz w:val="24"/>
        </w:rPr>
      </w:pPr>
      <w:bookmarkStart w:id="183" w:name="_Toc31181"/>
      <w:bookmarkStart w:id="184" w:name="_Toc7330_WPSOffice_Level2"/>
      <w:bookmarkStart w:id="185" w:name="_Toc16203_WPSOffice_Level2"/>
      <w:r>
        <w:rPr>
          <w:rFonts w:hint="eastAsia" w:ascii="宋体" w:hAnsi="宋体" w:cs="宋体"/>
          <w:sz w:val="24"/>
        </w:rPr>
        <w:t>（3）报价书</w:t>
      </w:r>
      <w:bookmarkEnd w:id="183"/>
      <w:bookmarkEnd w:id="184"/>
      <w:bookmarkEnd w:id="185"/>
    </w:p>
    <w:p w14:paraId="6ACD6B05">
      <w:pPr>
        <w:spacing w:line="360" w:lineRule="auto"/>
        <w:jc w:val="left"/>
        <w:outlineLvl w:val="0"/>
        <w:rPr>
          <w:rFonts w:ascii="宋体" w:hAnsi="宋体" w:cs="宋体"/>
          <w:sz w:val="24"/>
        </w:rPr>
      </w:pPr>
      <w:bookmarkStart w:id="186" w:name="_Toc2604_WPSOffice_Level2"/>
      <w:bookmarkStart w:id="187" w:name="_Toc18740_WPSOffice_Level2"/>
      <w:bookmarkStart w:id="188" w:name="_Toc2948"/>
      <w:r>
        <w:rPr>
          <w:rFonts w:hint="eastAsia" w:ascii="宋体" w:hAnsi="宋体" w:cs="宋体"/>
          <w:sz w:val="24"/>
        </w:rPr>
        <w:t>（4）</w:t>
      </w:r>
      <w:bookmarkEnd w:id="186"/>
      <w:bookmarkEnd w:id="187"/>
      <w:r>
        <w:rPr>
          <w:rFonts w:hint="eastAsia" w:ascii="宋体" w:hAnsi="宋体" w:cs="宋体"/>
          <w:sz w:val="24"/>
        </w:rPr>
        <w:t>技术和服务要求响应表</w:t>
      </w:r>
      <w:bookmarkEnd w:id="188"/>
    </w:p>
    <w:p w14:paraId="3269590C">
      <w:pPr>
        <w:spacing w:line="360" w:lineRule="auto"/>
        <w:jc w:val="left"/>
        <w:outlineLvl w:val="0"/>
        <w:rPr>
          <w:rFonts w:ascii="宋体" w:hAnsi="宋体" w:cs="宋体"/>
          <w:sz w:val="24"/>
        </w:rPr>
      </w:pPr>
      <w:bookmarkStart w:id="189" w:name="_Toc9354"/>
      <w:r>
        <w:rPr>
          <w:rFonts w:hint="eastAsia" w:ascii="宋体" w:hAnsi="宋体" w:cs="宋体"/>
          <w:sz w:val="24"/>
        </w:rPr>
        <w:t>（5）商务条件和其他事项响应表</w:t>
      </w:r>
      <w:bookmarkEnd w:id="189"/>
    </w:p>
    <w:p w14:paraId="24124971">
      <w:pPr>
        <w:spacing w:line="360" w:lineRule="auto"/>
        <w:jc w:val="left"/>
        <w:outlineLvl w:val="0"/>
        <w:rPr>
          <w:rFonts w:ascii="宋体" w:hAnsi="宋体" w:cs="宋体"/>
          <w:sz w:val="24"/>
        </w:rPr>
      </w:pPr>
      <w:bookmarkStart w:id="190" w:name="_Toc9164_WPSOffice_Level2"/>
      <w:bookmarkStart w:id="191" w:name="_Toc29920_WPSOffice_Level2"/>
      <w:bookmarkStart w:id="192" w:name="_Toc19945"/>
      <w:r>
        <w:rPr>
          <w:rFonts w:hint="eastAsia" w:ascii="宋体" w:hAnsi="宋体" w:cs="宋体"/>
          <w:sz w:val="24"/>
        </w:rPr>
        <w:t>（6）</w:t>
      </w:r>
      <w:bookmarkEnd w:id="190"/>
      <w:bookmarkEnd w:id="191"/>
      <w:r>
        <w:rPr>
          <w:rFonts w:hint="eastAsia" w:ascii="宋体" w:hAnsi="宋体" w:cs="宋体"/>
          <w:sz w:val="24"/>
        </w:rPr>
        <w:t>相关技术、商务、服务响应承诺及资料</w:t>
      </w:r>
      <w:bookmarkEnd w:id="192"/>
    </w:p>
    <w:p w14:paraId="3FFFDACA">
      <w:pPr>
        <w:spacing w:line="360" w:lineRule="auto"/>
        <w:jc w:val="left"/>
        <w:outlineLvl w:val="0"/>
        <w:rPr>
          <w:rFonts w:ascii="宋体" w:hAnsi="宋体" w:cs="宋体"/>
          <w:sz w:val="24"/>
        </w:rPr>
      </w:pPr>
      <w:bookmarkStart w:id="193" w:name="_Toc6062"/>
      <w:r>
        <w:rPr>
          <w:rFonts w:hint="eastAsia" w:ascii="宋体" w:hAnsi="宋体" w:cs="宋体"/>
          <w:sz w:val="24"/>
        </w:rPr>
        <w:t>（7）供应商的资格证明文件</w:t>
      </w:r>
      <w:bookmarkEnd w:id="193"/>
    </w:p>
    <w:p w14:paraId="75CF4BFE">
      <w:pPr>
        <w:spacing w:line="360" w:lineRule="auto"/>
        <w:jc w:val="left"/>
        <w:outlineLvl w:val="0"/>
        <w:rPr>
          <w:rFonts w:ascii="宋体" w:hAnsi="宋体" w:cs="宋体"/>
          <w:sz w:val="24"/>
        </w:rPr>
      </w:pPr>
      <w:bookmarkStart w:id="194" w:name="_Toc32525_WPSOffice_Level2"/>
      <w:bookmarkStart w:id="195" w:name="_Toc16164"/>
      <w:bookmarkStart w:id="196" w:name="_Toc16427_WPSOffice_Level2"/>
      <w:r>
        <w:rPr>
          <w:rFonts w:hint="eastAsia" w:ascii="宋体" w:hAnsi="宋体" w:cs="宋体"/>
          <w:sz w:val="24"/>
        </w:rPr>
        <w:t>（8）磋商保证金提交说明函</w:t>
      </w:r>
      <w:bookmarkEnd w:id="194"/>
      <w:bookmarkEnd w:id="195"/>
      <w:bookmarkEnd w:id="196"/>
    </w:p>
    <w:p w14:paraId="1FA208A7">
      <w:pPr>
        <w:spacing w:line="360" w:lineRule="auto"/>
        <w:jc w:val="left"/>
        <w:outlineLvl w:val="0"/>
        <w:rPr>
          <w:rFonts w:ascii="宋体" w:hAnsi="宋体" w:cs="宋体"/>
          <w:sz w:val="24"/>
        </w:rPr>
      </w:pPr>
      <w:bookmarkStart w:id="197" w:name="_Toc29530_WPSOffice_Level2"/>
      <w:bookmarkStart w:id="198" w:name="_Toc30492"/>
      <w:bookmarkStart w:id="199" w:name="_Toc31643_WPSOffice_Level2"/>
      <w:r>
        <w:rPr>
          <w:rFonts w:hint="eastAsia" w:ascii="宋体" w:hAnsi="宋体" w:cs="宋体"/>
          <w:sz w:val="24"/>
        </w:rPr>
        <w:t>（9）退还磋商保证金申请函</w:t>
      </w:r>
      <w:bookmarkEnd w:id="197"/>
      <w:bookmarkEnd w:id="198"/>
      <w:bookmarkEnd w:id="199"/>
    </w:p>
    <w:p w14:paraId="444DB791">
      <w:pPr>
        <w:spacing w:line="360" w:lineRule="auto"/>
        <w:jc w:val="left"/>
        <w:outlineLvl w:val="0"/>
        <w:rPr>
          <w:rFonts w:ascii="宋体" w:hAnsi="宋体" w:cs="宋体"/>
          <w:sz w:val="24"/>
        </w:rPr>
      </w:pPr>
      <w:bookmarkStart w:id="200" w:name="_Toc19991"/>
      <w:bookmarkStart w:id="201" w:name="_Toc2771_WPSOffice_Level2"/>
      <w:bookmarkStart w:id="202" w:name="_Toc21112_WPSOffice_Level2"/>
      <w:r>
        <w:rPr>
          <w:rFonts w:hint="eastAsia" w:ascii="宋体" w:hAnsi="宋体" w:cs="宋体"/>
          <w:sz w:val="24"/>
        </w:rPr>
        <w:t>（10）供应商应交的其他资料</w:t>
      </w:r>
      <w:bookmarkEnd w:id="200"/>
      <w:bookmarkEnd w:id="201"/>
      <w:bookmarkEnd w:id="202"/>
    </w:p>
    <w:p w14:paraId="300C65D9">
      <w:pPr>
        <w:spacing w:line="440" w:lineRule="exact"/>
        <w:rPr>
          <w:rFonts w:ascii="宋体" w:hAnsi="宋体" w:cs="宋体"/>
          <w:sz w:val="24"/>
        </w:rPr>
      </w:pPr>
    </w:p>
    <w:p w14:paraId="742290BE">
      <w:pPr>
        <w:spacing w:line="440" w:lineRule="exact"/>
        <w:rPr>
          <w:rFonts w:ascii="宋体" w:hAnsi="宋体" w:cs="宋体"/>
          <w:sz w:val="24"/>
        </w:rPr>
        <w:sectPr>
          <w:footerReference r:id="rId6" w:type="default"/>
          <w:pgSz w:w="11907" w:h="16840"/>
          <w:pgMar w:top="1440" w:right="1080" w:bottom="1440" w:left="1080" w:header="851" w:footer="794" w:gutter="0"/>
          <w:cols w:space="720" w:num="1"/>
          <w:docGrid w:linePitch="312" w:charSpace="0"/>
        </w:sectPr>
      </w:pPr>
    </w:p>
    <w:p w14:paraId="00B44661">
      <w:pPr>
        <w:spacing w:line="360" w:lineRule="auto"/>
        <w:jc w:val="left"/>
        <w:outlineLvl w:val="0"/>
        <w:rPr>
          <w:rFonts w:ascii="宋体" w:hAnsi="宋体" w:cs="宋体"/>
          <w:b/>
          <w:spacing w:val="-4"/>
          <w:szCs w:val="21"/>
        </w:rPr>
      </w:pPr>
      <w:bookmarkStart w:id="203" w:name="_Toc20755_WPSOffice_Level3"/>
      <w:bookmarkStart w:id="204" w:name="_Toc5430_WPSOffice_Level3"/>
      <w:bookmarkStart w:id="205" w:name="_Toc28334"/>
      <w:r>
        <w:rPr>
          <w:rFonts w:hint="eastAsia" w:ascii="宋体" w:hAnsi="宋体" w:cs="宋体"/>
          <w:b/>
          <w:spacing w:val="-4"/>
          <w:szCs w:val="21"/>
        </w:rPr>
        <w:t xml:space="preserve">附件1                </w:t>
      </w:r>
    </w:p>
    <w:p w14:paraId="103E8545">
      <w:pPr>
        <w:spacing w:line="360" w:lineRule="auto"/>
        <w:jc w:val="center"/>
        <w:outlineLvl w:val="0"/>
        <w:rPr>
          <w:rFonts w:ascii="宋体" w:hAnsi="宋体" w:cs="宋体"/>
          <w:b/>
          <w:spacing w:val="20"/>
          <w:sz w:val="28"/>
        </w:rPr>
      </w:pPr>
      <w:r>
        <w:rPr>
          <w:rFonts w:hint="eastAsia" w:ascii="宋体" w:hAnsi="宋体" w:cs="宋体"/>
          <w:b/>
          <w:spacing w:val="20"/>
          <w:sz w:val="32"/>
          <w:szCs w:val="32"/>
        </w:rPr>
        <w:t>一、报价一览表</w:t>
      </w:r>
      <w:bookmarkEnd w:id="203"/>
      <w:bookmarkEnd w:id="204"/>
      <w:bookmarkEnd w:id="205"/>
      <w:r>
        <w:rPr>
          <w:rFonts w:hint="eastAsia" w:ascii="宋体" w:hAnsi="宋体" w:cs="宋体"/>
          <w:b/>
          <w:spacing w:val="20"/>
          <w:sz w:val="32"/>
          <w:szCs w:val="32"/>
        </w:rPr>
        <w:t>（首次报价）</w:t>
      </w:r>
    </w:p>
    <w:p w14:paraId="062734EA">
      <w:pPr>
        <w:spacing w:line="360" w:lineRule="auto"/>
        <w:rPr>
          <w:rFonts w:ascii="宋体" w:hAnsi="宋体" w:cs="宋体"/>
          <w:sz w:val="24"/>
        </w:rPr>
      </w:pPr>
    </w:p>
    <w:p w14:paraId="4F723B3F">
      <w:pPr>
        <w:spacing w:line="360" w:lineRule="auto"/>
        <w:rPr>
          <w:rFonts w:ascii="宋体" w:hAnsi="宋体" w:cs="宋体"/>
          <w:sz w:val="24"/>
          <w:szCs w:val="24"/>
        </w:rPr>
      </w:pPr>
      <w:r>
        <w:rPr>
          <w:rFonts w:hint="eastAsia" w:ascii="宋体" w:hAnsi="宋体" w:cs="宋体"/>
          <w:sz w:val="24"/>
        </w:rPr>
        <w:t>项目编号</w:t>
      </w:r>
      <w:r>
        <w:rPr>
          <w:rFonts w:hint="eastAsia" w:ascii="宋体" w:hAnsi="宋体" w:cs="宋体"/>
          <w:sz w:val="24"/>
          <w:szCs w:val="24"/>
        </w:rPr>
        <w:t>：</w:t>
      </w:r>
    </w:p>
    <w:p w14:paraId="073D53A7">
      <w:pPr>
        <w:spacing w:line="360" w:lineRule="auto"/>
        <w:rPr>
          <w:rFonts w:ascii="宋体" w:hAnsi="宋体" w:cs="宋体"/>
          <w:sz w:val="24"/>
          <w:szCs w:val="24"/>
        </w:rPr>
      </w:pPr>
      <w:r>
        <w:rPr>
          <w:rFonts w:hint="eastAsia" w:ascii="宋体" w:hAnsi="宋体" w:cs="宋体"/>
          <w:sz w:val="24"/>
          <w:szCs w:val="24"/>
        </w:rPr>
        <w:t>项目名称：</w:t>
      </w:r>
    </w:p>
    <w:tbl>
      <w:tblPr>
        <w:tblStyle w:val="49"/>
        <w:tblW w:w="4862"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056"/>
        <w:gridCol w:w="1173"/>
        <w:gridCol w:w="2961"/>
        <w:gridCol w:w="1551"/>
        <w:gridCol w:w="1553"/>
      </w:tblGrid>
      <w:tr w14:paraId="4EE97B8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569" w:type="pct"/>
            <w:vAlign w:val="center"/>
          </w:tcPr>
          <w:p w14:paraId="70E55873">
            <w:pPr>
              <w:ind w:left="-105" w:leftChars="-50" w:right="-105" w:rightChars="-50"/>
              <w:jc w:val="center"/>
              <w:rPr>
                <w:rFonts w:ascii="宋体" w:hAnsi="宋体" w:cs="宋体"/>
                <w:b/>
                <w:sz w:val="24"/>
                <w:szCs w:val="24"/>
              </w:rPr>
            </w:pPr>
            <w:r>
              <w:rPr>
                <w:rFonts w:hint="eastAsia" w:ascii="宋体" w:hAnsi="宋体" w:cs="宋体"/>
                <w:b/>
                <w:sz w:val="24"/>
                <w:szCs w:val="24"/>
              </w:rPr>
              <w:t>合同包</w:t>
            </w:r>
          </w:p>
        </w:tc>
        <w:tc>
          <w:tcPr>
            <w:tcW w:w="632" w:type="pct"/>
            <w:vAlign w:val="center"/>
          </w:tcPr>
          <w:p w14:paraId="5D6EA1D0">
            <w:pPr>
              <w:ind w:left="-105" w:leftChars="-50" w:right="-105" w:rightChars="-50"/>
              <w:jc w:val="center"/>
              <w:rPr>
                <w:rFonts w:ascii="宋体" w:hAnsi="宋体" w:cs="宋体"/>
                <w:b/>
                <w:sz w:val="24"/>
                <w:szCs w:val="24"/>
              </w:rPr>
            </w:pPr>
            <w:r>
              <w:rPr>
                <w:rFonts w:hint="eastAsia" w:ascii="宋体" w:hAnsi="宋体" w:cs="宋体"/>
                <w:b/>
                <w:sz w:val="24"/>
                <w:szCs w:val="24"/>
              </w:rPr>
              <w:t>品目号</w:t>
            </w:r>
          </w:p>
        </w:tc>
        <w:tc>
          <w:tcPr>
            <w:tcW w:w="1596" w:type="pct"/>
            <w:vAlign w:val="center"/>
          </w:tcPr>
          <w:p w14:paraId="3C1B6C6B">
            <w:pPr>
              <w:jc w:val="center"/>
              <w:rPr>
                <w:rFonts w:ascii="宋体" w:hAnsi="宋体" w:cs="宋体"/>
                <w:b/>
                <w:sz w:val="24"/>
                <w:szCs w:val="24"/>
              </w:rPr>
            </w:pPr>
            <w:r>
              <w:rPr>
                <w:rFonts w:hint="eastAsia" w:ascii="宋体" w:hAnsi="宋体" w:cs="宋体"/>
                <w:b/>
                <w:sz w:val="24"/>
                <w:szCs w:val="24"/>
              </w:rPr>
              <w:t>采购标的</w:t>
            </w:r>
          </w:p>
        </w:tc>
        <w:tc>
          <w:tcPr>
            <w:tcW w:w="836" w:type="pct"/>
            <w:vAlign w:val="center"/>
          </w:tcPr>
          <w:p w14:paraId="03999D51">
            <w:pPr>
              <w:jc w:val="center"/>
              <w:rPr>
                <w:rFonts w:ascii="宋体" w:hAnsi="宋体" w:cs="宋体"/>
                <w:b/>
                <w:sz w:val="24"/>
                <w:szCs w:val="24"/>
              </w:rPr>
            </w:pPr>
            <w:r>
              <w:rPr>
                <w:rFonts w:hint="eastAsia" w:ascii="宋体" w:hAnsi="宋体" w:cs="宋体"/>
                <w:b/>
                <w:sz w:val="24"/>
                <w:szCs w:val="24"/>
              </w:rPr>
              <w:t>投标报价</w:t>
            </w:r>
          </w:p>
        </w:tc>
        <w:tc>
          <w:tcPr>
            <w:tcW w:w="837" w:type="pct"/>
            <w:vAlign w:val="center"/>
          </w:tcPr>
          <w:p w14:paraId="303CABD1">
            <w:pPr>
              <w:jc w:val="center"/>
              <w:rPr>
                <w:rFonts w:ascii="宋体" w:hAnsi="宋体" w:cs="宋体"/>
                <w:b/>
                <w:sz w:val="24"/>
                <w:szCs w:val="24"/>
              </w:rPr>
            </w:pPr>
            <w:r>
              <w:rPr>
                <w:rFonts w:hint="eastAsia" w:ascii="宋体" w:hAnsi="宋体" w:cs="宋体"/>
                <w:b/>
                <w:sz w:val="24"/>
                <w:szCs w:val="24"/>
              </w:rPr>
              <w:t>备注</w:t>
            </w:r>
          </w:p>
        </w:tc>
      </w:tr>
      <w:tr w14:paraId="4740D6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75" w:hRule="atLeast"/>
          <w:jc w:val="center"/>
        </w:trPr>
        <w:tc>
          <w:tcPr>
            <w:tcW w:w="569" w:type="pct"/>
            <w:vAlign w:val="center"/>
          </w:tcPr>
          <w:p w14:paraId="392C5CC9">
            <w:pPr>
              <w:spacing w:line="340" w:lineRule="exact"/>
              <w:jc w:val="center"/>
              <w:rPr>
                <w:rFonts w:ascii="宋体" w:hAnsi="宋体" w:cs="宋体"/>
                <w:sz w:val="24"/>
                <w:szCs w:val="24"/>
              </w:rPr>
            </w:pPr>
            <w:r>
              <w:rPr>
                <w:rFonts w:hint="eastAsia" w:ascii="宋体" w:hAnsi="宋体" w:cs="宋体"/>
                <w:sz w:val="24"/>
                <w:szCs w:val="24"/>
              </w:rPr>
              <w:t>1</w:t>
            </w:r>
          </w:p>
        </w:tc>
        <w:tc>
          <w:tcPr>
            <w:tcW w:w="632" w:type="pct"/>
            <w:vAlign w:val="center"/>
          </w:tcPr>
          <w:p w14:paraId="7387288E">
            <w:pPr>
              <w:spacing w:line="340" w:lineRule="exact"/>
              <w:jc w:val="center"/>
              <w:rPr>
                <w:rFonts w:ascii="宋体" w:hAnsi="宋体" w:cs="宋体"/>
                <w:sz w:val="24"/>
                <w:szCs w:val="24"/>
              </w:rPr>
            </w:pPr>
            <w:r>
              <w:rPr>
                <w:rFonts w:hint="eastAsia" w:ascii="宋体" w:hAnsi="宋体" w:cs="宋体"/>
                <w:sz w:val="24"/>
                <w:szCs w:val="24"/>
              </w:rPr>
              <w:t>1-1</w:t>
            </w:r>
          </w:p>
        </w:tc>
        <w:tc>
          <w:tcPr>
            <w:tcW w:w="1596" w:type="pct"/>
            <w:vAlign w:val="center"/>
          </w:tcPr>
          <w:p w14:paraId="659D655E">
            <w:pPr>
              <w:snapToGrid w:val="0"/>
              <w:spacing w:line="400" w:lineRule="exact"/>
              <w:ind w:firstLine="480" w:firstLineChars="200"/>
              <w:outlineLvl w:val="1"/>
              <w:rPr>
                <w:rFonts w:ascii="宋体" w:hAnsi="宋体" w:cs="宋体"/>
                <w:bCs/>
                <w:sz w:val="24"/>
                <w:szCs w:val="24"/>
              </w:rPr>
            </w:pPr>
            <w:r>
              <w:rPr>
                <w:rFonts w:hint="eastAsia" w:ascii="宋体" w:hAnsi="宋体" w:cs="宋体"/>
                <w:bCs/>
                <w:sz w:val="24"/>
                <w:szCs w:val="24"/>
              </w:rPr>
              <w:t>漳州新园轻工实业有限责任公司安全生产应急指挥中心升级改造（基建部分）采购项目</w:t>
            </w:r>
          </w:p>
          <w:p w14:paraId="4C44BE91">
            <w:pPr>
              <w:jc w:val="center"/>
              <w:rPr>
                <w:rFonts w:ascii="宋体" w:hAnsi="宋体" w:cs="宋体"/>
                <w:sz w:val="24"/>
                <w:szCs w:val="24"/>
              </w:rPr>
            </w:pPr>
          </w:p>
        </w:tc>
        <w:tc>
          <w:tcPr>
            <w:tcW w:w="836" w:type="pct"/>
            <w:vAlign w:val="center"/>
          </w:tcPr>
          <w:p w14:paraId="30DCF7D4">
            <w:pPr>
              <w:spacing w:line="340" w:lineRule="exact"/>
              <w:jc w:val="center"/>
              <w:rPr>
                <w:rFonts w:ascii="宋体" w:hAnsi="宋体" w:cs="宋体"/>
                <w:sz w:val="24"/>
                <w:szCs w:val="24"/>
              </w:rPr>
            </w:pPr>
          </w:p>
        </w:tc>
        <w:tc>
          <w:tcPr>
            <w:tcW w:w="837" w:type="pct"/>
            <w:vAlign w:val="center"/>
          </w:tcPr>
          <w:p w14:paraId="2D2D4CFE">
            <w:pPr>
              <w:spacing w:line="340" w:lineRule="exact"/>
              <w:jc w:val="center"/>
              <w:rPr>
                <w:rFonts w:ascii="宋体" w:hAnsi="宋体" w:cs="宋体"/>
                <w:sz w:val="24"/>
                <w:szCs w:val="24"/>
              </w:rPr>
            </w:pPr>
          </w:p>
        </w:tc>
      </w:tr>
    </w:tbl>
    <w:p w14:paraId="67031704">
      <w:pPr>
        <w:spacing w:line="340" w:lineRule="exact"/>
        <w:rPr>
          <w:rFonts w:ascii="宋体" w:hAnsi="宋体" w:cs="宋体"/>
          <w:sz w:val="24"/>
          <w:szCs w:val="24"/>
        </w:rPr>
      </w:pPr>
    </w:p>
    <w:p w14:paraId="32113570">
      <w:pPr>
        <w:spacing w:line="340" w:lineRule="exact"/>
        <w:rPr>
          <w:rFonts w:ascii="宋体" w:hAnsi="宋体" w:cs="宋体"/>
          <w:sz w:val="24"/>
          <w:szCs w:val="24"/>
        </w:rPr>
      </w:pPr>
    </w:p>
    <w:p w14:paraId="1FB85302">
      <w:pPr>
        <w:pStyle w:val="44"/>
      </w:pPr>
      <w:r>
        <w:rPr>
          <w:rFonts w:hint="eastAsia"/>
        </w:rPr>
        <w:t>供应商：</w:t>
      </w:r>
      <w:r>
        <w:rPr>
          <w:rFonts w:hint="eastAsia"/>
          <w:u w:val="single"/>
        </w:rPr>
        <w:t>（全称并加盖单位公章）</w:t>
      </w:r>
    </w:p>
    <w:p w14:paraId="65E0C29C">
      <w:pPr>
        <w:pStyle w:val="44"/>
      </w:pPr>
      <w:r>
        <w:rPr>
          <w:rFonts w:hint="eastAsia"/>
        </w:rPr>
        <w:t>供应商代表签字：</w:t>
      </w:r>
      <w:r>
        <w:rPr>
          <w:rFonts w:hint="eastAsia"/>
          <w:u w:val="single"/>
        </w:rPr>
        <w:t>         </w:t>
      </w:r>
    </w:p>
    <w:p w14:paraId="176E64B4">
      <w:pPr>
        <w:pStyle w:val="44"/>
      </w:pPr>
      <w:r>
        <w:rPr>
          <w:rFonts w:hint="eastAsia"/>
        </w:rPr>
        <w:t>日期：</w:t>
      </w:r>
      <w:r>
        <w:rPr>
          <w:rFonts w:hint="eastAsia"/>
          <w:u w:val="single"/>
        </w:rPr>
        <w:t>    </w:t>
      </w:r>
      <w:r>
        <w:rPr>
          <w:rFonts w:hint="eastAsia"/>
        </w:rPr>
        <w:t>年</w:t>
      </w:r>
      <w:r>
        <w:rPr>
          <w:rFonts w:hint="eastAsia"/>
          <w:u w:val="single"/>
        </w:rPr>
        <w:t>   </w:t>
      </w:r>
      <w:r>
        <w:rPr>
          <w:rFonts w:hint="eastAsia"/>
        </w:rPr>
        <w:t>月</w:t>
      </w:r>
      <w:r>
        <w:rPr>
          <w:rFonts w:hint="eastAsia"/>
          <w:u w:val="single"/>
        </w:rPr>
        <w:t>   </w:t>
      </w:r>
      <w:r>
        <w:rPr>
          <w:rFonts w:hint="eastAsia"/>
        </w:rPr>
        <w:t>日</w:t>
      </w:r>
    </w:p>
    <w:p w14:paraId="28198CF1">
      <w:pPr>
        <w:spacing w:line="360" w:lineRule="auto"/>
        <w:rPr>
          <w:rFonts w:ascii="宋体" w:hAnsi="宋体" w:cs="宋体"/>
          <w:sz w:val="24"/>
          <w:szCs w:val="24"/>
          <w:u w:val="single"/>
        </w:rPr>
      </w:pPr>
    </w:p>
    <w:p w14:paraId="75DAB63F">
      <w:pPr>
        <w:spacing w:line="360" w:lineRule="auto"/>
        <w:outlineLvl w:val="0"/>
        <w:rPr>
          <w:rFonts w:ascii="宋体" w:hAnsi="宋体" w:cs="宋体"/>
          <w:sz w:val="24"/>
          <w:szCs w:val="24"/>
          <w:u w:val="single"/>
        </w:rPr>
      </w:pPr>
      <w:r>
        <w:rPr>
          <w:rFonts w:hint="eastAsia" w:ascii="宋体" w:hAnsi="宋体" w:cs="宋体"/>
          <w:sz w:val="24"/>
          <w:szCs w:val="24"/>
          <w:u w:val="single"/>
        </w:rPr>
        <w:br w:type="page"/>
      </w:r>
    </w:p>
    <w:p w14:paraId="5338FD8D">
      <w:pPr>
        <w:spacing w:line="240" w:lineRule="auto"/>
        <w:jc w:val="center"/>
        <w:rPr>
          <w:rFonts w:ascii="宋体" w:hAnsi="宋体" w:cs="宋体"/>
          <w:bCs/>
          <w:sz w:val="24"/>
          <w:szCs w:val="24"/>
        </w:rPr>
      </w:pPr>
      <w:bookmarkStart w:id="206" w:name="_Toc30148"/>
      <w:bookmarkStart w:id="207" w:name="_Toc17808_WPSOffice_Level3"/>
      <w:bookmarkStart w:id="208" w:name="_Toc28045_WPSOffice_Level3"/>
      <w:r>
        <w:rPr>
          <w:rFonts w:ascii="宋体" w:hAnsi="宋体" w:cs="宋体"/>
          <w:bCs/>
          <w:sz w:val="24"/>
          <w:szCs w:val="24"/>
        </w:rPr>
        <w:t>主要设备清单</w:t>
      </w:r>
    </w:p>
    <w:tbl>
      <w:tblPr>
        <w:tblStyle w:val="49"/>
        <w:tblW w:w="92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4"/>
        <w:gridCol w:w="1656"/>
        <w:gridCol w:w="1668"/>
        <w:gridCol w:w="2820"/>
        <w:gridCol w:w="1239"/>
        <w:gridCol w:w="992"/>
      </w:tblGrid>
      <w:tr w14:paraId="68FBB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34" w:type="dxa"/>
            <w:vAlign w:val="center"/>
          </w:tcPr>
          <w:p w14:paraId="0D6AAC4C">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序号</w:t>
            </w:r>
          </w:p>
        </w:tc>
        <w:tc>
          <w:tcPr>
            <w:tcW w:w="1656" w:type="dxa"/>
            <w:vAlign w:val="center"/>
          </w:tcPr>
          <w:p w14:paraId="2D1A601C">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项目编码</w:t>
            </w:r>
          </w:p>
        </w:tc>
        <w:tc>
          <w:tcPr>
            <w:tcW w:w="1668" w:type="dxa"/>
            <w:vAlign w:val="center"/>
          </w:tcPr>
          <w:p w14:paraId="5BA3FBA0">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项目名称</w:t>
            </w:r>
          </w:p>
        </w:tc>
        <w:tc>
          <w:tcPr>
            <w:tcW w:w="2820" w:type="dxa"/>
            <w:vAlign w:val="center"/>
          </w:tcPr>
          <w:p w14:paraId="2FAA6C22">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品牌</w:t>
            </w:r>
          </w:p>
        </w:tc>
        <w:tc>
          <w:tcPr>
            <w:tcW w:w="1239" w:type="dxa"/>
            <w:vAlign w:val="center"/>
          </w:tcPr>
          <w:p w14:paraId="37322449">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型号</w:t>
            </w:r>
          </w:p>
        </w:tc>
        <w:tc>
          <w:tcPr>
            <w:tcW w:w="992" w:type="dxa"/>
            <w:vAlign w:val="center"/>
          </w:tcPr>
          <w:p w14:paraId="35613389">
            <w:pPr>
              <w:widowControl/>
              <w:jc w:val="center"/>
              <w:rPr>
                <w:rFonts w:cs="Arial" w:asciiTheme="majorEastAsia" w:hAnsiTheme="majorEastAsia" w:eastAsiaTheme="majorEastAsia"/>
                <w:kern w:val="0"/>
                <w:sz w:val="24"/>
                <w:szCs w:val="24"/>
              </w:rPr>
            </w:pPr>
          </w:p>
        </w:tc>
      </w:tr>
      <w:tr w14:paraId="61612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9209" w:type="dxa"/>
            <w:gridSpan w:val="6"/>
            <w:vAlign w:val="center"/>
          </w:tcPr>
          <w:p w14:paraId="52F48750">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家具</w:t>
            </w:r>
          </w:p>
        </w:tc>
      </w:tr>
      <w:tr w14:paraId="6219CA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34" w:type="dxa"/>
            <w:vAlign w:val="center"/>
          </w:tcPr>
          <w:p w14:paraId="78D462EA">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1</w:t>
            </w:r>
          </w:p>
        </w:tc>
        <w:tc>
          <w:tcPr>
            <w:tcW w:w="1656" w:type="dxa"/>
            <w:vAlign w:val="center"/>
          </w:tcPr>
          <w:p w14:paraId="3C396142">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01BC002</w:t>
            </w:r>
          </w:p>
        </w:tc>
        <w:tc>
          <w:tcPr>
            <w:tcW w:w="1668" w:type="dxa"/>
            <w:vAlign w:val="center"/>
          </w:tcPr>
          <w:p w14:paraId="72E592F6">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会议桌</w:t>
            </w:r>
          </w:p>
        </w:tc>
        <w:tc>
          <w:tcPr>
            <w:tcW w:w="2820" w:type="dxa"/>
            <w:noWrap/>
            <w:vAlign w:val="center"/>
          </w:tcPr>
          <w:p w14:paraId="2DE9BD93">
            <w:pPr>
              <w:widowControl/>
              <w:jc w:val="center"/>
              <w:rPr>
                <w:rFonts w:cs="Arial" w:asciiTheme="majorEastAsia" w:hAnsiTheme="majorEastAsia" w:eastAsiaTheme="majorEastAsia"/>
                <w:kern w:val="0"/>
                <w:sz w:val="24"/>
                <w:szCs w:val="24"/>
              </w:rPr>
            </w:pPr>
          </w:p>
        </w:tc>
        <w:tc>
          <w:tcPr>
            <w:tcW w:w="1239" w:type="dxa"/>
            <w:vAlign w:val="center"/>
          </w:tcPr>
          <w:p w14:paraId="4EBC0015">
            <w:pPr>
              <w:widowControl/>
              <w:jc w:val="center"/>
              <w:rPr>
                <w:rFonts w:cs="Arial" w:asciiTheme="majorEastAsia" w:hAnsiTheme="majorEastAsia" w:eastAsiaTheme="majorEastAsia"/>
                <w:kern w:val="0"/>
                <w:sz w:val="24"/>
                <w:szCs w:val="24"/>
              </w:rPr>
            </w:pPr>
          </w:p>
        </w:tc>
        <w:tc>
          <w:tcPr>
            <w:tcW w:w="992" w:type="dxa"/>
            <w:vAlign w:val="center"/>
          </w:tcPr>
          <w:p w14:paraId="3153C5D2">
            <w:pPr>
              <w:widowControl/>
              <w:jc w:val="right"/>
              <w:rPr>
                <w:rFonts w:cs="Arial" w:asciiTheme="majorEastAsia" w:hAnsiTheme="majorEastAsia" w:eastAsiaTheme="majorEastAsia"/>
                <w:kern w:val="0"/>
                <w:sz w:val="24"/>
                <w:szCs w:val="24"/>
              </w:rPr>
            </w:pPr>
          </w:p>
        </w:tc>
      </w:tr>
      <w:tr w14:paraId="2285E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34" w:type="dxa"/>
            <w:vAlign w:val="center"/>
          </w:tcPr>
          <w:p w14:paraId="61C5E614">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2</w:t>
            </w:r>
          </w:p>
        </w:tc>
        <w:tc>
          <w:tcPr>
            <w:tcW w:w="1656" w:type="dxa"/>
            <w:vAlign w:val="center"/>
          </w:tcPr>
          <w:p w14:paraId="4677929C">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01BC004</w:t>
            </w:r>
          </w:p>
        </w:tc>
        <w:tc>
          <w:tcPr>
            <w:tcW w:w="1668" w:type="dxa"/>
            <w:vAlign w:val="center"/>
          </w:tcPr>
          <w:p w14:paraId="5677EAEB">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桌子</w:t>
            </w:r>
          </w:p>
        </w:tc>
        <w:tc>
          <w:tcPr>
            <w:tcW w:w="2820" w:type="dxa"/>
            <w:noWrap/>
            <w:vAlign w:val="center"/>
          </w:tcPr>
          <w:p w14:paraId="2DF05D98">
            <w:pPr>
              <w:widowControl/>
              <w:jc w:val="center"/>
              <w:rPr>
                <w:rFonts w:cs="Arial" w:asciiTheme="majorEastAsia" w:hAnsiTheme="majorEastAsia" w:eastAsiaTheme="majorEastAsia"/>
                <w:kern w:val="0"/>
                <w:sz w:val="24"/>
                <w:szCs w:val="24"/>
              </w:rPr>
            </w:pPr>
          </w:p>
        </w:tc>
        <w:tc>
          <w:tcPr>
            <w:tcW w:w="1239" w:type="dxa"/>
            <w:vAlign w:val="center"/>
          </w:tcPr>
          <w:p w14:paraId="7C4B35FA">
            <w:pPr>
              <w:widowControl/>
              <w:jc w:val="center"/>
              <w:rPr>
                <w:rFonts w:cs="Arial" w:asciiTheme="majorEastAsia" w:hAnsiTheme="majorEastAsia" w:eastAsiaTheme="majorEastAsia"/>
                <w:kern w:val="0"/>
                <w:sz w:val="24"/>
                <w:szCs w:val="24"/>
              </w:rPr>
            </w:pPr>
          </w:p>
        </w:tc>
        <w:tc>
          <w:tcPr>
            <w:tcW w:w="992" w:type="dxa"/>
            <w:vAlign w:val="center"/>
          </w:tcPr>
          <w:p w14:paraId="02278B7A">
            <w:pPr>
              <w:widowControl/>
              <w:jc w:val="right"/>
              <w:rPr>
                <w:rFonts w:cs="Arial" w:asciiTheme="majorEastAsia" w:hAnsiTheme="majorEastAsia" w:eastAsiaTheme="majorEastAsia"/>
                <w:kern w:val="0"/>
                <w:sz w:val="24"/>
                <w:szCs w:val="24"/>
              </w:rPr>
            </w:pPr>
          </w:p>
        </w:tc>
      </w:tr>
      <w:tr w14:paraId="3845E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34" w:type="dxa"/>
            <w:vAlign w:val="center"/>
          </w:tcPr>
          <w:p w14:paraId="699510FD">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3</w:t>
            </w:r>
          </w:p>
        </w:tc>
        <w:tc>
          <w:tcPr>
            <w:tcW w:w="1656" w:type="dxa"/>
            <w:vAlign w:val="center"/>
          </w:tcPr>
          <w:p w14:paraId="715E5C64">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01BC007</w:t>
            </w:r>
          </w:p>
        </w:tc>
        <w:tc>
          <w:tcPr>
            <w:tcW w:w="1668" w:type="dxa"/>
            <w:vAlign w:val="center"/>
          </w:tcPr>
          <w:p w14:paraId="5ED056EC">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会议桌</w:t>
            </w:r>
          </w:p>
        </w:tc>
        <w:tc>
          <w:tcPr>
            <w:tcW w:w="2820" w:type="dxa"/>
            <w:noWrap/>
            <w:vAlign w:val="center"/>
          </w:tcPr>
          <w:p w14:paraId="495024A0">
            <w:pPr>
              <w:widowControl/>
              <w:jc w:val="center"/>
              <w:rPr>
                <w:rFonts w:cs="Arial" w:asciiTheme="majorEastAsia" w:hAnsiTheme="majorEastAsia" w:eastAsiaTheme="majorEastAsia"/>
                <w:kern w:val="0"/>
                <w:sz w:val="24"/>
                <w:szCs w:val="24"/>
              </w:rPr>
            </w:pPr>
          </w:p>
        </w:tc>
        <w:tc>
          <w:tcPr>
            <w:tcW w:w="1239" w:type="dxa"/>
            <w:vAlign w:val="center"/>
          </w:tcPr>
          <w:p w14:paraId="582B405E">
            <w:pPr>
              <w:widowControl/>
              <w:jc w:val="center"/>
              <w:rPr>
                <w:rFonts w:cs="Arial" w:asciiTheme="majorEastAsia" w:hAnsiTheme="majorEastAsia" w:eastAsiaTheme="majorEastAsia"/>
                <w:kern w:val="0"/>
                <w:sz w:val="24"/>
                <w:szCs w:val="24"/>
              </w:rPr>
            </w:pPr>
          </w:p>
        </w:tc>
        <w:tc>
          <w:tcPr>
            <w:tcW w:w="992" w:type="dxa"/>
            <w:vAlign w:val="center"/>
          </w:tcPr>
          <w:p w14:paraId="07C420D3">
            <w:pPr>
              <w:widowControl/>
              <w:jc w:val="right"/>
              <w:rPr>
                <w:rFonts w:cs="Arial" w:asciiTheme="majorEastAsia" w:hAnsiTheme="majorEastAsia" w:eastAsiaTheme="majorEastAsia"/>
                <w:kern w:val="0"/>
                <w:sz w:val="24"/>
                <w:szCs w:val="24"/>
              </w:rPr>
            </w:pPr>
          </w:p>
        </w:tc>
      </w:tr>
      <w:tr w14:paraId="2F8632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34" w:type="dxa"/>
            <w:vAlign w:val="center"/>
          </w:tcPr>
          <w:p w14:paraId="66DC7861">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4</w:t>
            </w:r>
          </w:p>
        </w:tc>
        <w:tc>
          <w:tcPr>
            <w:tcW w:w="1656" w:type="dxa"/>
            <w:vAlign w:val="center"/>
          </w:tcPr>
          <w:p w14:paraId="463C475E">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01BC024</w:t>
            </w:r>
          </w:p>
        </w:tc>
        <w:tc>
          <w:tcPr>
            <w:tcW w:w="1668" w:type="dxa"/>
            <w:vAlign w:val="center"/>
          </w:tcPr>
          <w:p w14:paraId="48E4546A">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开水机</w:t>
            </w:r>
          </w:p>
        </w:tc>
        <w:tc>
          <w:tcPr>
            <w:tcW w:w="2820" w:type="dxa"/>
            <w:noWrap/>
            <w:vAlign w:val="center"/>
          </w:tcPr>
          <w:p w14:paraId="5DA97F41">
            <w:pPr>
              <w:widowControl/>
              <w:jc w:val="center"/>
              <w:rPr>
                <w:rFonts w:cs="Arial" w:asciiTheme="majorEastAsia" w:hAnsiTheme="majorEastAsia" w:eastAsiaTheme="majorEastAsia"/>
                <w:kern w:val="0"/>
                <w:sz w:val="24"/>
                <w:szCs w:val="24"/>
              </w:rPr>
            </w:pPr>
          </w:p>
        </w:tc>
        <w:tc>
          <w:tcPr>
            <w:tcW w:w="1239" w:type="dxa"/>
            <w:vAlign w:val="center"/>
          </w:tcPr>
          <w:p w14:paraId="277C0E63">
            <w:pPr>
              <w:widowControl/>
              <w:jc w:val="center"/>
              <w:rPr>
                <w:rFonts w:cs="Arial" w:asciiTheme="majorEastAsia" w:hAnsiTheme="majorEastAsia" w:eastAsiaTheme="majorEastAsia"/>
                <w:kern w:val="0"/>
                <w:sz w:val="24"/>
                <w:szCs w:val="24"/>
              </w:rPr>
            </w:pPr>
          </w:p>
        </w:tc>
        <w:tc>
          <w:tcPr>
            <w:tcW w:w="992" w:type="dxa"/>
            <w:vAlign w:val="center"/>
          </w:tcPr>
          <w:p w14:paraId="61793E7D">
            <w:pPr>
              <w:widowControl/>
              <w:jc w:val="right"/>
              <w:rPr>
                <w:rFonts w:cs="Arial" w:asciiTheme="majorEastAsia" w:hAnsiTheme="majorEastAsia" w:eastAsiaTheme="majorEastAsia"/>
                <w:kern w:val="0"/>
                <w:sz w:val="24"/>
                <w:szCs w:val="24"/>
              </w:rPr>
            </w:pPr>
          </w:p>
        </w:tc>
      </w:tr>
      <w:tr w14:paraId="1BE1A7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9209" w:type="dxa"/>
            <w:gridSpan w:val="6"/>
            <w:vAlign w:val="center"/>
          </w:tcPr>
          <w:p w14:paraId="051DF0DE">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强电工程</w:t>
            </w:r>
          </w:p>
        </w:tc>
      </w:tr>
      <w:tr w14:paraId="18966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34" w:type="dxa"/>
            <w:vAlign w:val="center"/>
          </w:tcPr>
          <w:p w14:paraId="2D6B0E0A">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5</w:t>
            </w:r>
          </w:p>
        </w:tc>
        <w:tc>
          <w:tcPr>
            <w:tcW w:w="1656" w:type="dxa"/>
            <w:vAlign w:val="center"/>
          </w:tcPr>
          <w:p w14:paraId="71ECFB75">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030404017001</w:t>
            </w:r>
          </w:p>
        </w:tc>
        <w:tc>
          <w:tcPr>
            <w:tcW w:w="1668" w:type="dxa"/>
            <w:vAlign w:val="center"/>
          </w:tcPr>
          <w:p w14:paraId="2256779E">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配电箱</w:t>
            </w:r>
          </w:p>
        </w:tc>
        <w:tc>
          <w:tcPr>
            <w:tcW w:w="2820" w:type="dxa"/>
            <w:noWrap/>
            <w:vAlign w:val="center"/>
          </w:tcPr>
          <w:p w14:paraId="22DA742A">
            <w:pPr>
              <w:widowControl/>
              <w:jc w:val="center"/>
              <w:rPr>
                <w:rFonts w:cs="Arial" w:asciiTheme="majorEastAsia" w:hAnsiTheme="majorEastAsia" w:eastAsiaTheme="majorEastAsia"/>
                <w:kern w:val="0"/>
                <w:sz w:val="24"/>
                <w:szCs w:val="24"/>
              </w:rPr>
            </w:pPr>
          </w:p>
        </w:tc>
        <w:tc>
          <w:tcPr>
            <w:tcW w:w="1239" w:type="dxa"/>
            <w:vAlign w:val="center"/>
          </w:tcPr>
          <w:p w14:paraId="23B40B4A">
            <w:pPr>
              <w:widowControl/>
              <w:jc w:val="center"/>
              <w:rPr>
                <w:rFonts w:cs="Arial" w:asciiTheme="majorEastAsia" w:hAnsiTheme="majorEastAsia" w:eastAsiaTheme="majorEastAsia"/>
                <w:kern w:val="0"/>
                <w:sz w:val="24"/>
                <w:szCs w:val="24"/>
              </w:rPr>
            </w:pPr>
          </w:p>
        </w:tc>
        <w:tc>
          <w:tcPr>
            <w:tcW w:w="992" w:type="dxa"/>
            <w:vAlign w:val="center"/>
          </w:tcPr>
          <w:p w14:paraId="484782F1">
            <w:pPr>
              <w:widowControl/>
              <w:jc w:val="right"/>
              <w:rPr>
                <w:rFonts w:cs="Arial" w:asciiTheme="majorEastAsia" w:hAnsiTheme="majorEastAsia" w:eastAsiaTheme="majorEastAsia"/>
                <w:kern w:val="0"/>
                <w:sz w:val="24"/>
                <w:szCs w:val="24"/>
              </w:rPr>
            </w:pPr>
          </w:p>
        </w:tc>
      </w:tr>
      <w:tr w14:paraId="473A3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34" w:type="dxa"/>
            <w:vAlign w:val="center"/>
          </w:tcPr>
          <w:p w14:paraId="7FFA2977">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6</w:t>
            </w:r>
          </w:p>
        </w:tc>
        <w:tc>
          <w:tcPr>
            <w:tcW w:w="1656" w:type="dxa"/>
            <w:vAlign w:val="center"/>
          </w:tcPr>
          <w:p w14:paraId="3EFFF02A">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030404017002</w:t>
            </w:r>
          </w:p>
        </w:tc>
        <w:tc>
          <w:tcPr>
            <w:tcW w:w="1668" w:type="dxa"/>
            <w:vAlign w:val="center"/>
          </w:tcPr>
          <w:p w14:paraId="7D411702">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配电箱</w:t>
            </w:r>
          </w:p>
        </w:tc>
        <w:tc>
          <w:tcPr>
            <w:tcW w:w="2820" w:type="dxa"/>
            <w:noWrap/>
            <w:vAlign w:val="center"/>
          </w:tcPr>
          <w:p w14:paraId="02BF39A2">
            <w:pPr>
              <w:widowControl/>
              <w:jc w:val="center"/>
              <w:rPr>
                <w:rFonts w:cs="Arial" w:asciiTheme="majorEastAsia" w:hAnsiTheme="majorEastAsia" w:eastAsiaTheme="majorEastAsia"/>
                <w:kern w:val="0"/>
                <w:sz w:val="24"/>
                <w:szCs w:val="24"/>
              </w:rPr>
            </w:pPr>
          </w:p>
        </w:tc>
        <w:tc>
          <w:tcPr>
            <w:tcW w:w="1239" w:type="dxa"/>
            <w:vAlign w:val="center"/>
          </w:tcPr>
          <w:p w14:paraId="686B6ED0">
            <w:pPr>
              <w:widowControl/>
              <w:jc w:val="center"/>
              <w:rPr>
                <w:rFonts w:cs="Arial" w:asciiTheme="majorEastAsia" w:hAnsiTheme="majorEastAsia" w:eastAsiaTheme="majorEastAsia"/>
                <w:kern w:val="0"/>
                <w:sz w:val="24"/>
                <w:szCs w:val="24"/>
              </w:rPr>
            </w:pPr>
          </w:p>
        </w:tc>
        <w:tc>
          <w:tcPr>
            <w:tcW w:w="992" w:type="dxa"/>
            <w:vAlign w:val="center"/>
          </w:tcPr>
          <w:p w14:paraId="7A1B6713">
            <w:pPr>
              <w:widowControl/>
              <w:jc w:val="right"/>
              <w:rPr>
                <w:rFonts w:cs="Arial" w:asciiTheme="majorEastAsia" w:hAnsiTheme="majorEastAsia" w:eastAsiaTheme="majorEastAsia"/>
                <w:kern w:val="0"/>
                <w:sz w:val="24"/>
                <w:szCs w:val="24"/>
              </w:rPr>
            </w:pPr>
          </w:p>
        </w:tc>
      </w:tr>
      <w:tr w14:paraId="526AD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34" w:type="dxa"/>
            <w:vAlign w:val="center"/>
          </w:tcPr>
          <w:p w14:paraId="430F544A">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7</w:t>
            </w:r>
          </w:p>
        </w:tc>
        <w:tc>
          <w:tcPr>
            <w:tcW w:w="1656" w:type="dxa"/>
            <w:vAlign w:val="center"/>
          </w:tcPr>
          <w:p w14:paraId="30641A61">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030404017003</w:t>
            </w:r>
          </w:p>
        </w:tc>
        <w:tc>
          <w:tcPr>
            <w:tcW w:w="1668" w:type="dxa"/>
            <w:vAlign w:val="center"/>
          </w:tcPr>
          <w:p w14:paraId="1F81AB36">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配电箱</w:t>
            </w:r>
          </w:p>
        </w:tc>
        <w:tc>
          <w:tcPr>
            <w:tcW w:w="2820" w:type="dxa"/>
            <w:noWrap/>
            <w:vAlign w:val="center"/>
          </w:tcPr>
          <w:p w14:paraId="42D5BAAD">
            <w:pPr>
              <w:widowControl/>
              <w:jc w:val="center"/>
              <w:rPr>
                <w:rFonts w:cs="Arial" w:asciiTheme="majorEastAsia" w:hAnsiTheme="majorEastAsia" w:eastAsiaTheme="majorEastAsia"/>
                <w:kern w:val="0"/>
                <w:sz w:val="24"/>
                <w:szCs w:val="24"/>
              </w:rPr>
            </w:pPr>
          </w:p>
        </w:tc>
        <w:tc>
          <w:tcPr>
            <w:tcW w:w="1239" w:type="dxa"/>
            <w:vAlign w:val="center"/>
          </w:tcPr>
          <w:p w14:paraId="03799C7D">
            <w:pPr>
              <w:widowControl/>
              <w:jc w:val="center"/>
              <w:rPr>
                <w:rFonts w:cs="Arial" w:asciiTheme="majorEastAsia" w:hAnsiTheme="majorEastAsia" w:eastAsiaTheme="majorEastAsia"/>
                <w:kern w:val="0"/>
                <w:sz w:val="24"/>
                <w:szCs w:val="24"/>
              </w:rPr>
            </w:pPr>
          </w:p>
        </w:tc>
        <w:tc>
          <w:tcPr>
            <w:tcW w:w="992" w:type="dxa"/>
            <w:vAlign w:val="center"/>
          </w:tcPr>
          <w:p w14:paraId="2FA6A0FF">
            <w:pPr>
              <w:widowControl/>
              <w:jc w:val="right"/>
              <w:rPr>
                <w:rFonts w:cs="Arial" w:asciiTheme="majorEastAsia" w:hAnsiTheme="majorEastAsia" w:eastAsiaTheme="majorEastAsia"/>
                <w:kern w:val="0"/>
                <w:sz w:val="24"/>
                <w:szCs w:val="24"/>
              </w:rPr>
            </w:pPr>
          </w:p>
        </w:tc>
      </w:tr>
      <w:tr w14:paraId="785B2E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9209" w:type="dxa"/>
            <w:gridSpan w:val="6"/>
            <w:vAlign w:val="center"/>
          </w:tcPr>
          <w:p w14:paraId="46E64063">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应急照明</w:t>
            </w:r>
          </w:p>
        </w:tc>
      </w:tr>
      <w:tr w14:paraId="4A555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34" w:type="dxa"/>
            <w:vAlign w:val="center"/>
          </w:tcPr>
          <w:p w14:paraId="12613595">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8</w:t>
            </w:r>
          </w:p>
        </w:tc>
        <w:tc>
          <w:tcPr>
            <w:tcW w:w="1656" w:type="dxa"/>
            <w:vAlign w:val="center"/>
          </w:tcPr>
          <w:p w14:paraId="247F3013">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030404017004</w:t>
            </w:r>
          </w:p>
        </w:tc>
        <w:tc>
          <w:tcPr>
            <w:tcW w:w="1668" w:type="dxa"/>
            <w:vAlign w:val="center"/>
          </w:tcPr>
          <w:p w14:paraId="4A6ACDBF">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配电箱</w:t>
            </w:r>
          </w:p>
        </w:tc>
        <w:tc>
          <w:tcPr>
            <w:tcW w:w="2820" w:type="dxa"/>
            <w:noWrap/>
            <w:vAlign w:val="center"/>
          </w:tcPr>
          <w:p w14:paraId="60CD11DB">
            <w:pPr>
              <w:widowControl/>
              <w:jc w:val="center"/>
              <w:rPr>
                <w:rFonts w:cs="Arial" w:asciiTheme="majorEastAsia" w:hAnsiTheme="majorEastAsia" w:eastAsiaTheme="majorEastAsia"/>
                <w:kern w:val="0"/>
                <w:sz w:val="24"/>
                <w:szCs w:val="24"/>
              </w:rPr>
            </w:pPr>
          </w:p>
        </w:tc>
        <w:tc>
          <w:tcPr>
            <w:tcW w:w="1239" w:type="dxa"/>
            <w:vAlign w:val="center"/>
          </w:tcPr>
          <w:p w14:paraId="6BA37344">
            <w:pPr>
              <w:widowControl/>
              <w:jc w:val="center"/>
              <w:rPr>
                <w:rFonts w:cs="Arial" w:asciiTheme="majorEastAsia" w:hAnsiTheme="majorEastAsia" w:eastAsiaTheme="majorEastAsia"/>
                <w:kern w:val="0"/>
                <w:sz w:val="24"/>
                <w:szCs w:val="24"/>
              </w:rPr>
            </w:pPr>
          </w:p>
        </w:tc>
        <w:tc>
          <w:tcPr>
            <w:tcW w:w="992" w:type="dxa"/>
            <w:vAlign w:val="center"/>
          </w:tcPr>
          <w:p w14:paraId="66CE4A0C">
            <w:pPr>
              <w:widowControl/>
              <w:jc w:val="right"/>
              <w:rPr>
                <w:rFonts w:cs="Arial" w:asciiTheme="majorEastAsia" w:hAnsiTheme="majorEastAsia" w:eastAsiaTheme="majorEastAsia"/>
                <w:kern w:val="0"/>
                <w:sz w:val="24"/>
                <w:szCs w:val="24"/>
              </w:rPr>
            </w:pPr>
          </w:p>
        </w:tc>
      </w:tr>
      <w:tr w14:paraId="6F3B9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9209" w:type="dxa"/>
            <w:gridSpan w:val="6"/>
            <w:vAlign w:val="center"/>
          </w:tcPr>
          <w:p w14:paraId="045F6873">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通风空调</w:t>
            </w:r>
          </w:p>
        </w:tc>
      </w:tr>
      <w:tr w14:paraId="4FAC61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34" w:type="dxa"/>
            <w:vAlign w:val="center"/>
          </w:tcPr>
          <w:p w14:paraId="48FA4FC3">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9</w:t>
            </w:r>
          </w:p>
        </w:tc>
        <w:tc>
          <w:tcPr>
            <w:tcW w:w="1656" w:type="dxa"/>
            <w:vAlign w:val="center"/>
          </w:tcPr>
          <w:p w14:paraId="0CC1B70D">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030701003001</w:t>
            </w:r>
          </w:p>
        </w:tc>
        <w:tc>
          <w:tcPr>
            <w:tcW w:w="1668" w:type="dxa"/>
            <w:vAlign w:val="center"/>
          </w:tcPr>
          <w:p w14:paraId="703B8BA9">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空调器</w:t>
            </w:r>
          </w:p>
        </w:tc>
        <w:tc>
          <w:tcPr>
            <w:tcW w:w="2820" w:type="dxa"/>
            <w:noWrap/>
            <w:vAlign w:val="center"/>
          </w:tcPr>
          <w:p w14:paraId="1973B519">
            <w:pPr>
              <w:widowControl/>
              <w:jc w:val="center"/>
              <w:rPr>
                <w:rFonts w:cs="Arial" w:asciiTheme="majorEastAsia" w:hAnsiTheme="majorEastAsia" w:eastAsiaTheme="majorEastAsia"/>
                <w:kern w:val="0"/>
                <w:sz w:val="24"/>
                <w:szCs w:val="24"/>
              </w:rPr>
            </w:pPr>
          </w:p>
        </w:tc>
        <w:tc>
          <w:tcPr>
            <w:tcW w:w="1239" w:type="dxa"/>
            <w:vAlign w:val="center"/>
          </w:tcPr>
          <w:p w14:paraId="285D9F12">
            <w:pPr>
              <w:widowControl/>
              <w:jc w:val="center"/>
              <w:rPr>
                <w:rFonts w:cs="Arial" w:asciiTheme="majorEastAsia" w:hAnsiTheme="majorEastAsia" w:eastAsiaTheme="majorEastAsia"/>
                <w:kern w:val="0"/>
                <w:sz w:val="24"/>
                <w:szCs w:val="24"/>
              </w:rPr>
            </w:pPr>
          </w:p>
        </w:tc>
        <w:tc>
          <w:tcPr>
            <w:tcW w:w="992" w:type="dxa"/>
            <w:vAlign w:val="center"/>
          </w:tcPr>
          <w:p w14:paraId="7E1836A1">
            <w:pPr>
              <w:widowControl/>
              <w:jc w:val="right"/>
              <w:rPr>
                <w:rFonts w:cs="Arial" w:asciiTheme="majorEastAsia" w:hAnsiTheme="majorEastAsia" w:eastAsiaTheme="majorEastAsia"/>
                <w:kern w:val="0"/>
                <w:sz w:val="24"/>
                <w:szCs w:val="24"/>
              </w:rPr>
            </w:pPr>
          </w:p>
        </w:tc>
      </w:tr>
      <w:tr w14:paraId="7F5411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34" w:type="dxa"/>
            <w:vAlign w:val="center"/>
          </w:tcPr>
          <w:p w14:paraId="20A527A5">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10</w:t>
            </w:r>
          </w:p>
        </w:tc>
        <w:tc>
          <w:tcPr>
            <w:tcW w:w="1656" w:type="dxa"/>
            <w:vAlign w:val="center"/>
          </w:tcPr>
          <w:p w14:paraId="57148564">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030701003002</w:t>
            </w:r>
          </w:p>
        </w:tc>
        <w:tc>
          <w:tcPr>
            <w:tcW w:w="1668" w:type="dxa"/>
            <w:vAlign w:val="center"/>
          </w:tcPr>
          <w:p w14:paraId="437B69E5">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空调器</w:t>
            </w:r>
          </w:p>
        </w:tc>
        <w:tc>
          <w:tcPr>
            <w:tcW w:w="2820" w:type="dxa"/>
            <w:noWrap/>
            <w:vAlign w:val="center"/>
          </w:tcPr>
          <w:p w14:paraId="1E1668F6">
            <w:pPr>
              <w:widowControl/>
              <w:jc w:val="center"/>
              <w:rPr>
                <w:rFonts w:cs="Arial" w:asciiTheme="majorEastAsia" w:hAnsiTheme="majorEastAsia" w:eastAsiaTheme="majorEastAsia"/>
                <w:kern w:val="0"/>
                <w:sz w:val="24"/>
                <w:szCs w:val="24"/>
              </w:rPr>
            </w:pPr>
          </w:p>
        </w:tc>
        <w:tc>
          <w:tcPr>
            <w:tcW w:w="1239" w:type="dxa"/>
            <w:vAlign w:val="center"/>
          </w:tcPr>
          <w:p w14:paraId="7420E124">
            <w:pPr>
              <w:widowControl/>
              <w:jc w:val="center"/>
              <w:rPr>
                <w:rFonts w:cs="Arial" w:asciiTheme="majorEastAsia" w:hAnsiTheme="majorEastAsia" w:eastAsiaTheme="majorEastAsia"/>
                <w:kern w:val="0"/>
                <w:sz w:val="24"/>
                <w:szCs w:val="24"/>
              </w:rPr>
            </w:pPr>
          </w:p>
        </w:tc>
        <w:tc>
          <w:tcPr>
            <w:tcW w:w="992" w:type="dxa"/>
            <w:vAlign w:val="center"/>
          </w:tcPr>
          <w:p w14:paraId="702091E7">
            <w:pPr>
              <w:widowControl/>
              <w:jc w:val="right"/>
              <w:rPr>
                <w:rFonts w:cs="Arial" w:asciiTheme="majorEastAsia" w:hAnsiTheme="majorEastAsia" w:eastAsiaTheme="majorEastAsia"/>
                <w:kern w:val="0"/>
                <w:sz w:val="24"/>
                <w:szCs w:val="24"/>
              </w:rPr>
            </w:pPr>
          </w:p>
        </w:tc>
      </w:tr>
      <w:tr w14:paraId="5EFF1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34" w:type="dxa"/>
            <w:vAlign w:val="center"/>
          </w:tcPr>
          <w:p w14:paraId="36F14BB1">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11</w:t>
            </w:r>
          </w:p>
        </w:tc>
        <w:tc>
          <w:tcPr>
            <w:tcW w:w="1656" w:type="dxa"/>
            <w:vAlign w:val="center"/>
          </w:tcPr>
          <w:p w14:paraId="3A585B96">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030701003003</w:t>
            </w:r>
          </w:p>
        </w:tc>
        <w:tc>
          <w:tcPr>
            <w:tcW w:w="1668" w:type="dxa"/>
            <w:vAlign w:val="center"/>
          </w:tcPr>
          <w:p w14:paraId="0711527F">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空调器</w:t>
            </w:r>
          </w:p>
        </w:tc>
        <w:tc>
          <w:tcPr>
            <w:tcW w:w="2820" w:type="dxa"/>
            <w:noWrap/>
            <w:vAlign w:val="center"/>
          </w:tcPr>
          <w:p w14:paraId="3B3A67B7">
            <w:pPr>
              <w:widowControl/>
              <w:jc w:val="center"/>
              <w:rPr>
                <w:rFonts w:cs="Arial" w:asciiTheme="majorEastAsia" w:hAnsiTheme="majorEastAsia" w:eastAsiaTheme="majorEastAsia"/>
                <w:kern w:val="0"/>
                <w:sz w:val="24"/>
                <w:szCs w:val="24"/>
              </w:rPr>
            </w:pPr>
          </w:p>
        </w:tc>
        <w:tc>
          <w:tcPr>
            <w:tcW w:w="1239" w:type="dxa"/>
            <w:vAlign w:val="center"/>
          </w:tcPr>
          <w:p w14:paraId="1A7885D9">
            <w:pPr>
              <w:widowControl/>
              <w:jc w:val="center"/>
              <w:rPr>
                <w:rFonts w:cs="Arial" w:asciiTheme="majorEastAsia" w:hAnsiTheme="majorEastAsia" w:eastAsiaTheme="majorEastAsia"/>
                <w:kern w:val="0"/>
                <w:sz w:val="24"/>
                <w:szCs w:val="24"/>
              </w:rPr>
            </w:pPr>
          </w:p>
        </w:tc>
        <w:tc>
          <w:tcPr>
            <w:tcW w:w="992" w:type="dxa"/>
            <w:vAlign w:val="center"/>
          </w:tcPr>
          <w:p w14:paraId="6DC6333D">
            <w:pPr>
              <w:widowControl/>
              <w:jc w:val="right"/>
              <w:rPr>
                <w:rFonts w:cs="Arial" w:asciiTheme="majorEastAsia" w:hAnsiTheme="majorEastAsia" w:eastAsiaTheme="majorEastAsia"/>
                <w:kern w:val="0"/>
                <w:sz w:val="24"/>
                <w:szCs w:val="24"/>
              </w:rPr>
            </w:pPr>
          </w:p>
        </w:tc>
      </w:tr>
      <w:tr w14:paraId="5EAC4C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34" w:type="dxa"/>
            <w:vAlign w:val="center"/>
          </w:tcPr>
          <w:p w14:paraId="7B9768DF">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12</w:t>
            </w:r>
          </w:p>
        </w:tc>
        <w:tc>
          <w:tcPr>
            <w:tcW w:w="1656" w:type="dxa"/>
            <w:vAlign w:val="center"/>
          </w:tcPr>
          <w:p w14:paraId="49C8380A">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030701004001</w:t>
            </w:r>
          </w:p>
        </w:tc>
        <w:tc>
          <w:tcPr>
            <w:tcW w:w="1668" w:type="dxa"/>
            <w:vAlign w:val="center"/>
          </w:tcPr>
          <w:p w14:paraId="495A1F83">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风机盘管</w:t>
            </w:r>
          </w:p>
        </w:tc>
        <w:tc>
          <w:tcPr>
            <w:tcW w:w="2820" w:type="dxa"/>
            <w:noWrap/>
            <w:vAlign w:val="center"/>
          </w:tcPr>
          <w:p w14:paraId="209C26CB">
            <w:pPr>
              <w:widowControl/>
              <w:jc w:val="center"/>
              <w:rPr>
                <w:rFonts w:cs="Arial" w:asciiTheme="majorEastAsia" w:hAnsiTheme="majorEastAsia" w:eastAsiaTheme="majorEastAsia"/>
                <w:kern w:val="0"/>
                <w:sz w:val="24"/>
                <w:szCs w:val="24"/>
              </w:rPr>
            </w:pPr>
          </w:p>
        </w:tc>
        <w:tc>
          <w:tcPr>
            <w:tcW w:w="1239" w:type="dxa"/>
            <w:vAlign w:val="center"/>
          </w:tcPr>
          <w:p w14:paraId="4A81EBB2">
            <w:pPr>
              <w:widowControl/>
              <w:jc w:val="center"/>
              <w:rPr>
                <w:rFonts w:cs="Arial" w:asciiTheme="majorEastAsia" w:hAnsiTheme="majorEastAsia" w:eastAsiaTheme="majorEastAsia"/>
                <w:kern w:val="0"/>
                <w:sz w:val="24"/>
                <w:szCs w:val="24"/>
              </w:rPr>
            </w:pPr>
          </w:p>
        </w:tc>
        <w:tc>
          <w:tcPr>
            <w:tcW w:w="992" w:type="dxa"/>
            <w:vAlign w:val="center"/>
          </w:tcPr>
          <w:p w14:paraId="0E73044A">
            <w:pPr>
              <w:widowControl/>
              <w:jc w:val="right"/>
              <w:rPr>
                <w:rFonts w:cs="Arial" w:asciiTheme="majorEastAsia" w:hAnsiTheme="majorEastAsia" w:eastAsiaTheme="majorEastAsia"/>
                <w:kern w:val="0"/>
                <w:sz w:val="24"/>
                <w:szCs w:val="24"/>
              </w:rPr>
            </w:pPr>
          </w:p>
        </w:tc>
      </w:tr>
      <w:tr w14:paraId="123DE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34" w:type="dxa"/>
            <w:vAlign w:val="center"/>
          </w:tcPr>
          <w:p w14:paraId="4CAC32EF">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13</w:t>
            </w:r>
          </w:p>
        </w:tc>
        <w:tc>
          <w:tcPr>
            <w:tcW w:w="1656" w:type="dxa"/>
            <w:vAlign w:val="center"/>
          </w:tcPr>
          <w:p w14:paraId="7082B8A9">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030701004002</w:t>
            </w:r>
          </w:p>
        </w:tc>
        <w:tc>
          <w:tcPr>
            <w:tcW w:w="1668" w:type="dxa"/>
            <w:vAlign w:val="center"/>
          </w:tcPr>
          <w:p w14:paraId="10C40F2B">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风机盘管</w:t>
            </w:r>
          </w:p>
        </w:tc>
        <w:tc>
          <w:tcPr>
            <w:tcW w:w="2820" w:type="dxa"/>
            <w:noWrap/>
            <w:vAlign w:val="center"/>
          </w:tcPr>
          <w:p w14:paraId="4D3B8767">
            <w:pPr>
              <w:widowControl/>
              <w:jc w:val="center"/>
              <w:rPr>
                <w:rFonts w:cs="Arial" w:asciiTheme="majorEastAsia" w:hAnsiTheme="majorEastAsia" w:eastAsiaTheme="majorEastAsia"/>
                <w:kern w:val="0"/>
                <w:sz w:val="24"/>
                <w:szCs w:val="24"/>
              </w:rPr>
            </w:pPr>
          </w:p>
        </w:tc>
        <w:tc>
          <w:tcPr>
            <w:tcW w:w="1239" w:type="dxa"/>
            <w:vAlign w:val="center"/>
          </w:tcPr>
          <w:p w14:paraId="03DDE6A1">
            <w:pPr>
              <w:widowControl/>
              <w:jc w:val="center"/>
              <w:rPr>
                <w:rFonts w:cs="Arial" w:asciiTheme="majorEastAsia" w:hAnsiTheme="majorEastAsia" w:eastAsiaTheme="majorEastAsia"/>
                <w:kern w:val="0"/>
                <w:sz w:val="24"/>
                <w:szCs w:val="24"/>
              </w:rPr>
            </w:pPr>
          </w:p>
        </w:tc>
        <w:tc>
          <w:tcPr>
            <w:tcW w:w="992" w:type="dxa"/>
            <w:vAlign w:val="center"/>
          </w:tcPr>
          <w:p w14:paraId="62E528F4">
            <w:pPr>
              <w:widowControl/>
              <w:jc w:val="right"/>
              <w:rPr>
                <w:rFonts w:cs="Arial" w:asciiTheme="majorEastAsia" w:hAnsiTheme="majorEastAsia" w:eastAsiaTheme="majorEastAsia"/>
                <w:kern w:val="0"/>
                <w:sz w:val="24"/>
                <w:szCs w:val="24"/>
              </w:rPr>
            </w:pPr>
          </w:p>
        </w:tc>
      </w:tr>
      <w:tr w14:paraId="46644A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34" w:type="dxa"/>
            <w:vAlign w:val="center"/>
          </w:tcPr>
          <w:p w14:paraId="55261785">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14</w:t>
            </w:r>
          </w:p>
        </w:tc>
        <w:tc>
          <w:tcPr>
            <w:tcW w:w="1656" w:type="dxa"/>
            <w:vAlign w:val="center"/>
          </w:tcPr>
          <w:p w14:paraId="458EBA7F">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030701004003</w:t>
            </w:r>
          </w:p>
        </w:tc>
        <w:tc>
          <w:tcPr>
            <w:tcW w:w="1668" w:type="dxa"/>
            <w:vAlign w:val="center"/>
          </w:tcPr>
          <w:p w14:paraId="1CA51952">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风机盘管</w:t>
            </w:r>
          </w:p>
        </w:tc>
        <w:tc>
          <w:tcPr>
            <w:tcW w:w="2820" w:type="dxa"/>
            <w:noWrap/>
            <w:vAlign w:val="center"/>
          </w:tcPr>
          <w:p w14:paraId="54226AAB">
            <w:pPr>
              <w:widowControl/>
              <w:jc w:val="center"/>
              <w:rPr>
                <w:rFonts w:cs="Arial" w:asciiTheme="majorEastAsia" w:hAnsiTheme="majorEastAsia" w:eastAsiaTheme="majorEastAsia"/>
                <w:kern w:val="0"/>
                <w:sz w:val="24"/>
                <w:szCs w:val="24"/>
              </w:rPr>
            </w:pPr>
          </w:p>
        </w:tc>
        <w:tc>
          <w:tcPr>
            <w:tcW w:w="1239" w:type="dxa"/>
            <w:vAlign w:val="center"/>
          </w:tcPr>
          <w:p w14:paraId="6068703D">
            <w:pPr>
              <w:widowControl/>
              <w:jc w:val="center"/>
              <w:rPr>
                <w:rFonts w:cs="Arial" w:asciiTheme="majorEastAsia" w:hAnsiTheme="majorEastAsia" w:eastAsiaTheme="majorEastAsia"/>
                <w:kern w:val="0"/>
                <w:sz w:val="24"/>
                <w:szCs w:val="24"/>
              </w:rPr>
            </w:pPr>
          </w:p>
        </w:tc>
        <w:tc>
          <w:tcPr>
            <w:tcW w:w="992" w:type="dxa"/>
            <w:vAlign w:val="center"/>
          </w:tcPr>
          <w:p w14:paraId="49F61538">
            <w:pPr>
              <w:widowControl/>
              <w:jc w:val="right"/>
              <w:rPr>
                <w:rFonts w:cs="Arial" w:asciiTheme="majorEastAsia" w:hAnsiTheme="majorEastAsia" w:eastAsiaTheme="majorEastAsia"/>
                <w:kern w:val="0"/>
                <w:sz w:val="24"/>
                <w:szCs w:val="24"/>
              </w:rPr>
            </w:pPr>
          </w:p>
        </w:tc>
      </w:tr>
      <w:tr w14:paraId="73103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34" w:type="dxa"/>
            <w:vAlign w:val="center"/>
          </w:tcPr>
          <w:p w14:paraId="392BFC75">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15</w:t>
            </w:r>
          </w:p>
        </w:tc>
        <w:tc>
          <w:tcPr>
            <w:tcW w:w="1656" w:type="dxa"/>
            <w:vAlign w:val="center"/>
          </w:tcPr>
          <w:p w14:paraId="761405AF">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030701004004</w:t>
            </w:r>
          </w:p>
        </w:tc>
        <w:tc>
          <w:tcPr>
            <w:tcW w:w="1668" w:type="dxa"/>
            <w:vAlign w:val="center"/>
          </w:tcPr>
          <w:p w14:paraId="635B8E42">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风机盘管</w:t>
            </w:r>
          </w:p>
        </w:tc>
        <w:tc>
          <w:tcPr>
            <w:tcW w:w="2820" w:type="dxa"/>
            <w:noWrap/>
            <w:vAlign w:val="center"/>
          </w:tcPr>
          <w:p w14:paraId="46C731D5">
            <w:pPr>
              <w:widowControl/>
              <w:jc w:val="center"/>
              <w:rPr>
                <w:rFonts w:cs="Arial" w:asciiTheme="majorEastAsia" w:hAnsiTheme="majorEastAsia" w:eastAsiaTheme="majorEastAsia"/>
                <w:kern w:val="0"/>
                <w:sz w:val="24"/>
                <w:szCs w:val="24"/>
              </w:rPr>
            </w:pPr>
          </w:p>
        </w:tc>
        <w:tc>
          <w:tcPr>
            <w:tcW w:w="1239" w:type="dxa"/>
            <w:vAlign w:val="center"/>
          </w:tcPr>
          <w:p w14:paraId="602FA24B">
            <w:pPr>
              <w:widowControl/>
              <w:jc w:val="center"/>
              <w:rPr>
                <w:rFonts w:cs="Arial" w:asciiTheme="majorEastAsia" w:hAnsiTheme="majorEastAsia" w:eastAsiaTheme="majorEastAsia"/>
                <w:kern w:val="0"/>
                <w:sz w:val="24"/>
                <w:szCs w:val="24"/>
              </w:rPr>
            </w:pPr>
          </w:p>
        </w:tc>
        <w:tc>
          <w:tcPr>
            <w:tcW w:w="992" w:type="dxa"/>
            <w:vAlign w:val="center"/>
          </w:tcPr>
          <w:p w14:paraId="3951495F">
            <w:pPr>
              <w:widowControl/>
              <w:jc w:val="right"/>
              <w:rPr>
                <w:rFonts w:cs="Arial" w:asciiTheme="majorEastAsia" w:hAnsiTheme="majorEastAsia" w:eastAsiaTheme="majorEastAsia"/>
                <w:kern w:val="0"/>
                <w:sz w:val="24"/>
                <w:szCs w:val="24"/>
              </w:rPr>
            </w:pPr>
          </w:p>
        </w:tc>
      </w:tr>
      <w:tr w14:paraId="7CAC5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34" w:type="dxa"/>
            <w:vAlign w:val="center"/>
          </w:tcPr>
          <w:p w14:paraId="2857917A">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16</w:t>
            </w:r>
          </w:p>
        </w:tc>
        <w:tc>
          <w:tcPr>
            <w:tcW w:w="1656" w:type="dxa"/>
            <w:vAlign w:val="center"/>
          </w:tcPr>
          <w:p w14:paraId="30418E5C">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030701004005</w:t>
            </w:r>
          </w:p>
        </w:tc>
        <w:tc>
          <w:tcPr>
            <w:tcW w:w="1668" w:type="dxa"/>
            <w:vAlign w:val="center"/>
          </w:tcPr>
          <w:p w14:paraId="7C9430D3">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风机盘管</w:t>
            </w:r>
          </w:p>
        </w:tc>
        <w:tc>
          <w:tcPr>
            <w:tcW w:w="2820" w:type="dxa"/>
            <w:noWrap/>
            <w:vAlign w:val="center"/>
          </w:tcPr>
          <w:p w14:paraId="7B38B2E5">
            <w:pPr>
              <w:widowControl/>
              <w:jc w:val="center"/>
              <w:rPr>
                <w:rFonts w:cs="Arial" w:asciiTheme="majorEastAsia" w:hAnsiTheme="majorEastAsia" w:eastAsiaTheme="majorEastAsia"/>
                <w:kern w:val="0"/>
                <w:sz w:val="24"/>
                <w:szCs w:val="24"/>
              </w:rPr>
            </w:pPr>
          </w:p>
        </w:tc>
        <w:tc>
          <w:tcPr>
            <w:tcW w:w="1239" w:type="dxa"/>
            <w:vAlign w:val="center"/>
          </w:tcPr>
          <w:p w14:paraId="1624809B">
            <w:pPr>
              <w:widowControl/>
              <w:jc w:val="center"/>
              <w:rPr>
                <w:rFonts w:cs="Arial" w:asciiTheme="majorEastAsia" w:hAnsiTheme="majorEastAsia" w:eastAsiaTheme="majorEastAsia"/>
                <w:kern w:val="0"/>
                <w:sz w:val="24"/>
                <w:szCs w:val="24"/>
              </w:rPr>
            </w:pPr>
          </w:p>
        </w:tc>
        <w:tc>
          <w:tcPr>
            <w:tcW w:w="992" w:type="dxa"/>
            <w:vAlign w:val="center"/>
          </w:tcPr>
          <w:p w14:paraId="09A1F072">
            <w:pPr>
              <w:widowControl/>
              <w:jc w:val="right"/>
              <w:rPr>
                <w:rFonts w:cs="Arial" w:asciiTheme="majorEastAsia" w:hAnsiTheme="majorEastAsia" w:eastAsiaTheme="majorEastAsia"/>
                <w:kern w:val="0"/>
                <w:sz w:val="24"/>
                <w:szCs w:val="24"/>
              </w:rPr>
            </w:pPr>
          </w:p>
        </w:tc>
      </w:tr>
      <w:tr w14:paraId="3BC1BB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34" w:type="dxa"/>
            <w:vAlign w:val="center"/>
          </w:tcPr>
          <w:p w14:paraId="435BAD08">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17</w:t>
            </w:r>
          </w:p>
        </w:tc>
        <w:tc>
          <w:tcPr>
            <w:tcW w:w="1656" w:type="dxa"/>
            <w:vAlign w:val="center"/>
          </w:tcPr>
          <w:p w14:paraId="1C55C559">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030701004006</w:t>
            </w:r>
          </w:p>
        </w:tc>
        <w:tc>
          <w:tcPr>
            <w:tcW w:w="1668" w:type="dxa"/>
            <w:vAlign w:val="center"/>
          </w:tcPr>
          <w:p w14:paraId="7CEB1486">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风机盘管</w:t>
            </w:r>
          </w:p>
        </w:tc>
        <w:tc>
          <w:tcPr>
            <w:tcW w:w="2820" w:type="dxa"/>
            <w:noWrap/>
            <w:vAlign w:val="center"/>
          </w:tcPr>
          <w:p w14:paraId="2137D9C5">
            <w:pPr>
              <w:widowControl/>
              <w:jc w:val="center"/>
              <w:rPr>
                <w:rFonts w:cs="Arial" w:asciiTheme="majorEastAsia" w:hAnsiTheme="majorEastAsia" w:eastAsiaTheme="majorEastAsia"/>
                <w:kern w:val="0"/>
                <w:sz w:val="24"/>
                <w:szCs w:val="24"/>
              </w:rPr>
            </w:pPr>
          </w:p>
        </w:tc>
        <w:tc>
          <w:tcPr>
            <w:tcW w:w="1239" w:type="dxa"/>
            <w:vAlign w:val="center"/>
          </w:tcPr>
          <w:p w14:paraId="7B12505F">
            <w:pPr>
              <w:widowControl/>
              <w:jc w:val="center"/>
              <w:rPr>
                <w:rFonts w:cs="Arial" w:asciiTheme="majorEastAsia" w:hAnsiTheme="majorEastAsia" w:eastAsiaTheme="majorEastAsia"/>
                <w:kern w:val="0"/>
                <w:sz w:val="24"/>
                <w:szCs w:val="24"/>
              </w:rPr>
            </w:pPr>
          </w:p>
        </w:tc>
        <w:tc>
          <w:tcPr>
            <w:tcW w:w="992" w:type="dxa"/>
            <w:vAlign w:val="center"/>
          </w:tcPr>
          <w:p w14:paraId="1FA62859">
            <w:pPr>
              <w:widowControl/>
              <w:jc w:val="right"/>
              <w:rPr>
                <w:rFonts w:cs="Arial" w:asciiTheme="majorEastAsia" w:hAnsiTheme="majorEastAsia" w:eastAsiaTheme="majorEastAsia"/>
                <w:kern w:val="0"/>
                <w:sz w:val="24"/>
                <w:szCs w:val="24"/>
              </w:rPr>
            </w:pPr>
          </w:p>
        </w:tc>
      </w:tr>
      <w:tr w14:paraId="7E349D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34" w:type="dxa"/>
            <w:vAlign w:val="center"/>
          </w:tcPr>
          <w:p w14:paraId="632CC489">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18</w:t>
            </w:r>
          </w:p>
        </w:tc>
        <w:tc>
          <w:tcPr>
            <w:tcW w:w="1656" w:type="dxa"/>
            <w:vAlign w:val="center"/>
          </w:tcPr>
          <w:p w14:paraId="3F22F455">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030701003004</w:t>
            </w:r>
          </w:p>
        </w:tc>
        <w:tc>
          <w:tcPr>
            <w:tcW w:w="1668" w:type="dxa"/>
            <w:vAlign w:val="center"/>
          </w:tcPr>
          <w:p w14:paraId="79C47BE2">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空调器</w:t>
            </w:r>
          </w:p>
        </w:tc>
        <w:tc>
          <w:tcPr>
            <w:tcW w:w="2820" w:type="dxa"/>
            <w:noWrap/>
            <w:vAlign w:val="center"/>
          </w:tcPr>
          <w:p w14:paraId="43966263">
            <w:pPr>
              <w:widowControl/>
              <w:jc w:val="center"/>
              <w:rPr>
                <w:rFonts w:cs="Arial" w:asciiTheme="majorEastAsia" w:hAnsiTheme="majorEastAsia" w:eastAsiaTheme="majorEastAsia"/>
                <w:kern w:val="0"/>
                <w:sz w:val="24"/>
                <w:szCs w:val="24"/>
              </w:rPr>
            </w:pPr>
          </w:p>
        </w:tc>
        <w:tc>
          <w:tcPr>
            <w:tcW w:w="1239" w:type="dxa"/>
            <w:vAlign w:val="center"/>
          </w:tcPr>
          <w:p w14:paraId="539D320A">
            <w:pPr>
              <w:widowControl/>
              <w:jc w:val="center"/>
              <w:rPr>
                <w:rFonts w:cs="Arial" w:asciiTheme="majorEastAsia" w:hAnsiTheme="majorEastAsia" w:eastAsiaTheme="majorEastAsia"/>
                <w:kern w:val="0"/>
                <w:sz w:val="24"/>
                <w:szCs w:val="24"/>
              </w:rPr>
            </w:pPr>
          </w:p>
        </w:tc>
        <w:tc>
          <w:tcPr>
            <w:tcW w:w="992" w:type="dxa"/>
            <w:vAlign w:val="center"/>
          </w:tcPr>
          <w:p w14:paraId="1ECBDEBA">
            <w:pPr>
              <w:widowControl/>
              <w:jc w:val="right"/>
              <w:rPr>
                <w:rFonts w:cs="Arial" w:asciiTheme="majorEastAsia" w:hAnsiTheme="majorEastAsia" w:eastAsiaTheme="majorEastAsia"/>
                <w:kern w:val="0"/>
                <w:sz w:val="24"/>
                <w:szCs w:val="24"/>
              </w:rPr>
            </w:pPr>
          </w:p>
        </w:tc>
      </w:tr>
      <w:tr w14:paraId="25B39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34" w:type="dxa"/>
            <w:vAlign w:val="center"/>
          </w:tcPr>
          <w:p w14:paraId="7C54BB3C">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19</w:t>
            </w:r>
          </w:p>
        </w:tc>
        <w:tc>
          <w:tcPr>
            <w:tcW w:w="1656" w:type="dxa"/>
            <w:vAlign w:val="center"/>
          </w:tcPr>
          <w:p w14:paraId="26C27FC9">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030701003005</w:t>
            </w:r>
          </w:p>
        </w:tc>
        <w:tc>
          <w:tcPr>
            <w:tcW w:w="1668" w:type="dxa"/>
            <w:vAlign w:val="center"/>
          </w:tcPr>
          <w:p w14:paraId="7C1F296F">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空调器</w:t>
            </w:r>
          </w:p>
        </w:tc>
        <w:tc>
          <w:tcPr>
            <w:tcW w:w="2820" w:type="dxa"/>
            <w:noWrap/>
            <w:vAlign w:val="center"/>
          </w:tcPr>
          <w:p w14:paraId="15781B54">
            <w:pPr>
              <w:widowControl/>
              <w:jc w:val="center"/>
              <w:rPr>
                <w:rFonts w:cs="Arial" w:asciiTheme="majorEastAsia" w:hAnsiTheme="majorEastAsia" w:eastAsiaTheme="majorEastAsia"/>
                <w:kern w:val="0"/>
                <w:sz w:val="24"/>
                <w:szCs w:val="24"/>
              </w:rPr>
            </w:pPr>
          </w:p>
        </w:tc>
        <w:tc>
          <w:tcPr>
            <w:tcW w:w="1239" w:type="dxa"/>
            <w:vAlign w:val="center"/>
          </w:tcPr>
          <w:p w14:paraId="26C74FF6">
            <w:pPr>
              <w:widowControl/>
              <w:jc w:val="center"/>
              <w:rPr>
                <w:rFonts w:cs="Arial" w:asciiTheme="majorEastAsia" w:hAnsiTheme="majorEastAsia" w:eastAsiaTheme="majorEastAsia"/>
                <w:kern w:val="0"/>
                <w:sz w:val="24"/>
                <w:szCs w:val="24"/>
              </w:rPr>
            </w:pPr>
          </w:p>
        </w:tc>
        <w:tc>
          <w:tcPr>
            <w:tcW w:w="992" w:type="dxa"/>
            <w:vAlign w:val="center"/>
          </w:tcPr>
          <w:p w14:paraId="3CD5BF8F">
            <w:pPr>
              <w:widowControl/>
              <w:jc w:val="right"/>
              <w:rPr>
                <w:rFonts w:cs="Arial" w:asciiTheme="majorEastAsia" w:hAnsiTheme="majorEastAsia" w:eastAsiaTheme="majorEastAsia"/>
                <w:kern w:val="0"/>
                <w:sz w:val="24"/>
                <w:szCs w:val="24"/>
              </w:rPr>
            </w:pPr>
          </w:p>
        </w:tc>
      </w:tr>
      <w:tr w14:paraId="034E21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34" w:type="dxa"/>
            <w:vAlign w:val="center"/>
          </w:tcPr>
          <w:p w14:paraId="06BD7E96">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20</w:t>
            </w:r>
          </w:p>
        </w:tc>
        <w:tc>
          <w:tcPr>
            <w:tcW w:w="1656" w:type="dxa"/>
            <w:vAlign w:val="center"/>
          </w:tcPr>
          <w:p w14:paraId="1E37282C">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030701003006</w:t>
            </w:r>
          </w:p>
        </w:tc>
        <w:tc>
          <w:tcPr>
            <w:tcW w:w="1668" w:type="dxa"/>
            <w:vAlign w:val="center"/>
          </w:tcPr>
          <w:p w14:paraId="5EAEEAD0">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空调器</w:t>
            </w:r>
          </w:p>
        </w:tc>
        <w:tc>
          <w:tcPr>
            <w:tcW w:w="2820" w:type="dxa"/>
            <w:noWrap/>
            <w:vAlign w:val="center"/>
          </w:tcPr>
          <w:p w14:paraId="570484CD">
            <w:pPr>
              <w:widowControl/>
              <w:jc w:val="center"/>
              <w:rPr>
                <w:rFonts w:cs="Arial" w:asciiTheme="majorEastAsia" w:hAnsiTheme="majorEastAsia" w:eastAsiaTheme="majorEastAsia"/>
                <w:kern w:val="0"/>
                <w:sz w:val="24"/>
                <w:szCs w:val="24"/>
              </w:rPr>
            </w:pPr>
          </w:p>
        </w:tc>
        <w:tc>
          <w:tcPr>
            <w:tcW w:w="1239" w:type="dxa"/>
            <w:vAlign w:val="center"/>
          </w:tcPr>
          <w:p w14:paraId="5EF5752B">
            <w:pPr>
              <w:widowControl/>
              <w:jc w:val="center"/>
              <w:rPr>
                <w:rFonts w:cs="Arial" w:asciiTheme="majorEastAsia" w:hAnsiTheme="majorEastAsia" w:eastAsiaTheme="majorEastAsia"/>
                <w:kern w:val="0"/>
                <w:sz w:val="24"/>
                <w:szCs w:val="24"/>
              </w:rPr>
            </w:pPr>
          </w:p>
        </w:tc>
        <w:tc>
          <w:tcPr>
            <w:tcW w:w="992" w:type="dxa"/>
            <w:vAlign w:val="center"/>
          </w:tcPr>
          <w:p w14:paraId="491D7A7A">
            <w:pPr>
              <w:widowControl/>
              <w:jc w:val="right"/>
              <w:rPr>
                <w:rFonts w:cs="Arial" w:asciiTheme="majorEastAsia" w:hAnsiTheme="majorEastAsia" w:eastAsiaTheme="majorEastAsia"/>
                <w:kern w:val="0"/>
                <w:sz w:val="24"/>
                <w:szCs w:val="24"/>
              </w:rPr>
            </w:pPr>
          </w:p>
        </w:tc>
      </w:tr>
      <w:tr w14:paraId="7B4F8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34" w:type="dxa"/>
            <w:vAlign w:val="center"/>
          </w:tcPr>
          <w:p w14:paraId="0D157D99">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21</w:t>
            </w:r>
          </w:p>
        </w:tc>
        <w:tc>
          <w:tcPr>
            <w:tcW w:w="1656" w:type="dxa"/>
            <w:vAlign w:val="center"/>
          </w:tcPr>
          <w:p w14:paraId="0C6E9D9F">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030701003007</w:t>
            </w:r>
          </w:p>
        </w:tc>
        <w:tc>
          <w:tcPr>
            <w:tcW w:w="1668" w:type="dxa"/>
            <w:vAlign w:val="center"/>
          </w:tcPr>
          <w:p w14:paraId="6A4ADE6D">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空调器</w:t>
            </w:r>
          </w:p>
        </w:tc>
        <w:tc>
          <w:tcPr>
            <w:tcW w:w="2820" w:type="dxa"/>
            <w:noWrap/>
            <w:vAlign w:val="center"/>
          </w:tcPr>
          <w:p w14:paraId="57CA6B8E">
            <w:pPr>
              <w:widowControl/>
              <w:jc w:val="center"/>
              <w:rPr>
                <w:rFonts w:cs="Arial" w:asciiTheme="majorEastAsia" w:hAnsiTheme="majorEastAsia" w:eastAsiaTheme="majorEastAsia"/>
                <w:kern w:val="0"/>
                <w:sz w:val="24"/>
                <w:szCs w:val="24"/>
              </w:rPr>
            </w:pPr>
          </w:p>
        </w:tc>
        <w:tc>
          <w:tcPr>
            <w:tcW w:w="1239" w:type="dxa"/>
            <w:vAlign w:val="center"/>
          </w:tcPr>
          <w:p w14:paraId="53530A92">
            <w:pPr>
              <w:widowControl/>
              <w:jc w:val="center"/>
              <w:rPr>
                <w:rFonts w:cs="Arial" w:asciiTheme="majorEastAsia" w:hAnsiTheme="majorEastAsia" w:eastAsiaTheme="majorEastAsia"/>
                <w:kern w:val="0"/>
                <w:sz w:val="24"/>
                <w:szCs w:val="24"/>
              </w:rPr>
            </w:pPr>
          </w:p>
        </w:tc>
        <w:tc>
          <w:tcPr>
            <w:tcW w:w="992" w:type="dxa"/>
            <w:vAlign w:val="center"/>
          </w:tcPr>
          <w:p w14:paraId="5C4B77C0">
            <w:pPr>
              <w:widowControl/>
              <w:jc w:val="right"/>
              <w:rPr>
                <w:rFonts w:cs="Arial" w:asciiTheme="majorEastAsia" w:hAnsiTheme="majorEastAsia" w:eastAsiaTheme="majorEastAsia"/>
                <w:kern w:val="0"/>
                <w:sz w:val="24"/>
                <w:szCs w:val="24"/>
              </w:rPr>
            </w:pPr>
          </w:p>
        </w:tc>
      </w:tr>
      <w:tr w14:paraId="5BD86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34" w:type="dxa"/>
            <w:vAlign w:val="center"/>
          </w:tcPr>
          <w:p w14:paraId="16A2192E">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22</w:t>
            </w:r>
          </w:p>
        </w:tc>
        <w:tc>
          <w:tcPr>
            <w:tcW w:w="1656" w:type="dxa"/>
            <w:vAlign w:val="center"/>
          </w:tcPr>
          <w:p w14:paraId="4D0BEED3">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030701003008</w:t>
            </w:r>
          </w:p>
        </w:tc>
        <w:tc>
          <w:tcPr>
            <w:tcW w:w="1668" w:type="dxa"/>
            <w:vAlign w:val="center"/>
          </w:tcPr>
          <w:p w14:paraId="0F45FA88">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空调器</w:t>
            </w:r>
          </w:p>
        </w:tc>
        <w:tc>
          <w:tcPr>
            <w:tcW w:w="2820" w:type="dxa"/>
            <w:noWrap/>
            <w:vAlign w:val="center"/>
          </w:tcPr>
          <w:p w14:paraId="275DDD3C">
            <w:pPr>
              <w:widowControl/>
              <w:jc w:val="center"/>
              <w:rPr>
                <w:rFonts w:cs="Arial" w:asciiTheme="majorEastAsia" w:hAnsiTheme="majorEastAsia" w:eastAsiaTheme="majorEastAsia"/>
                <w:kern w:val="0"/>
                <w:sz w:val="24"/>
                <w:szCs w:val="24"/>
              </w:rPr>
            </w:pPr>
          </w:p>
        </w:tc>
        <w:tc>
          <w:tcPr>
            <w:tcW w:w="1239" w:type="dxa"/>
            <w:vAlign w:val="center"/>
          </w:tcPr>
          <w:p w14:paraId="105932C1">
            <w:pPr>
              <w:widowControl/>
              <w:jc w:val="center"/>
              <w:rPr>
                <w:rFonts w:cs="Arial" w:asciiTheme="majorEastAsia" w:hAnsiTheme="majorEastAsia" w:eastAsiaTheme="majorEastAsia"/>
                <w:kern w:val="0"/>
                <w:sz w:val="24"/>
                <w:szCs w:val="24"/>
              </w:rPr>
            </w:pPr>
          </w:p>
        </w:tc>
        <w:tc>
          <w:tcPr>
            <w:tcW w:w="992" w:type="dxa"/>
            <w:vAlign w:val="center"/>
          </w:tcPr>
          <w:p w14:paraId="1B3019A8">
            <w:pPr>
              <w:widowControl/>
              <w:jc w:val="right"/>
              <w:rPr>
                <w:rFonts w:cs="Arial" w:asciiTheme="majorEastAsia" w:hAnsiTheme="majorEastAsia" w:eastAsiaTheme="majorEastAsia"/>
                <w:kern w:val="0"/>
                <w:sz w:val="24"/>
                <w:szCs w:val="24"/>
              </w:rPr>
            </w:pPr>
          </w:p>
        </w:tc>
      </w:tr>
      <w:tr w14:paraId="3F96B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34" w:type="dxa"/>
            <w:vAlign w:val="center"/>
          </w:tcPr>
          <w:p w14:paraId="22EB362B">
            <w:pPr>
              <w:widowControl/>
              <w:jc w:val="center"/>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23</w:t>
            </w:r>
          </w:p>
        </w:tc>
        <w:tc>
          <w:tcPr>
            <w:tcW w:w="1656" w:type="dxa"/>
            <w:vAlign w:val="center"/>
          </w:tcPr>
          <w:p w14:paraId="5643BF0F">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030701003009</w:t>
            </w:r>
          </w:p>
        </w:tc>
        <w:tc>
          <w:tcPr>
            <w:tcW w:w="1668" w:type="dxa"/>
            <w:vAlign w:val="center"/>
          </w:tcPr>
          <w:p w14:paraId="11ADB744">
            <w:pPr>
              <w:widowControl/>
              <w:jc w:val="left"/>
              <w:rPr>
                <w:rFonts w:cs="Arial" w:asciiTheme="majorEastAsia" w:hAnsiTheme="majorEastAsia" w:eastAsiaTheme="majorEastAsia"/>
                <w:kern w:val="0"/>
                <w:sz w:val="24"/>
                <w:szCs w:val="24"/>
              </w:rPr>
            </w:pPr>
            <w:r>
              <w:rPr>
                <w:rFonts w:hint="eastAsia" w:cs="Arial" w:asciiTheme="majorEastAsia" w:hAnsiTheme="majorEastAsia" w:eastAsiaTheme="majorEastAsia"/>
                <w:kern w:val="0"/>
                <w:sz w:val="24"/>
                <w:szCs w:val="24"/>
              </w:rPr>
              <w:t>空调器</w:t>
            </w:r>
          </w:p>
        </w:tc>
        <w:tc>
          <w:tcPr>
            <w:tcW w:w="2820" w:type="dxa"/>
            <w:noWrap/>
            <w:vAlign w:val="center"/>
          </w:tcPr>
          <w:p w14:paraId="206106E3">
            <w:pPr>
              <w:widowControl/>
              <w:jc w:val="center"/>
              <w:rPr>
                <w:rFonts w:cs="Arial" w:asciiTheme="majorEastAsia" w:hAnsiTheme="majorEastAsia" w:eastAsiaTheme="majorEastAsia"/>
                <w:kern w:val="0"/>
                <w:sz w:val="24"/>
                <w:szCs w:val="24"/>
              </w:rPr>
            </w:pPr>
          </w:p>
        </w:tc>
        <w:tc>
          <w:tcPr>
            <w:tcW w:w="1239" w:type="dxa"/>
            <w:vAlign w:val="center"/>
          </w:tcPr>
          <w:p w14:paraId="56C64F18">
            <w:pPr>
              <w:widowControl/>
              <w:jc w:val="center"/>
              <w:rPr>
                <w:rFonts w:cs="Arial" w:asciiTheme="majorEastAsia" w:hAnsiTheme="majorEastAsia" w:eastAsiaTheme="majorEastAsia"/>
                <w:kern w:val="0"/>
                <w:sz w:val="24"/>
                <w:szCs w:val="24"/>
              </w:rPr>
            </w:pPr>
          </w:p>
        </w:tc>
        <w:tc>
          <w:tcPr>
            <w:tcW w:w="992" w:type="dxa"/>
            <w:vAlign w:val="center"/>
          </w:tcPr>
          <w:p w14:paraId="3A701A57">
            <w:pPr>
              <w:widowControl/>
              <w:jc w:val="right"/>
              <w:rPr>
                <w:rFonts w:cs="Arial" w:asciiTheme="majorEastAsia" w:hAnsiTheme="majorEastAsia" w:eastAsiaTheme="majorEastAsia"/>
                <w:kern w:val="0"/>
                <w:sz w:val="24"/>
                <w:szCs w:val="24"/>
              </w:rPr>
            </w:pPr>
          </w:p>
        </w:tc>
      </w:tr>
    </w:tbl>
    <w:p w14:paraId="721BAA01">
      <w:pPr>
        <w:spacing w:line="360" w:lineRule="auto"/>
        <w:jc w:val="center"/>
        <w:rPr>
          <w:rFonts w:ascii="宋体" w:hAnsi="宋体" w:cs="宋体"/>
          <w:bCs/>
          <w:sz w:val="24"/>
          <w:szCs w:val="24"/>
        </w:rPr>
      </w:pPr>
    </w:p>
    <w:p w14:paraId="3B3BA64E">
      <w:pPr>
        <w:spacing w:line="240" w:lineRule="auto"/>
        <w:jc w:val="left"/>
        <w:rPr>
          <w:rFonts w:ascii="宋体" w:hAnsi="宋体" w:cs="宋体"/>
          <w:bCs/>
          <w:sz w:val="24"/>
          <w:szCs w:val="24"/>
        </w:rPr>
      </w:pPr>
      <w:r>
        <w:rPr>
          <w:rFonts w:ascii="宋体" w:hAnsi="宋体" w:cs="宋体"/>
          <w:bCs/>
          <w:sz w:val="24"/>
          <w:szCs w:val="24"/>
        </w:rPr>
        <w:br w:type="page"/>
      </w:r>
    </w:p>
    <w:p w14:paraId="04813467">
      <w:pPr>
        <w:spacing w:line="240" w:lineRule="auto"/>
        <w:jc w:val="center"/>
        <w:rPr>
          <w:rFonts w:ascii="宋体" w:hAnsi="宋体" w:cs="宋体"/>
          <w:b/>
          <w:spacing w:val="-4"/>
          <w:szCs w:val="21"/>
        </w:rPr>
      </w:pPr>
      <w:r>
        <w:rPr>
          <w:rFonts w:hint="eastAsia" w:ascii="宋体" w:hAnsi="宋体" w:cs="宋体"/>
          <w:b/>
          <w:spacing w:val="-4"/>
          <w:szCs w:val="21"/>
        </w:rPr>
        <w:t>工程量清单</w:t>
      </w:r>
    </w:p>
    <w:p w14:paraId="5F4FD03D">
      <w:pPr>
        <w:spacing w:line="240" w:lineRule="auto"/>
        <w:jc w:val="center"/>
        <w:rPr>
          <w:rFonts w:ascii="宋体" w:hAnsi="宋体" w:cs="宋体"/>
          <w:b/>
          <w:spacing w:val="-4"/>
          <w:szCs w:val="21"/>
        </w:rPr>
      </w:pPr>
    </w:p>
    <w:p w14:paraId="48846E37">
      <w:pPr>
        <w:spacing w:line="240" w:lineRule="auto"/>
        <w:jc w:val="center"/>
        <w:rPr>
          <w:rFonts w:ascii="宋体" w:hAnsi="宋体" w:cs="宋体"/>
          <w:b/>
          <w:spacing w:val="-4"/>
          <w:szCs w:val="21"/>
        </w:rPr>
      </w:pPr>
    </w:p>
    <w:p w14:paraId="6088B582">
      <w:pPr>
        <w:spacing w:line="240" w:lineRule="auto"/>
        <w:jc w:val="center"/>
        <w:rPr>
          <w:rFonts w:ascii="宋体" w:hAnsi="宋体" w:cs="宋体"/>
          <w:b/>
          <w:spacing w:val="-4"/>
          <w:szCs w:val="21"/>
        </w:rPr>
      </w:pPr>
      <w:r>
        <w:rPr>
          <w:rFonts w:hint="eastAsia" w:ascii="宋体" w:hAnsi="宋体" w:cs="宋体"/>
          <w:b/>
          <w:spacing w:val="-4"/>
          <w:szCs w:val="21"/>
        </w:rPr>
        <w:t>（格式自拟）</w:t>
      </w:r>
      <w:r>
        <w:rPr>
          <w:rFonts w:hint="eastAsia" w:ascii="宋体" w:hAnsi="宋体" w:cs="宋体"/>
          <w:b/>
          <w:spacing w:val="-4"/>
          <w:szCs w:val="21"/>
        </w:rPr>
        <w:br w:type="page"/>
      </w:r>
    </w:p>
    <w:p w14:paraId="0350A1A8">
      <w:pPr>
        <w:spacing w:line="240" w:lineRule="auto"/>
        <w:jc w:val="left"/>
        <w:rPr>
          <w:rFonts w:ascii="宋体" w:hAnsi="宋体" w:cs="宋体"/>
          <w:b/>
          <w:spacing w:val="-4"/>
          <w:szCs w:val="21"/>
        </w:rPr>
      </w:pPr>
    </w:p>
    <w:p w14:paraId="52005F33">
      <w:pPr>
        <w:spacing w:line="360" w:lineRule="auto"/>
        <w:jc w:val="left"/>
        <w:rPr>
          <w:rStyle w:val="52"/>
          <w:rFonts w:ascii="宋体" w:hAnsi="宋体" w:cs="宋体"/>
          <w:sz w:val="32"/>
          <w:szCs w:val="32"/>
        </w:rPr>
      </w:pPr>
      <w:r>
        <w:rPr>
          <w:rFonts w:hint="eastAsia" w:ascii="宋体" w:hAnsi="宋体" w:cs="宋体"/>
          <w:b/>
          <w:spacing w:val="-4"/>
          <w:szCs w:val="21"/>
        </w:rPr>
        <w:t>附件2</w:t>
      </w:r>
      <w:bookmarkEnd w:id="206"/>
    </w:p>
    <w:p w14:paraId="499EBA2B">
      <w:pPr>
        <w:spacing w:line="360" w:lineRule="auto"/>
        <w:jc w:val="center"/>
        <w:rPr>
          <w:rFonts w:ascii="宋体" w:hAnsi="宋体" w:cs="宋体"/>
          <w:b/>
          <w:spacing w:val="20"/>
          <w:sz w:val="32"/>
          <w:szCs w:val="32"/>
        </w:rPr>
      </w:pPr>
      <w:r>
        <w:rPr>
          <w:rFonts w:hint="eastAsia" w:ascii="宋体" w:hAnsi="宋体" w:cs="宋体"/>
          <w:b/>
          <w:spacing w:val="20"/>
          <w:sz w:val="32"/>
          <w:szCs w:val="32"/>
        </w:rPr>
        <w:t>报价一览表（最终报价）</w:t>
      </w:r>
      <w:bookmarkEnd w:id="207"/>
      <w:bookmarkEnd w:id="208"/>
    </w:p>
    <w:p w14:paraId="7860EB01">
      <w:pPr>
        <w:spacing w:line="360" w:lineRule="auto"/>
        <w:rPr>
          <w:rFonts w:ascii="宋体" w:hAnsi="宋体" w:cs="宋体"/>
          <w:sz w:val="24"/>
        </w:rPr>
      </w:pPr>
    </w:p>
    <w:p w14:paraId="779D81CD">
      <w:pPr>
        <w:spacing w:line="360" w:lineRule="auto"/>
        <w:rPr>
          <w:rFonts w:ascii="宋体" w:hAnsi="宋体" w:cs="宋体"/>
          <w:sz w:val="24"/>
          <w:szCs w:val="24"/>
        </w:rPr>
      </w:pPr>
      <w:r>
        <w:rPr>
          <w:rFonts w:hint="eastAsia" w:ascii="宋体" w:hAnsi="宋体" w:cs="宋体"/>
          <w:sz w:val="24"/>
        </w:rPr>
        <w:t>项目编号</w:t>
      </w:r>
      <w:r>
        <w:rPr>
          <w:rFonts w:hint="eastAsia" w:ascii="宋体" w:hAnsi="宋体" w:cs="宋体"/>
          <w:sz w:val="24"/>
          <w:szCs w:val="24"/>
        </w:rPr>
        <w:t>：</w:t>
      </w:r>
    </w:p>
    <w:p w14:paraId="43844083">
      <w:pPr>
        <w:spacing w:line="360" w:lineRule="auto"/>
        <w:rPr>
          <w:rFonts w:ascii="宋体" w:hAnsi="宋体" w:cs="宋体"/>
          <w:sz w:val="24"/>
          <w:szCs w:val="24"/>
        </w:rPr>
      </w:pPr>
      <w:r>
        <w:rPr>
          <w:rFonts w:hint="eastAsia" w:ascii="宋体" w:hAnsi="宋体" w:cs="宋体"/>
          <w:sz w:val="24"/>
          <w:szCs w:val="24"/>
        </w:rPr>
        <w:t>项目名称：</w:t>
      </w:r>
    </w:p>
    <w:tbl>
      <w:tblPr>
        <w:tblStyle w:val="49"/>
        <w:tblW w:w="4349"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944"/>
        <w:gridCol w:w="1049"/>
        <w:gridCol w:w="2648"/>
        <w:gridCol w:w="1388"/>
        <w:gridCol w:w="1390"/>
      </w:tblGrid>
      <w:tr w14:paraId="7F38C25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636" w:type="pct"/>
            <w:vAlign w:val="center"/>
          </w:tcPr>
          <w:p w14:paraId="17960AC3">
            <w:pPr>
              <w:ind w:left="-105" w:leftChars="-50" w:right="-105" w:rightChars="-50"/>
              <w:jc w:val="center"/>
              <w:rPr>
                <w:rFonts w:ascii="宋体" w:hAnsi="宋体" w:cs="宋体"/>
                <w:b/>
                <w:sz w:val="24"/>
                <w:szCs w:val="24"/>
              </w:rPr>
            </w:pPr>
            <w:r>
              <w:rPr>
                <w:rFonts w:hint="eastAsia" w:ascii="宋体" w:hAnsi="宋体" w:cs="宋体"/>
                <w:b/>
                <w:sz w:val="24"/>
                <w:szCs w:val="24"/>
              </w:rPr>
              <w:t>合同包</w:t>
            </w:r>
          </w:p>
        </w:tc>
        <w:tc>
          <w:tcPr>
            <w:tcW w:w="707" w:type="pct"/>
            <w:vAlign w:val="center"/>
          </w:tcPr>
          <w:p w14:paraId="14B05AC9">
            <w:pPr>
              <w:ind w:left="-105" w:leftChars="-50" w:right="-105" w:rightChars="-50"/>
              <w:jc w:val="center"/>
              <w:rPr>
                <w:rFonts w:ascii="宋体" w:hAnsi="宋体" w:cs="宋体"/>
                <w:b/>
                <w:sz w:val="24"/>
                <w:szCs w:val="24"/>
              </w:rPr>
            </w:pPr>
            <w:r>
              <w:rPr>
                <w:rFonts w:hint="eastAsia" w:ascii="宋体" w:hAnsi="宋体" w:cs="宋体"/>
                <w:b/>
                <w:sz w:val="24"/>
                <w:szCs w:val="24"/>
              </w:rPr>
              <w:t>品目号</w:t>
            </w:r>
          </w:p>
        </w:tc>
        <w:tc>
          <w:tcPr>
            <w:tcW w:w="1784" w:type="pct"/>
            <w:vAlign w:val="center"/>
          </w:tcPr>
          <w:p w14:paraId="6ECBD236">
            <w:pPr>
              <w:jc w:val="center"/>
              <w:rPr>
                <w:rFonts w:ascii="宋体" w:hAnsi="宋体" w:cs="宋体"/>
                <w:b/>
                <w:sz w:val="24"/>
                <w:szCs w:val="24"/>
              </w:rPr>
            </w:pPr>
            <w:r>
              <w:rPr>
                <w:rFonts w:hint="eastAsia" w:ascii="宋体" w:hAnsi="宋体" w:cs="宋体"/>
                <w:b/>
                <w:sz w:val="24"/>
                <w:szCs w:val="24"/>
              </w:rPr>
              <w:t>采购标的</w:t>
            </w:r>
          </w:p>
        </w:tc>
        <w:tc>
          <w:tcPr>
            <w:tcW w:w="935" w:type="pct"/>
            <w:vAlign w:val="center"/>
          </w:tcPr>
          <w:p w14:paraId="6A72D62A">
            <w:pPr>
              <w:jc w:val="center"/>
              <w:rPr>
                <w:rFonts w:ascii="宋体" w:hAnsi="宋体" w:cs="宋体"/>
                <w:b/>
                <w:sz w:val="24"/>
                <w:szCs w:val="24"/>
              </w:rPr>
            </w:pPr>
            <w:r>
              <w:rPr>
                <w:rFonts w:hint="eastAsia" w:ascii="宋体" w:hAnsi="宋体" w:cs="宋体"/>
                <w:b/>
                <w:sz w:val="24"/>
                <w:szCs w:val="24"/>
              </w:rPr>
              <w:t>投标报价</w:t>
            </w:r>
          </w:p>
        </w:tc>
        <w:tc>
          <w:tcPr>
            <w:tcW w:w="936" w:type="pct"/>
            <w:vAlign w:val="center"/>
          </w:tcPr>
          <w:p w14:paraId="203CEB59">
            <w:pPr>
              <w:jc w:val="center"/>
              <w:rPr>
                <w:rFonts w:ascii="宋体" w:hAnsi="宋体" w:cs="宋体"/>
                <w:b/>
                <w:sz w:val="24"/>
                <w:szCs w:val="24"/>
              </w:rPr>
            </w:pPr>
            <w:r>
              <w:rPr>
                <w:rFonts w:hint="eastAsia" w:ascii="宋体" w:hAnsi="宋体" w:cs="宋体"/>
                <w:b/>
                <w:sz w:val="24"/>
                <w:szCs w:val="24"/>
              </w:rPr>
              <w:t>备注</w:t>
            </w:r>
          </w:p>
        </w:tc>
      </w:tr>
      <w:tr w14:paraId="3E6AD3A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75" w:hRule="atLeast"/>
          <w:jc w:val="center"/>
        </w:trPr>
        <w:tc>
          <w:tcPr>
            <w:tcW w:w="636" w:type="pct"/>
            <w:vAlign w:val="center"/>
          </w:tcPr>
          <w:p w14:paraId="1568015E">
            <w:pPr>
              <w:spacing w:line="340" w:lineRule="exact"/>
              <w:jc w:val="center"/>
              <w:rPr>
                <w:rFonts w:ascii="宋体" w:hAnsi="宋体" w:cs="宋体"/>
                <w:sz w:val="24"/>
                <w:szCs w:val="24"/>
              </w:rPr>
            </w:pPr>
            <w:r>
              <w:rPr>
                <w:rFonts w:hint="eastAsia" w:ascii="宋体" w:hAnsi="宋体" w:cs="宋体"/>
                <w:sz w:val="24"/>
                <w:szCs w:val="24"/>
              </w:rPr>
              <w:t>1</w:t>
            </w:r>
          </w:p>
        </w:tc>
        <w:tc>
          <w:tcPr>
            <w:tcW w:w="707" w:type="pct"/>
            <w:vAlign w:val="center"/>
          </w:tcPr>
          <w:p w14:paraId="2073B03B">
            <w:pPr>
              <w:spacing w:line="340" w:lineRule="exact"/>
              <w:jc w:val="center"/>
              <w:rPr>
                <w:rFonts w:ascii="宋体" w:hAnsi="宋体" w:cs="宋体"/>
                <w:sz w:val="24"/>
                <w:szCs w:val="24"/>
              </w:rPr>
            </w:pPr>
            <w:r>
              <w:rPr>
                <w:rFonts w:hint="eastAsia" w:ascii="宋体" w:hAnsi="宋体" w:cs="宋体"/>
                <w:sz w:val="24"/>
                <w:szCs w:val="24"/>
              </w:rPr>
              <w:t>1-1</w:t>
            </w:r>
          </w:p>
        </w:tc>
        <w:tc>
          <w:tcPr>
            <w:tcW w:w="1784" w:type="pct"/>
            <w:vAlign w:val="center"/>
          </w:tcPr>
          <w:p w14:paraId="37E51C1C">
            <w:pPr>
              <w:snapToGrid w:val="0"/>
              <w:spacing w:line="400" w:lineRule="exact"/>
              <w:ind w:firstLine="480" w:firstLineChars="200"/>
              <w:outlineLvl w:val="1"/>
              <w:rPr>
                <w:rFonts w:ascii="宋体" w:hAnsi="宋体" w:cs="宋体"/>
                <w:bCs/>
                <w:sz w:val="24"/>
                <w:szCs w:val="24"/>
              </w:rPr>
            </w:pPr>
            <w:r>
              <w:rPr>
                <w:rFonts w:hint="eastAsia" w:ascii="宋体" w:hAnsi="宋体" w:cs="宋体"/>
                <w:bCs/>
                <w:sz w:val="24"/>
                <w:szCs w:val="24"/>
              </w:rPr>
              <w:t>漳州新园轻工实业有限责任公司安全生产应急指挥中心升级改造（基建部分）采购项目</w:t>
            </w:r>
          </w:p>
          <w:p w14:paraId="7C9A7D63">
            <w:pPr>
              <w:jc w:val="center"/>
              <w:rPr>
                <w:rFonts w:ascii="宋体" w:hAnsi="宋体" w:cs="宋体"/>
                <w:sz w:val="24"/>
                <w:szCs w:val="24"/>
              </w:rPr>
            </w:pPr>
          </w:p>
        </w:tc>
        <w:tc>
          <w:tcPr>
            <w:tcW w:w="935" w:type="pct"/>
            <w:vAlign w:val="center"/>
          </w:tcPr>
          <w:p w14:paraId="6CA25CB8">
            <w:pPr>
              <w:spacing w:line="340" w:lineRule="exact"/>
              <w:jc w:val="center"/>
              <w:rPr>
                <w:rFonts w:ascii="宋体" w:hAnsi="宋体" w:cs="宋体"/>
                <w:sz w:val="24"/>
                <w:szCs w:val="24"/>
              </w:rPr>
            </w:pPr>
          </w:p>
        </w:tc>
        <w:tc>
          <w:tcPr>
            <w:tcW w:w="936" w:type="pct"/>
            <w:vAlign w:val="center"/>
          </w:tcPr>
          <w:p w14:paraId="25E95318">
            <w:pPr>
              <w:spacing w:line="340" w:lineRule="exact"/>
              <w:jc w:val="center"/>
              <w:rPr>
                <w:rFonts w:ascii="宋体" w:hAnsi="宋体" w:cs="宋体"/>
                <w:sz w:val="24"/>
                <w:szCs w:val="24"/>
              </w:rPr>
            </w:pPr>
          </w:p>
        </w:tc>
      </w:tr>
    </w:tbl>
    <w:p w14:paraId="29E35E3A">
      <w:pPr>
        <w:spacing w:line="340" w:lineRule="exact"/>
        <w:rPr>
          <w:rFonts w:ascii="宋体" w:hAnsi="宋体" w:cs="宋体"/>
          <w:sz w:val="24"/>
          <w:szCs w:val="24"/>
        </w:rPr>
      </w:pPr>
    </w:p>
    <w:p w14:paraId="7E27B8EC">
      <w:pPr>
        <w:spacing w:line="340" w:lineRule="exact"/>
        <w:rPr>
          <w:rFonts w:ascii="宋体" w:hAnsi="宋体" w:cs="宋体"/>
          <w:b/>
          <w:sz w:val="22"/>
          <w:szCs w:val="22"/>
        </w:rPr>
      </w:pPr>
      <w:r>
        <w:rPr>
          <w:rFonts w:hint="eastAsia" w:ascii="宋体" w:hAnsi="宋体" w:cs="宋体"/>
          <w:b/>
          <w:sz w:val="22"/>
          <w:szCs w:val="22"/>
        </w:rPr>
        <w:t>本表无需装入响应文件，在磋商后单独密封提交。</w:t>
      </w:r>
    </w:p>
    <w:p w14:paraId="7AF59AE3">
      <w:pPr>
        <w:spacing w:line="340" w:lineRule="exact"/>
        <w:rPr>
          <w:rFonts w:ascii="宋体" w:hAnsi="宋体" w:cs="宋体"/>
          <w:sz w:val="24"/>
          <w:szCs w:val="24"/>
        </w:rPr>
      </w:pPr>
    </w:p>
    <w:p w14:paraId="2D2F0CFB">
      <w:pPr>
        <w:pStyle w:val="44"/>
      </w:pPr>
      <w:r>
        <w:rPr>
          <w:rFonts w:hint="eastAsia"/>
        </w:rPr>
        <w:t>供应商：</w:t>
      </w:r>
      <w:r>
        <w:rPr>
          <w:rFonts w:hint="eastAsia"/>
          <w:u w:val="single"/>
        </w:rPr>
        <w:t>（全称并加盖单位公章）</w:t>
      </w:r>
    </w:p>
    <w:p w14:paraId="781F66E4">
      <w:pPr>
        <w:pStyle w:val="44"/>
      </w:pPr>
      <w:r>
        <w:rPr>
          <w:rFonts w:hint="eastAsia"/>
        </w:rPr>
        <w:t>供应商代表签字：</w:t>
      </w:r>
      <w:r>
        <w:rPr>
          <w:rFonts w:hint="eastAsia"/>
          <w:u w:val="single"/>
        </w:rPr>
        <w:t>         </w:t>
      </w:r>
    </w:p>
    <w:p w14:paraId="3B68ED9D">
      <w:pPr>
        <w:pStyle w:val="44"/>
      </w:pPr>
      <w:r>
        <w:rPr>
          <w:rFonts w:hint="eastAsia"/>
        </w:rPr>
        <w:t>日期：</w:t>
      </w:r>
      <w:r>
        <w:rPr>
          <w:rFonts w:hint="eastAsia"/>
          <w:u w:val="single"/>
        </w:rPr>
        <w:t>    </w:t>
      </w:r>
      <w:r>
        <w:rPr>
          <w:rFonts w:hint="eastAsia"/>
        </w:rPr>
        <w:t>年</w:t>
      </w:r>
      <w:r>
        <w:rPr>
          <w:rFonts w:hint="eastAsia"/>
          <w:u w:val="single"/>
        </w:rPr>
        <w:t>   </w:t>
      </w:r>
      <w:r>
        <w:rPr>
          <w:rFonts w:hint="eastAsia"/>
        </w:rPr>
        <w:t>月</w:t>
      </w:r>
      <w:r>
        <w:rPr>
          <w:rFonts w:hint="eastAsia"/>
          <w:u w:val="single"/>
        </w:rPr>
        <w:t>   </w:t>
      </w:r>
      <w:r>
        <w:rPr>
          <w:rFonts w:hint="eastAsia"/>
        </w:rPr>
        <w:t>日</w:t>
      </w:r>
    </w:p>
    <w:p w14:paraId="35F17BA4">
      <w:pPr>
        <w:spacing w:line="360" w:lineRule="auto"/>
        <w:rPr>
          <w:rFonts w:ascii="宋体" w:hAnsi="宋体" w:cs="宋体"/>
          <w:sz w:val="24"/>
          <w:szCs w:val="24"/>
          <w:u w:val="single"/>
        </w:rPr>
      </w:pPr>
    </w:p>
    <w:p w14:paraId="2BDD7E4E">
      <w:pPr>
        <w:pStyle w:val="289"/>
        <w:ind w:firstLine="480"/>
        <w:rPr>
          <w:rFonts w:ascii="宋体" w:hAnsi="宋体" w:cs="宋体"/>
          <w:sz w:val="24"/>
          <w:szCs w:val="24"/>
          <w:u w:val="single"/>
        </w:rPr>
      </w:pPr>
    </w:p>
    <w:p w14:paraId="3AD96063">
      <w:pPr>
        <w:pStyle w:val="289"/>
        <w:ind w:firstLine="480"/>
        <w:rPr>
          <w:rFonts w:ascii="宋体" w:hAnsi="宋体" w:cs="宋体"/>
          <w:sz w:val="24"/>
          <w:szCs w:val="24"/>
          <w:u w:val="single"/>
        </w:rPr>
      </w:pPr>
    </w:p>
    <w:p w14:paraId="379C8780">
      <w:pPr>
        <w:spacing w:line="360" w:lineRule="auto"/>
        <w:jc w:val="center"/>
        <w:rPr>
          <w:rStyle w:val="52"/>
          <w:rFonts w:ascii="宋体" w:hAnsi="宋体" w:cs="宋体"/>
          <w:sz w:val="32"/>
          <w:szCs w:val="32"/>
        </w:rPr>
      </w:pPr>
    </w:p>
    <w:p w14:paraId="7A155D92">
      <w:pPr>
        <w:spacing w:line="360" w:lineRule="auto"/>
        <w:jc w:val="center"/>
        <w:rPr>
          <w:rStyle w:val="52"/>
          <w:rFonts w:ascii="宋体" w:hAnsi="宋体" w:cs="宋体"/>
          <w:sz w:val="32"/>
          <w:szCs w:val="32"/>
        </w:rPr>
      </w:pPr>
    </w:p>
    <w:p w14:paraId="62B1ACDD">
      <w:pPr>
        <w:spacing w:line="360" w:lineRule="auto"/>
        <w:jc w:val="center"/>
        <w:rPr>
          <w:rStyle w:val="52"/>
          <w:rFonts w:ascii="宋体" w:hAnsi="宋体" w:cs="宋体"/>
          <w:sz w:val="32"/>
          <w:szCs w:val="32"/>
        </w:rPr>
      </w:pPr>
    </w:p>
    <w:p w14:paraId="40C562B5">
      <w:pPr>
        <w:spacing w:line="360" w:lineRule="auto"/>
        <w:jc w:val="center"/>
        <w:rPr>
          <w:sz w:val="20"/>
          <w:szCs w:val="24"/>
        </w:rPr>
      </w:pPr>
      <w:bookmarkStart w:id="209" w:name="_Toc26502"/>
      <w:bookmarkStart w:id="210" w:name="_Toc16240_WPSOffice_Level3"/>
      <w:bookmarkStart w:id="211" w:name="_Toc22665_WPSOffice_Level3"/>
      <w:r>
        <w:rPr>
          <w:rFonts w:hint="eastAsia" w:ascii="宋体" w:hAnsi="宋体" w:cs="宋体"/>
          <w:b/>
          <w:spacing w:val="-4"/>
          <w:szCs w:val="21"/>
        </w:rPr>
        <w:br w:type="page"/>
      </w:r>
      <w:r>
        <w:rPr>
          <w:rFonts w:ascii="宋体" w:hAnsi="宋体" w:cs="宋体"/>
          <w:b/>
          <w:spacing w:val="20"/>
          <w:sz w:val="32"/>
          <w:szCs w:val="32"/>
        </w:rPr>
        <w:t>详细报价书</w:t>
      </w:r>
    </w:p>
    <w:p w14:paraId="5518A90C">
      <w:pPr>
        <w:pStyle w:val="301"/>
        <w:spacing w:line="400" w:lineRule="exact"/>
        <w:rPr>
          <w:rFonts w:hint="default" w:ascii="宋体" w:hAnsi="宋体" w:cs="宋体"/>
          <w:sz w:val="24"/>
          <w:szCs w:val="24"/>
        </w:rPr>
      </w:pPr>
      <w:r>
        <w:rPr>
          <w:rFonts w:ascii="宋体" w:hAnsi="宋体" w:cs="宋体"/>
          <w:b/>
          <w:sz w:val="24"/>
          <w:szCs w:val="24"/>
        </w:rPr>
        <w:t>说明：</w:t>
      </w:r>
    </w:p>
    <w:p w14:paraId="332D097A">
      <w:pPr>
        <w:pStyle w:val="301"/>
        <w:numPr>
          <w:ilvl w:val="0"/>
          <w:numId w:val="21"/>
        </w:numPr>
        <w:spacing w:line="400" w:lineRule="exact"/>
        <w:ind w:firstLine="480"/>
        <w:rPr>
          <w:rFonts w:hint="default" w:ascii="宋体" w:hAnsi="宋体" w:cs="宋体"/>
          <w:sz w:val="24"/>
          <w:szCs w:val="24"/>
        </w:rPr>
      </w:pPr>
      <w:r>
        <w:rPr>
          <w:rFonts w:ascii="宋体" w:hAnsi="宋体" w:cs="宋体"/>
          <w:sz w:val="24"/>
          <w:szCs w:val="24"/>
        </w:rPr>
        <w:t>各供应商应根据竞争性磋商文件的要求，在响应文件中提出为完成本项目相应采购包工作所必需包含的详细工作内容（如：详细具体货物或服务或工程量清单内容），并以此做出详细的报价书。详细报价书应做出详细完整的报价单价和合价，并汇总计算出报价总价。采购人或采购代理机构如果对详细报价书有统一格式要求的，可以进行规定或附表。如果没有特别要求的，则格式由供应商根据项目特点自行拟制。</w:t>
      </w:r>
    </w:p>
    <w:p w14:paraId="583F5510">
      <w:pPr>
        <w:pStyle w:val="301"/>
        <w:spacing w:line="400" w:lineRule="exact"/>
        <w:ind w:firstLine="480" w:firstLineChars="200"/>
        <w:rPr>
          <w:rFonts w:hint="default" w:ascii="宋体" w:hAnsi="宋体" w:cs="宋体"/>
          <w:sz w:val="24"/>
          <w:szCs w:val="24"/>
        </w:rPr>
      </w:pPr>
      <w:r>
        <w:rPr>
          <w:rFonts w:ascii="宋体" w:hAnsi="宋体" w:cs="宋体"/>
          <w:sz w:val="24"/>
          <w:szCs w:val="24"/>
        </w:rPr>
        <w:t>2.为完成相应采购包项下的全部工作所涉及的费用都应包含在详细报价书的各个单项中，供应商应充分考虑和评估。供应商未做详细分析或理解偏差错漏或不认真严谨等原因造成其未将本合同项下相关项目和费用列入详细报价书的，均视同相关项目和费用为已包含在详细报价书的其他单价或合价中，采购人在合同执行过程中，不再多还少补。</w:t>
      </w:r>
    </w:p>
    <w:p w14:paraId="0CCF0045">
      <w:pPr>
        <w:pStyle w:val="44"/>
        <w:widowControl/>
        <w:spacing w:line="400" w:lineRule="exact"/>
        <w:ind w:firstLine="480" w:firstLineChars="200"/>
        <w:jc w:val="left"/>
        <w:rPr>
          <w:rStyle w:val="52"/>
        </w:rPr>
      </w:pPr>
      <w:r>
        <w:rPr>
          <w:rFonts w:hint="eastAsia"/>
        </w:rPr>
        <w:t xml:space="preserve"> 3.对于不能详细列明采购标的的技术、服务要求的磋商采购项目或者如优惠率磋商、单价磋商等特殊类型的磋商采购项目，由供应商根据磋商文件的具体规定和项目特点提交详细报价书，采购人或采购代理机构如果对详细报价书有统一格式要求的，可以进行规定或附表。如果没有特别要求的，则格式由供应商根据项目特点自行拟制。</w:t>
      </w:r>
      <w:r>
        <w:rPr>
          <w:rFonts w:hint="eastAsia"/>
        </w:rPr>
        <w:br w:type="textWrapping"/>
      </w:r>
    </w:p>
    <w:p w14:paraId="5C143D59">
      <w:pPr>
        <w:rPr>
          <w:rFonts w:ascii="宋体" w:hAnsi="宋体" w:cs="宋体"/>
          <w:b/>
          <w:spacing w:val="-4"/>
          <w:szCs w:val="21"/>
        </w:rPr>
      </w:pPr>
      <w:r>
        <w:rPr>
          <w:rFonts w:hint="eastAsia" w:ascii="宋体" w:hAnsi="宋体" w:cs="宋体"/>
          <w:b/>
          <w:spacing w:val="-4"/>
          <w:szCs w:val="21"/>
        </w:rPr>
        <w:br w:type="page"/>
      </w:r>
    </w:p>
    <w:p w14:paraId="7790CE63">
      <w:pPr>
        <w:rPr>
          <w:rFonts w:ascii="宋体" w:hAnsi="宋体" w:cs="宋体"/>
          <w:b/>
          <w:spacing w:val="-4"/>
          <w:szCs w:val="21"/>
        </w:rPr>
      </w:pPr>
    </w:p>
    <w:p w14:paraId="173CB32B">
      <w:pPr>
        <w:rPr>
          <w:rFonts w:ascii="宋体" w:hAnsi="宋体" w:cs="宋体"/>
          <w:b/>
          <w:spacing w:val="-4"/>
          <w:szCs w:val="21"/>
        </w:rPr>
      </w:pPr>
    </w:p>
    <w:p w14:paraId="32AB6770">
      <w:pPr>
        <w:spacing w:line="360" w:lineRule="auto"/>
        <w:jc w:val="left"/>
        <w:outlineLvl w:val="0"/>
        <w:rPr>
          <w:rFonts w:ascii="宋体" w:hAnsi="宋体" w:cs="宋体"/>
          <w:b/>
          <w:sz w:val="28"/>
        </w:rPr>
      </w:pPr>
      <w:r>
        <w:rPr>
          <w:rFonts w:hint="eastAsia" w:ascii="宋体" w:hAnsi="宋体" w:cs="宋体"/>
          <w:b/>
          <w:spacing w:val="-4"/>
          <w:szCs w:val="21"/>
        </w:rPr>
        <w:t>附件</w:t>
      </w:r>
      <w:bookmarkEnd w:id="209"/>
      <w:r>
        <w:rPr>
          <w:rFonts w:hint="eastAsia" w:ascii="宋体" w:hAnsi="宋体" w:cs="宋体"/>
          <w:b/>
          <w:spacing w:val="-4"/>
          <w:szCs w:val="21"/>
        </w:rPr>
        <w:t>3</w:t>
      </w:r>
    </w:p>
    <w:p w14:paraId="27DB1012">
      <w:pPr>
        <w:spacing w:line="360" w:lineRule="auto"/>
        <w:jc w:val="center"/>
        <w:rPr>
          <w:rFonts w:ascii="宋体" w:hAnsi="宋体" w:cs="宋体"/>
          <w:b/>
          <w:sz w:val="32"/>
          <w:szCs w:val="32"/>
        </w:rPr>
      </w:pPr>
      <w:r>
        <w:rPr>
          <w:rFonts w:hint="eastAsia" w:ascii="宋体" w:hAnsi="宋体" w:cs="宋体"/>
          <w:b/>
          <w:sz w:val="32"/>
          <w:szCs w:val="32"/>
        </w:rPr>
        <w:t>报价书</w:t>
      </w:r>
      <w:bookmarkEnd w:id="210"/>
      <w:bookmarkEnd w:id="211"/>
    </w:p>
    <w:p w14:paraId="7C166D7B">
      <w:pPr>
        <w:spacing w:line="360" w:lineRule="auto"/>
        <w:rPr>
          <w:rFonts w:ascii="宋体" w:hAnsi="宋体" w:cs="宋体"/>
          <w:sz w:val="24"/>
          <w:szCs w:val="24"/>
        </w:rPr>
      </w:pPr>
      <w:r>
        <w:rPr>
          <w:rFonts w:hint="eastAsia" w:ascii="宋体" w:hAnsi="宋体" w:cs="宋体"/>
          <w:sz w:val="24"/>
          <w:szCs w:val="24"/>
        </w:rPr>
        <w:t>致：</w:t>
      </w:r>
      <w:r>
        <w:rPr>
          <w:rFonts w:hint="eastAsia" w:ascii="宋体" w:hAnsi="宋体" w:cs="宋体"/>
          <w:sz w:val="24"/>
          <w:szCs w:val="24"/>
          <w:u w:val="single"/>
        </w:rPr>
        <w:t> 福建优胜招标项目管理集团有限公司</w:t>
      </w:r>
    </w:p>
    <w:p w14:paraId="1176C20B">
      <w:pPr>
        <w:spacing w:line="360" w:lineRule="auto"/>
        <w:ind w:firstLine="480"/>
        <w:rPr>
          <w:rFonts w:ascii="宋体" w:hAnsi="宋体" w:cs="宋体"/>
          <w:sz w:val="24"/>
          <w:szCs w:val="24"/>
        </w:rPr>
      </w:pPr>
      <w:r>
        <w:rPr>
          <w:rFonts w:hint="eastAsia" w:ascii="宋体" w:hAnsi="宋体" w:cs="宋体"/>
          <w:sz w:val="24"/>
          <w:szCs w:val="24"/>
        </w:rPr>
        <w:t xml:space="preserve">根据贵方为 </w:t>
      </w:r>
      <w:r>
        <w:rPr>
          <w:rFonts w:hint="eastAsia" w:ascii="宋体" w:hAnsi="宋体" w:cs="宋体"/>
          <w:sz w:val="24"/>
          <w:szCs w:val="24"/>
          <w:u w:val="single"/>
        </w:rPr>
        <w:t xml:space="preserve"> （项目名称）</w:t>
      </w:r>
      <w:r>
        <w:rPr>
          <w:rFonts w:hint="eastAsia" w:ascii="宋体" w:hAnsi="宋体" w:cs="宋体"/>
          <w:sz w:val="24"/>
          <w:szCs w:val="24"/>
        </w:rPr>
        <w:t>的磋商邀请（项目编号）: ，本签署代表</w:t>
      </w:r>
      <w:r>
        <w:rPr>
          <w:rFonts w:hint="eastAsia" w:ascii="宋体" w:hAnsi="宋体" w:cs="宋体"/>
          <w:sz w:val="24"/>
          <w:szCs w:val="24"/>
          <w:u w:val="single"/>
        </w:rPr>
        <w:t>（全名、职务）</w:t>
      </w:r>
      <w:r>
        <w:rPr>
          <w:rFonts w:hint="eastAsia" w:ascii="宋体" w:hAnsi="宋体" w:cs="宋体"/>
          <w:sz w:val="24"/>
          <w:szCs w:val="24"/>
        </w:rPr>
        <w:t>被正式授权并代表供应商</w:t>
      </w:r>
      <w:r>
        <w:rPr>
          <w:rFonts w:hint="eastAsia" w:ascii="宋体" w:hAnsi="宋体" w:cs="宋体"/>
          <w:sz w:val="24"/>
          <w:szCs w:val="24"/>
          <w:u w:val="single"/>
        </w:rPr>
        <w:t>（供应商全称）</w:t>
      </w:r>
      <w:r>
        <w:rPr>
          <w:rFonts w:hint="eastAsia" w:ascii="宋体" w:hAnsi="宋体" w:cs="宋体"/>
          <w:sz w:val="24"/>
          <w:szCs w:val="24"/>
        </w:rPr>
        <w:t>提交下述文件正本一份和副本份。</w:t>
      </w:r>
    </w:p>
    <w:p w14:paraId="4E62416A">
      <w:pPr>
        <w:spacing w:line="360" w:lineRule="auto"/>
        <w:rPr>
          <w:rFonts w:ascii="宋体" w:hAnsi="宋体" w:cs="宋体"/>
          <w:sz w:val="24"/>
          <w:szCs w:val="24"/>
        </w:rPr>
      </w:pPr>
      <w:r>
        <w:rPr>
          <w:rFonts w:hint="eastAsia" w:ascii="宋体" w:hAnsi="宋体" w:cs="宋体"/>
          <w:sz w:val="24"/>
          <w:szCs w:val="24"/>
        </w:rPr>
        <w:t>以方式提供的金额为人民币元的磋商保证金。</w:t>
      </w:r>
    </w:p>
    <w:p w14:paraId="61E057F7">
      <w:pPr>
        <w:tabs>
          <w:tab w:val="left" w:pos="1260"/>
        </w:tabs>
        <w:spacing w:line="360" w:lineRule="auto"/>
        <w:ind w:firstLine="588" w:firstLineChars="245"/>
        <w:rPr>
          <w:rFonts w:ascii="宋体" w:hAnsi="宋体" w:cs="宋体"/>
          <w:sz w:val="24"/>
          <w:szCs w:val="24"/>
        </w:rPr>
      </w:pPr>
      <w:r>
        <w:rPr>
          <w:rFonts w:hint="eastAsia" w:ascii="宋体" w:hAnsi="宋体" w:cs="宋体"/>
          <w:sz w:val="24"/>
          <w:szCs w:val="24"/>
        </w:rPr>
        <w:t>据此函，签署代表宣布同意如下：</w:t>
      </w:r>
    </w:p>
    <w:p w14:paraId="7B41905D">
      <w:pPr>
        <w:numPr>
          <w:ilvl w:val="0"/>
          <w:numId w:val="22"/>
        </w:numPr>
        <w:tabs>
          <w:tab w:val="left" w:pos="0"/>
        </w:tabs>
        <w:spacing w:line="360" w:lineRule="auto"/>
        <w:ind w:left="0" w:firstLine="525"/>
        <w:rPr>
          <w:rFonts w:ascii="宋体" w:hAnsi="宋体" w:cs="宋体"/>
          <w:sz w:val="24"/>
          <w:szCs w:val="24"/>
        </w:rPr>
      </w:pPr>
      <w:r>
        <w:rPr>
          <w:rFonts w:hint="eastAsia" w:ascii="宋体" w:hAnsi="宋体" w:cs="宋体"/>
          <w:sz w:val="24"/>
          <w:szCs w:val="24"/>
        </w:rPr>
        <w:t>我方愿意积极参与本项目的报价，并保证遵守竞争性磋商文件的全部规定，所提交的材料中所含的信息均为真实、准确、完整，且不具有任何误导性。</w:t>
      </w:r>
    </w:p>
    <w:p w14:paraId="7C8D9B6D">
      <w:pPr>
        <w:numPr>
          <w:ilvl w:val="0"/>
          <w:numId w:val="22"/>
        </w:numPr>
        <w:tabs>
          <w:tab w:val="left" w:pos="0"/>
        </w:tabs>
        <w:spacing w:line="360" w:lineRule="auto"/>
        <w:ind w:left="0" w:firstLine="525"/>
        <w:rPr>
          <w:rFonts w:ascii="宋体" w:hAnsi="宋体" w:cs="宋体"/>
          <w:sz w:val="24"/>
          <w:szCs w:val="24"/>
        </w:rPr>
      </w:pPr>
      <w:r>
        <w:rPr>
          <w:rFonts w:hint="eastAsia" w:ascii="宋体" w:hAnsi="宋体" w:cs="宋体"/>
          <w:sz w:val="24"/>
          <w:szCs w:val="24"/>
        </w:rPr>
        <w:t>我方已详细审查全部竞争性磋商文件，包括修改文件（如有的话）和有关附件，将自行承担因对全部竞争性磋商文件理解不正确或误解而产生的相应后果。</w:t>
      </w:r>
    </w:p>
    <w:p w14:paraId="67A1991E">
      <w:pPr>
        <w:numPr>
          <w:ilvl w:val="0"/>
          <w:numId w:val="22"/>
        </w:numPr>
        <w:tabs>
          <w:tab w:val="left" w:pos="0"/>
        </w:tabs>
        <w:spacing w:line="360" w:lineRule="auto"/>
        <w:ind w:left="0" w:firstLine="525"/>
        <w:rPr>
          <w:rFonts w:ascii="宋体" w:hAnsi="宋体" w:cs="宋体"/>
          <w:sz w:val="24"/>
          <w:szCs w:val="24"/>
        </w:rPr>
      </w:pPr>
      <w:r>
        <w:rPr>
          <w:rFonts w:hint="eastAsia" w:ascii="宋体" w:hAnsi="宋体" w:cs="宋体"/>
          <w:sz w:val="24"/>
          <w:szCs w:val="24"/>
        </w:rPr>
        <w:t>我方将按竞争性磋商文件的规定履行合同责任和义务。</w:t>
      </w:r>
    </w:p>
    <w:p w14:paraId="64CC7392">
      <w:pPr>
        <w:numPr>
          <w:ilvl w:val="0"/>
          <w:numId w:val="22"/>
        </w:numPr>
        <w:tabs>
          <w:tab w:val="left" w:pos="0"/>
        </w:tabs>
        <w:spacing w:line="360" w:lineRule="auto"/>
        <w:ind w:left="0" w:right="-210" w:rightChars="-100" w:firstLine="527"/>
        <w:rPr>
          <w:rFonts w:ascii="宋体" w:hAnsi="宋体" w:cs="宋体"/>
          <w:sz w:val="24"/>
          <w:szCs w:val="24"/>
        </w:rPr>
      </w:pPr>
      <w:r>
        <w:rPr>
          <w:rFonts w:hint="eastAsia" w:ascii="宋体" w:hAnsi="宋体" w:cs="宋体"/>
          <w:sz w:val="24"/>
          <w:szCs w:val="24"/>
        </w:rPr>
        <w:t>本响应文件自响应文件递交截止起报价有效期为：90个日历日</w:t>
      </w:r>
    </w:p>
    <w:p w14:paraId="63928899">
      <w:pPr>
        <w:numPr>
          <w:ilvl w:val="0"/>
          <w:numId w:val="22"/>
        </w:numPr>
        <w:tabs>
          <w:tab w:val="left" w:pos="0"/>
        </w:tabs>
        <w:spacing w:line="360" w:lineRule="auto"/>
        <w:ind w:left="0" w:firstLine="525"/>
        <w:rPr>
          <w:rFonts w:ascii="宋体" w:hAnsi="宋体" w:cs="宋体"/>
          <w:sz w:val="24"/>
          <w:szCs w:val="24"/>
        </w:rPr>
      </w:pPr>
      <w:r>
        <w:rPr>
          <w:rFonts w:hint="eastAsia" w:ascii="宋体" w:hAnsi="宋体" w:cs="宋体"/>
          <w:sz w:val="24"/>
          <w:szCs w:val="24"/>
        </w:rPr>
        <w:t>如果发生竞争性磋商文件第二章供应商须知第12条所述情况，则同意采购代理机构不予退还磋商保证金。</w:t>
      </w:r>
    </w:p>
    <w:p w14:paraId="3DDD4D1F">
      <w:pPr>
        <w:numPr>
          <w:ilvl w:val="0"/>
          <w:numId w:val="22"/>
        </w:numPr>
        <w:tabs>
          <w:tab w:val="left" w:pos="0"/>
        </w:tabs>
        <w:spacing w:line="360" w:lineRule="auto"/>
        <w:ind w:left="0" w:firstLine="525"/>
        <w:rPr>
          <w:rFonts w:ascii="宋体" w:hAnsi="宋体" w:cs="宋体"/>
          <w:sz w:val="24"/>
          <w:szCs w:val="24"/>
        </w:rPr>
      </w:pPr>
      <w:r>
        <w:rPr>
          <w:rFonts w:hint="eastAsia" w:ascii="宋体" w:hAnsi="宋体" w:cs="宋体"/>
          <w:sz w:val="24"/>
          <w:szCs w:val="24"/>
        </w:rPr>
        <w:t>我方同意提供按照采购人可能要求的与其报价有关的一切数据或资料，完全理解贵方不一定要接受最低的报价或收到的任何报价。</w:t>
      </w:r>
    </w:p>
    <w:p w14:paraId="18550645">
      <w:pPr>
        <w:numPr>
          <w:ilvl w:val="0"/>
          <w:numId w:val="22"/>
        </w:numPr>
        <w:tabs>
          <w:tab w:val="left" w:pos="0"/>
        </w:tabs>
        <w:spacing w:line="360" w:lineRule="auto"/>
        <w:ind w:left="0" w:firstLine="525"/>
        <w:rPr>
          <w:rFonts w:ascii="宋体" w:hAnsi="宋体" w:cs="宋体"/>
          <w:sz w:val="24"/>
          <w:szCs w:val="24"/>
        </w:rPr>
      </w:pPr>
      <w:r>
        <w:rPr>
          <w:rFonts w:hint="eastAsia" w:ascii="宋体" w:hAnsi="宋体" w:cs="宋体"/>
          <w:sz w:val="24"/>
          <w:szCs w:val="24"/>
        </w:rPr>
        <w:t>与本项目有关的一切正式往来通信请寄：</w:t>
      </w:r>
    </w:p>
    <w:p w14:paraId="20642A6C">
      <w:pPr>
        <w:spacing w:line="360" w:lineRule="auto"/>
        <w:rPr>
          <w:rFonts w:ascii="宋体" w:hAnsi="宋体" w:cs="宋体"/>
          <w:sz w:val="24"/>
          <w:szCs w:val="24"/>
          <w:u w:val="single"/>
        </w:rPr>
      </w:pPr>
      <w:r>
        <w:rPr>
          <w:rFonts w:hint="eastAsia" w:ascii="宋体" w:hAnsi="宋体" w:cs="宋体"/>
          <w:sz w:val="24"/>
          <w:szCs w:val="24"/>
        </w:rPr>
        <w:t xml:space="preserve">     供应商全称（加盖公章） ：</w:t>
      </w:r>
    </w:p>
    <w:p w14:paraId="417509B2">
      <w:pPr>
        <w:spacing w:line="360" w:lineRule="auto"/>
        <w:ind w:firstLine="117" w:firstLineChars="49"/>
        <w:rPr>
          <w:rFonts w:ascii="宋体" w:hAnsi="宋体" w:cs="宋体"/>
          <w:sz w:val="24"/>
          <w:szCs w:val="24"/>
          <w:u w:val="single"/>
        </w:rPr>
      </w:pPr>
      <w:r>
        <w:rPr>
          <w:rFonts w:hint="eastAsia" w:ascii="宋体" w:hAnsi="宋体" w:cs="宋体"/>
          <w:sz w:val="24"/>
          <w:szCs w:val="24"/>
        </w:rPr>
        <w:t xml:space="preserve">    地址： 邮编：</w:t>
      </w:r>
    </w:p>
    <w:p w14:paraId="7B852AD2">
      <w:pPr>
        <w:spacing w:line="360" w:lineRule="auto"/>
        <w:ind w:firstLine="235" w:firstLineChars="98"/>
        <w:rPr>
          <w:rFonts w:ascii="宋体" w:hAnsi="宋体" w:cs="宋体"/>
          <w:sz w:val="24"/>
          <w:szCs w:val="24"/>
          <w:u w:val="single"/>
        </w:rPr>
      </w:pPr>
      <w:r>
        <w:rPr>
          <w:rFonts w:hint="eastAsia" w:ascii="宋体" w:hAnsi="宋体" w:cs="宋体"/>
          <w:sz w:val="24"/>
          <w:szCs w:val="24"/>
        </w:rPr>
        <w:t xml:space="preserve">   电话： 传真：</w:t>
      </w:r>
    </w:p>
    <w:p w14:paraId="6AD9E646">
      <w:pPr>
        <w:spacing w:line="360" w:lineRule="auto"/>
        <w:ind w:firstLine="590" w:firstLineChars="246"/>
        <w:rPr>
          <w:rFonts w:ascii="宋体" w:hAnsi="宋体" w:cs="宋体"/>
          <w:sz w:val="24"/>
          <w:szCs w:val="24"/>
          <w:u w:val="single"/>
        </w:rPr>
      </w:pPr>
      <w:r>
        <w:rPr>
          <w:rFonts w:hint="eastAsia" w:ascii="宋体" w:hAnsi="宋体" w:cs="宋体"/>
          <w:sz w:val="24"/>
          <w:szCs w:val="24"/>
        </w:rPr>
        <w:t>供应商代表（印刷体）： 签署：</w:t>
      </w:r>
    </w:p>
    <w:p w14:paraId="7296CB03">
      <w:pPr>
        <w:spacing w:line="360" w:lineRule="auto"/>
        <w:ind w:firstLine="600" w:firstLineChars="250"/>
        <w:rPr>
          <w:rFonts w:ascii="宋体" w:hAnsi="宋体" w:cs="宋体"/>
          <w:sz w:val="24"/>
          <w:szCs w:val="24"/>
        </w:rPr>
      </w:pPr>
      <w:r>
        <w:rPr>
          <w:rFonts w:hint="eastAsia" w:ascii="宋体" w:hAnsi="宋体" w:cs="宋体"/>
          <w:sz w:val="24"/>
          <w:szCs w:val="24"/>
        </w:rPr>
        <w:t>手机：  日期 ：202年月日</w:t>
      </w:r>
    </w:p>
    <w:p w14:paraId="1144F7B8">
      <w:pPr>
        <w:spacing w:line="288" w:lineRule="auto"/>
        <w:rPr>
          <w:rFonts w:ascii="宋体" w:hAnsi="宋体" w:cs="宋体"/>
          <w:b/>
          <w:sz w:val="24"/>
          <w:szCs w:val="24"/>
        </w:rPr>
        <w:sectPr>
          <w:headerReference r:id="rId7" w:type="default"/>
          <w:pgSz w:w="11907" w:h="16840"/>
          <w:pgMar w:top="1440" w:right="1797" w:bottom="1440" w:left="1797" w:header="794" w:footer="794" w:gutter="0"/>
          <w:cols w:space="720" w:num="1"/>
          <w:docGrid w:linePitch="312" w:charSpace="0"/>
        </w:sectPr>
      </w:pPr>
    </w:p>
    <w:p w14:paraId="215C43AB">
      <w:pPr>
        <w:spacing w:line="360" w:lineRule="auto"/>
        <w:jc w:val="left"/>
        <w:outlineLvl w:val="0"/>
        <w:rPr>
          <w:rFonts w:ascii="宋体" w:hAnsi="宋体" w:cs="宋体"/>
          <w:b/>
          <w:sz w:val="24"/>
        </w:rPr>
      </w:pPr>
      <w:bookmarkStart w:id="212" w:name="_Toc25227"/>
      <w:bookmarkStart w:id="213" w:name="_Toc11907_WPSOffice_Level3"/>
      <w:bookmarkStart w:id="214" w:name="_Toc29907_WPSOffice_Level3"/>
      <w:r>
        <w:rPr>
          <w:rFonts w:hint="eastAsia" w:ascii="宋体" w:hAnsi="宋体" w:cs="宋体"/>
          <w:b/>
          <w:spacing w:val="-4"/>
          <w:szCs w:val="21"/>
        </w:rPr>
        <w:t>附件</w:t>
      </w:r>
      <w:bookmarkEnd w:id="212"/>
      <w:bookmarkEnd w:id="213"/>
      <w:bookmarkEnd w:id="214"/>
      <w:r>
        <w:rPr>
          <w:rFonts w:hint="eastAsia" w:ascii="宋体" w:hAnsi="宋体" w:cs="宋体"/>
          <w:b/>
          <w:spacing w:val="-4"/>
          <w:szCs w:val="21"/>
        </w:rPr>
        <w:t>4</w:t>
      </w:r>
    </w:p>
    <w:p w14:paraId="6BECF461">
      <w:pPr>
        <w:pStyle w:val="44"/>
        <w:widowControl/>
        <w:spacing w:before="75" w:after="75"/>
        <w:jc w:val="center"/>
      </w:pPr>
      <w:r>
        <w:rPr>
          <w:rFonts w:hint="eastAsia"/>
          <w:b/>
          <w:sz w:val="32"/>
          <w:szCs w:val="32"/>
        </w:rPr>
        <w:t>技术和服务要求响应表</w:t>
      </w:r>
    </w:p>
    <w:p w14:paraId="36686C11">
      <w:pPr>
        <w:pStyle w:val="44"/>
        <w:widowControl/>
        <w:spacing w:before="75" w:after="75" w:line="375" w:lineRule="atLeast"/>
      </w:pPr>
      <w:r>
        <w:rPr>
          <w:rFonts w:hint="eastAsia"/>
        </w:rPr>
        <w:t>供应商名称：</w:t>
      </w:r>
      <w:r>
        <w:rPr>
          <w:rFonts w:hint="eastAsia"/>
          <w:u w:val="single"/>
        </w:rPr>
        <w:t> （全称加盖单位公章）</w:t>
      </w:r>
      <w:r>
        <w:rPr>
          <w:rFonts w:hint="eastAsia"/>
        </w:rPr>
        <w:t>  项目编号∶</w:t>
      </w:r>
      <w:r>
        <w:rPr>
          <w:rFonts w:hint="eastAsia"/>
          <w:u w:val="single"/>
        </w:rPr>
        <w:t>       </w:t>
      </w:r>
    </w:p>
    <w:tbl>
      <w:tblPr>
        <w:tblStyle w:val="49"/>
        <w:tblW w:w="4998" w:type="pct"/>
        <w:tblCellSpacing w:w="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823"/>
        <w:gridCol w:w="1602"/>
        <w:gridCol w:w="2660"/>
        <w:gridCol w:w="2395"/>
        <w:gridCol w:w="1357"/>
      </w:tblGrid>
      <w:tr w14:paraId="7684D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45" w:hRule="atLeast"/>
          <w:tblCellSpacing w:w="15" w:type="dxa"/>
        </w:trPr>
        <w:tc>
          <w:tcPr>
            <w:tcW w:w="440" w:type="pct"/>
            <w:tcMar>
              <w:top w:w="0" w:type="dxa"/>
              <w:left w:w="105" w:type="dxa"/>
              <w:bottom w:w="0" w:type="dxa"/>
              <w:right w:w="105" w:type="dxa"/>
            </w:tcMar>
            <w:vAlign w:val="center"/>
          </w:tcPr>
          <w:p w14:paraId="00319940">
            <w:pPr>
              <w:pStyle w:val="44"/>
              <w:widowControl/>
              <w:spacing w:line="375" w:lineRule="atLeast"/>
              <w:rPr>
                <w:szCs w:val="20"/>
              </w:rPr>
            </w:pPr>
            <w:r>
              <w:rPr>
                <w:rFonts w:hint="eastAsia"/>
              </w:rPr>
              <w:t>合同包</w:t>
            </w:r>
          </w:p>
        </w:tc>
        <w:tc>
          <w:tcPr>
            <w:tcW w:w="889" w:type="pct"/>
            <w:tcMar>
              <w:top w:w="0" w:type="dxa"/>
              <w:left w:w="105" w:type="dxa"/>
              <w:bottom w:w="0" w:type="dxa"/>
              <w:right w:w="105" w:type="dxa"/>
            </w:tcMar>
            <w:vAlign w:val="center"/>
          </w:tcPr>
          <w:p w14:paraId="234C1483">
            <w:pPr>
              <w:pStyle w:val="44"/>
              <w:widowControl/>
              <w:spacing w:line="375" w:lineRule="atLeast"/>
              <w:rPr>
                <w:szCs w:val="20"/>
              </w:rPr>
            </w:pPr>
            <w:r>
              <w:rPr>
                <w:rFonts w:hint="eastAsia"/>
              </w:rPr>
              <w:t>章节条目号</w:t>
            </w:r>
          </w:p>
        </w:tc>
        <w:tc>
          <w:tcPr>
            <w:tcW w:w="1487" w:type="pct"/>
            <w:tcMar>
              <w:top w:w="0" w:type="dxa"/>
              <w:left w:w="105" w:type="dxa"/>
              <w:bottom w:w="0" w:type="dxa"/>
              <w:right w:w="105" w:type="dxa"/>
            </w:tcMar>
            <w:vAlign w:val="center"/>
          </w:tcPr>
          <w:p w14:paraId="4C0D6115">
            <w:pPr>
              <w:pStyle w:val="44"/>
              <w:widowControl/>
              <w:spacing w:line="375" w:lineRule="atLeast"/>
              <w:rPr>
                <w:szCs w:val="20"/>
              </w:rPr>
            </w:pPr>
            <w:r>
              <w:rPr>
                <w:rFonts w:hint="eastAsia"/>
              </w:rPr>
              <w:t>竞争性磋商文件规定的技术和服务要求</w:t>
            </w:r>
          </w:p>
        </w:tc>
        <w:tc>
          <w:tcPr>
            <w:tcW w:w="1337" w:type="pct"/>
            <w:tcMar>
              <w:top w:w="0" w:type="dxa"/>
              <w:left w:w="105" w:type="dxa"/>
              <w:bottom w:w="0" w:type="dxa"/>
              <w:right w:w="105" w:type="dxa"/>
            </w:tcMar>
            <w:vAlign w:val="center"/>
          </w:tcPr>
          <w:p w14:paraId="4AD99D8B">
            <w:pPr>
              <w:pStyle w:val="44"/>
              <w:widowControl/>
              <w:spacing w:line="375" w:lineRule="atLeast"/>
              <w:rPr>
                <w:szCs w:val="20"/>
              </w:rPr>
            </w:pPr>
            <w:r>
              <w:rPr>
                <w:rFonts w:hint="eastAsia"/>
              </w:rPr>
              <w:t>响应文件响应承诺</w:t>
            </w:r>
          </w:p>
        </w:tc>
        <w:tc>
          <w:tcPr>
            <w:tcW w:w="742" w:type="pct"/>
            <w:tcMar>
              <w:top w:w="0" w:type="dxa"/>
              <w:left w:w="105" w:type="dxa"/>
              <w:bottom w:w="0" w:type="dxa"/>
              <w:right w:w="105" w:type="dxa"/>
            </w:tcMar>
            <w:vAlign w:val="center"/>
          </w:tcPr>
          <w:p w14:paraId="482E13B3">
            <w:pPr>
              <w:pStyle w:val="44"/>
              <w:widowControl/>
              <w:spacing w:line="375" w:lineRule="atLeast"/>
              <w:rPr>
                <w:szCs w:val="20"/>
              </w:rPr>
            </w:pPr>
            <w:r>
              <w:rPr>
                <w:rFonts w:hint="eastAsia"/>
              </w:rPr>
              <w:t>是否偏离及说明</w:t>
            </w:r>
          </w:p>
        </w:tc>
      </w:tr>
      <w:tr w14:paraId="25875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0" w:hRule="atLeast"/>
          <w:tblCellSpacing w:w="15" w:type="dxa"/>
        </w:trPr>
        <w:tc>
          <w:tcPr>
            <w:tcW w:w="440" w:type="pct"/>
            <w:tcMar>
              <w:top w:w="0" w:type="dxa"/>
              <w:left w:w="105" w:type="dxa"/>
              <w:bottom w:w="0" w:type="dxa"/>
              <w:right w:w="105" w:type="dxa"/>
            </w:tcMar>
            <w:vAlign w:val="center"/>
          </w:tcPr>
          <w:p w14:paraId="2104D8A6">
            <w:pPr>
              <w:widowControl/>
              <w:jc w:val="left"/>
              <w:rPr>
                <w:rFonts w:ascii="宋体" w:hAnsi="宋体" w:cs="宋体"/>
              </w:rPr>
            </w:pPr>
          </w:p>
        </w:tc>
        <w:tc>
          <w:tcPr>
            <w:tcW w:w="889" w:type="pct"/>
            <w:tcMar>
              <w:top w:w="0" w:type="dxa"/>
              <w:left w:w="105" w:type="dxa"/>
              <w:bottom w:w="0" w:type="dxa"/>
              <w:right w:w="105" w:type="dxa"/>
            </w:tcMar>
            <w:vAlign w:val="center"/>
          </w:tcPr>
          <w:p w14:paraId="36AE2B76">
            <w:pPr>
              <w:widowControl/>
              <w:jc w:val="left"/>
              <w:rPr>
                <w:rFonts w:ascii="宋体" w:hAnsi="宋体" w:cs="宋体"/>
              </w:rPr>
            </w:pPr>
          </w:p>
        </w:tc>
        <w:tc>
          <w:tcPr>
            <w:tcW w:w="1487" w:type="pct"/>
            <w:tcMar>
              <w:top w:w="0" w:type="dxa"/>
              <w:left w:w="105" w:type="dxa"/>
              <w:bottom w:w="0" w:type="dxa"/>
              <w:right w:w="105" w:type="dxa"/>
            </w:tcMar>
            <w:vAlign w:val="center"/>
          </w:tcPr>
          <w:p w14:paraId="2B243C11">
            <w:pPr>
              <w:widowControl/>
              <w:jc w:val="left"/>
              <w:rPr>
                <w:rFonts w:ascii="宋体" w:hAnsi="宋体" w:cs="宋体"/>
              </w:rPr>
            </w:pPr>
          </w:p>
        </w:tc>
        <w:tc>
          <w:tcPr>
            <w:tcW w:w="1337" w:type="pct"/>
            <w:tcMar>
              <w:top w:w="0" w:type="dxa"/>
              <w:left w:w="105" w:type="dxa"/>
              <w:bottom w:w="0" w:type="dxa"/>
              <w:right w:w="105" w:type="dxa"/>
            </w:tcMar>
            <w:vAlign w:val="center"/>
          </w:tcPr>
          <w:p w14:paraId="74239441">
            <w:pPr>
              <w:widowControl/>
              <w:jc w:val="left"/>
              <w:rPr>
                <w:rFonts w:ascii="宋体" w:hAnsi="宋体" w:cs="宋体"/>
              </w:rPr>
            </w:pPr>
          </w:p>
        </w:tc>
        <w:tc>
          <w:tcPr>
            <w:tcW w:w="742" w:type="pct"/>
            <w:tcMar>
              <w:top w:w="0" w:type="dxa"/>
              <w:left w:w="105" w:type="dxa"/>
              <w:bottom w:w="0" w:type="dxa"/>
              <w:right w:w="105" w:type="dxa"/>
            </w:tcMar>
            <w:vAlign w:val="center"/>
          </w:tcPr>
          <w:p w14:paraId="738D2C17">
            <w:pPr>
              <w:widowControl/>
              <w:jc w:val="left"/>
              <w:rPr>
                <w:rFonts w:ascii="宋体" w:hAnsi="宋体" w:cs="宋体"/>
              </w:rPr>
            </w:pPr>
          </w:p>
        </w:tc>
      </w:tr>
      <w:tr w14:paraId="5AA6B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0" w:hRule="atLeast"/>
          <w:tblCellSpacing w:w="15" w:type="dxa"/>
        </w:trPr>
        <w:tc>
          <w:tcPr>
            <w:tcW w:w="440" w:type="pct"/>
            <w:tcMar>
              <w:top w:w="0" w:type="dxa"/>
              <w:left w:w="105" w:type="dxa"/>
              <w:bottom w:w="0" w:type="dxa"/>
              <w:right w:w="105" w:type="dxa"/>
            </w:tcMar>
            <w:vAlign w:val="center"/>
          </w:tcPr>
          <w:p w14:paraId="6CC48A4D">
            <w:pPr>
              <w:widowControl/>
              <w:jc w:val="left"/>
              <w:rPr>
                <w:rFonts w:ascii="宋体" w:hAnsi="宋体" w:cs="宋体"/>
              </w:rPr>
            </w:pPr>
          </w:p>
        </w:tc>
        <w:tc>
          <w:tcPr>
            <w:tcW w:w="889" w:type="pct"/>
            <w:tcMar>
              <w:top w:w="0" w:type="dxa"/>
              <w:left w:w="105" w:type="dxa"/>
              <w:bottom w:w="0" w:type="dxa"/>
              <w:right w:w="105" w:type="dxa"/>
            </w:tcMar>
            <w:vAlign w:val="center"/>
          </w:tcPr>
          <w:p w14:paraId="73D55A02">
            <w:pPr>
              <w:widowControl/>
              <w:jc w:val="left"/>
              <w:rPr>
                <w:rFonts w:ascii="宋体" w:hAnsi="宋体" w:cs="宋体"/>
              </w:rPr>
            </w:pPr>
          </w:p>
        </w:tc>
        <w:tc>
          <w:tcPr>
            <w:tcW w:w="1487" w:type="pct"/>
            <w:tcMar>
              <w:top w:w="0" w:type="dxa"/>
              <w:left w:w="105" w:type="dxa"/>
              <w:bottom w:w="0" w:type="dxa"/>
              <w:right w:w="105" w:type="dxa"/>
            </w:tcMar>
            <w:vAlign w:val="center"/>
          </w:tcPr>
          <w:p w14:paraId="5F69DFB4">
            <w:pPr>
              <w:widowControl/>
              <w:jc w:val="left"/>
              <w:rPr>
                <w:rFonts w:ascii="宋体" w:hAnsi="宋体" w:cs="宋体"/>
              </w:rPr>
            </w:pPr>
          </w:p>
        </w:tc>
        <w:tc>
          <w:tcPr>
            <w:tcW w:w="1337" w:type="pct"/>
            <w:tcMar>
              <w:top w:w="0" w:type="dxa"/>
              <w:left w:w="105" w:type="dxa"/>
              <w:bottom w:w="0" w:type="dxa"/>
              <w:right w:w="105" w:type="dxa"/>
            </w:tcMar>
            <w:vAlign w:val="center"/>
          </w:tcPr>
          <w:p w14:paraId="4E01BFAF">
            <w:pPr>
              <w:widowControl/>
              <w:jc w:val="left"/>
              <w:rPr>
                <w:rFonts w:ascii="宋体" w:hAnsi="宋体" w:cs="宋体"/>
              </w:rPr>
            </w:pPr>
          </w:p>
        </w:tc>
        <w:tc>
          <w:tcPr>
            <w:tcW w:w="742" w:type="pct"/>
            <w:tcMar>
              <w:top w:w="0" w:type="dxa"/>
              <w:left w:w="105" w:type="dxa"/>
              <w:bottom w:w="0" w:type="dxa"/>
              <w:right w:w="105" w:type="dxa"/>
            </w:tcMar>
            <w:vAlign w:val="center"/>
          </w:tcPr>
          <w:p w14:paraId="1E14A4FA">
            <w:pPr>
              <w:widowControl/>
              <w:jc w:val="left"/>
              <w:rPr>
                <w:rFonts w:ascii="宋体" w:hAnsi="宋体" w:cs="宋体"/>
              </w:rPr>
            </w:pPr>
          </w:p>
        </w:tc>
      </w:tr>
      <w:tr w14:paraId="494ED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0" w:hRule="atLeast"/>
          <w:tblCellSpacing w:w="15" w:type="dxa"/>
        </w:trPr>
        <w:tc>
          <w:tcPr>
            <w:tcW w:w="440" w:type="pct"/>
            <w:tcMar>
              <w:top w:w="0" w:type="dxa"/>
              <w:left w:w="105" w:type="dxa"/>
              <w:bottom w:w="0" w:type="dxa"/>
              <w:right w:w="105" w:type="dxa"/>
            </w:tcMar>
            <w:vAlign w:val="center"/>
          </w:tcPr>
          <w:p w14:paraId="23A023C4">
            <w:pPr>
              <w:widowControl/>
              <w:jc w:val="left"/>
              <w:rPr>
                <w:rFonts w:ascii="宋体" w:hAnsi="宋体" w:cs="宋体"/>
              </w:rPr>
            </w:pPr>
          </w:p>
        </w:tc>
        <w:tc>
          <w:tcPr>
            <w:tcW w:w="889" w:type="pct"/>
            <w:tcMar>
              <w:top w:w="0" w:type="dxa"/>
              <w:left w:w="105" w:type="dxa"/>
              <w:bottom w:w="0" w:type="dxa"/>
              <w:right w:w="105" w:type="dxa"/>
            </w:tcMar>
            <w:vAlign w:val="center"/>
          </w:tcPr>
          <w:p w14:paraId="55AC282B">
            <w:pPr>
              <w:widowControl/>
              <w:jc w:val="left"/>
              <w:rPr>
                <w:rFonts w:ascii="宋体" w:hAnsi="宋体" w:cs="宋体"/>
              </w:rPr>
            </w:pPr>
          </w:p>
        </w:tc>
        <w:tc>
          <w:tcPr>
            <w:tcW w:w="1487" w:type="pct"/>
            <w:tcMar>
              <w:top w:w="0" w:type="dxa"/>
              <w:left w:w="105" w:type="dxa"/>
              <w:bottom w:w="0" w:type="dxa"/>
              <w:right w:w="105" w:type="dxa"/>
            </w:tcMar>
            <w:vAlign w:val="center"/>
          </w:tcPr>
          <w:p w14:paraId="51EAF2F6">
            <w:pPr>
              <w:widowControl/>
              <w:jc w:val="left"/>
              <w:rPr>
                <w:rFonts w:ascii="宋体" w:hAnsi="宋体" w:cs="宋体"/>
              </w:rPr>
            </w:pPr>
          </w:p>
        </w:tc>
        <w:tc>
          <w:tcPr>
            <w:tcW w:w="1337" w:type="pct"/>
            <w:tcMar>
              <w:top w:w="0" w:type="dxa"/>
              <w:left w:w="105" w:type="dxa"/>
              <w:bottom w:w="0" w:type="dxa"/>
              <w:right w:w="105" w:type="dxa"/>
            </w:tcMar>
            <w:vAlign w:val="center"/>
          </w:tcPr>
          <w:p w14:paraId="52F3003E">
            <w:pPr>
              <w:widowControl/>
              <w:jc w:val="left"/>
              <w:rPr>
                <w:rFonts w:ascii="宋体" w:hAnsi="宋体" w:cs="宋体"/>
              </w:rPr>
            </w:pPr>
          </w:p>
        </w:tc>
        <w:tc>
          <w:tcPr>
            <w:tcW w:w="742" w:type="pct"/>
            <w:tcMar>
              <w:top w:w="0" w:type="dxa"/>
              <w:left w:w="105" w:type="dxa"/>
              <w:bottom w:w="0" w:type="dxa"/>
              <w:right w:w="105" w:type="dxa"/>
            </w:tcMar>
            <w:vAlign w:val="center"/>
          </w:tcPr>
          <w:p w14:paraId="1F279257">
            <w:pPr>
              <w:widowControl/>
              <w:jc w:val="left"/>
              <w:rPr>
                <w:rFonts w:ascii="宋体" w:hAnsi="宋体" w:cs="宋体"/>
              </w:rPr>
            </w:pPr>
          </w:p>
        </w:tc>
      </w:tr>
      <w:tr w14:paraId="5A35F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0" w:hRule="atLeast"/>
          <w:tblCellSpacing w:w="15" w:type="dxa"/>
        </w:trPr>
        <w:tc>
          <w:tcPr>
            <w:tcW w:w="440" w:type="pct"/>
            <w:tcMar>
              <w:top w:w="0" w:type="dxa"/>
              <w:left w:w="105" w:type="dxa"/>
              <w:bottom w:w="0" w:type="dxa"/>
              <w:right w:w="105" w:type="dxa"/>
            </w:tcMar>
            <w:vAlign w:val="center"/>
          </w:tcPr>
          <w:p w14:paraId="7D275B9D">
            <w:pPr>
              <w:widowControl/>
              <w:jc w:val="left"/>
              <w:rPr>
                <w:rFonts w:ascii="宋体" w:hAnsi="宋体" w:cs="宋体"/>
              </w:rPr>
            </w:pPr>
          </w:p>
        </w:tc>
        <w:tc>
          <w:tcPr>
            <w:tcW w:w="889" w:type="pct"/>
            <w:tcMar>
              <w:top w:w="0" w:type="dxa"/>
              <w:left w:w="105" w:type="dxa"/>
              <w:bottom w:w="0" w:type="dxa"/>
              <w:right w:w="105" w:type="dxa"/>
            </w:tcMar>
            <w:vAlign w:val="center"/>
          </w:tcPr>
          <w:p w14:paraId="69B6004D">
            <w:pPr>
              <w:widowControl/>
              <w:jc w:val="left"/>
              <w:rPr>
                <w:rFonts w:ascii="宋体" w:hAnsi="宋体" w:cs="宋体"/>
              </w:rPr>
            </w:pPr>
          </w:p>
        </w:tc>
        <w:tc>
          <w:tcPr>
            <w:tcW w:w="1487" w:type="pct"/>
            <w:tcMar>
              <w:top w:w="0" w:type="dxa"/>
              <w:left w:w="105" w:type="dxa"/>
              <w:bottom w:w="0" w:type="dxa"/>
              <w:right w:w="105" w:type="dxa"/>
            </w:tcMar>
            <w:vAlign w:val="center"/>
          </w:tcPr>
          <w:p w14:paraId="03A539E2">
            <w:pPr>
              <w:widowControl/>
              <w:jc w:val="left"/>
              <w:rPr>
                <w:rFonts w:ascii="宋体" w:hAnsi="宋体" w:cs="宋体"/>
              </w:rPr>
            </w:pPr>
          </w:p>
        </w:tc>
        <w:tc>
          <w:tcPr>
            <w:tcW w:w="1337" w:type="pct"/>
            <w:tcMar>
              <w:top w:w="0" w:type="dxa"/>
              <w:left w:w="105" w:type="dxa"/>
              <w:bottom w:w="0" w:type="dxa"/>
              <w:right w:w="105" w:type="dxa"/>
            </w:tcMar>
            <w:vAlign w:val="center"/>
          </w:tcPr>
          <w:p w14:paraId="2EBA040F">
            <w:pPr>
              <w:widowControl/>
              <w:jc w:val="left"/>
              <w:rPr>
                <w:rFonts w:ascii="宋体" w:hAnsi="宋体" w:cs="宋体"/>
              </w:rPr>
            </w:pPr>
          </w:p>
        </w:tc>
        <w:tc>
          <w:tcPr>
            <w:tcW w:w="742" w:type="pct"/>
            <w:tcMar>
              <w:top w:w="0" w:type="dxa"/>
              <w:left w:w="105" w:type="dxa"/>
              <w:bottom w:w="0" w:type="dxa"/>
              <w:right w:w="105" w:type="dxa"/>
            </w:tcMar>
            <w:vAlign w:val="center"/>
          </w:tcPr>
          <w:p w14:paraId="34B20DB1">
            <w:pPr>
              <w:widowControl/>
              <w:jc w:val="left"/>
              <w:rPr>
                <w:rFonts w:ascii="宋体" w:hAnsi="宋体" w:cs="宋体"/>
              </w:rPr>
            </w:pPr>
          </w:p>
        </w:tc>
      </w:tr>
      <w:tr w14:paraId="241B67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0" w:hRule="atLeast"/>
          <w:tblCellSpacing w:w="15" w:type="dxa"/>
        </w:trPr>
        <w:tc>
          <w:tcPr>
            <w:tcW w:w="440" w:type="pct"/>
            <w:tcMar>
              <w:top w:w="0" w:type="dxa"/>
              <w:left w:w="105" w:type="dxa"/>
              <w:bottom w:w="0" w:type="dxa"/>
              <w:right w:w="105" w:type="dxa"/>
            </w:tcMar>
            <w:vAlign w:val="center"/>
          </w:tcPr>
          <w:p w14:paraId="6D1BF484">
            <w:pPr>
              <w:widowControl/>
              <w:jc w:val="left"/>
              <w:rPr>
                <w:rFonts w:ascii="宋体" w:hAnsi="宋体" w:cs="宋体"/>
              </w:rPr>
            </w:pPr>
          </w:p>
        </w:tc>
        <w:tc>
          <w:tcPr>
            <w:tcW w:w="889" w:type="pct"/>
            <w:tcMar>
              <w:top w:w="0" w:type="dxa"/>
              <w:left w:w="105" w:type="dxa"/>
              <w:bottom w:w="0" w:type="dxa"/>
              <w:right w:w="105" w:type="dxa"/>
            </w:tcMar>
            <w:vAlign w:val="center"/>
          </w:tcPr>
          <w:p w14:paraId="4B4ED6BF">
            <w:pPr>
              <w:widowControl/>
              <w:jc w:val="left"/>
              <w:rPr>
                <w:rFonts w:ascii="宋体" w:hAnsi="宋体" w:cs="宋体"/>
              </w:rPr>
            </w:pPr>
          </w:p>
        </w:tc>
        <w:tc>
          <w:tcPr>
            <w:tcW w:w="1487" w:type="pct"/>
            <w:tcMar>
              <w:top w:w="0" w:type="dxa"/>
              <w:left w:w="105" w:type="dxa"/>
              <w:bottom w:w="0" w:type="dxa"/>
              <w:right w:w="105" w:type="dxa"/>
            </w:tcMar>
            <w:vAlign w:val="center"/>
          </w:tcPr>
          <w:p w14:paraId="7C84F807">
            <w:pPr>
              <w:widowControl/>
              <w:jc w:val="left"/>
              <w:rPr>
                <w:rFonts w:ascii="宋体" w:hAnsi="宋体" w:cs="宋体"/>
              </w:rPr>
            </w:pPr>
          </w:p>
        </w:tc>
        <w:tc>
          <w:tcPr>
            <w:tcW w:w="1337" w:type="pct"/>
            <w:tcMar>
              <w:top w:w="0" w:type="dxa"/>
              <w:left w:w="105" w:type="dxa"/>
              <w:bottom w:w="0" w:type="dxa"/>
              <w:right w:w="105" w:type="dxa"/>
            </w:tcMar>
            <w:vAlign w:val="center"/>
          </w:tcPr>
          <w:p w14:paraId="276E1F50">
            <w:pPr>
              <w:widowControl/>
              <w:jc w:val="left"/>
              <w:rPr>
                <w:rFonts w:ascii="宋体" w:hAnsi="宋体" w:cs="宋体"/>
              </w:rPr>
            </w:pPr>
          </w:p>
        </w:tc>
        <w:tc>
          <w:tcPr>
            <w:tcW w:w="742" w:type="pct"/>
            <w:tcMar>
              <w:top w:w="0" w:type="dxa"/>
              <w:left w:w="105" w:type="dxa"/>
              <w:bottom w:w="0" w:type="dxa"/>
              <w:right w:w="105" w:type="dxa"/>
            </w:tcMar>
            <w:vAlign w:val="center"/>
          </w:tcPr>
          <w:p w14:paraId="1CA56E6C">
            <w:pPr>
              <w:widowControl/>
              <w:jc w:val="left"/>
              <w:rPr>
                <w:rFonts w:ascii="宋体" w:hAnsi="宋体" w:cs="宋体"/>
              </w:rPr>
            </w:pPr>
          </w:p>
        </w:tc>
      </w:tr>
      <w:tr w14:paraId="32ACF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0" w:hRule="atLeast"/>
          <w:tblCellSpacing w:w="15" w:type="dxa"/>
        </w:trPr>
        <w:tc>
          <w:tcPr>
            <w:tcW w:w="440" w:type="pct"/>
            <w:tcMar>
              <w:top w:w="0" w:type="dxa"/>
              <w:left w:w="105" w:type="dxa"/>
              <w:bottom w:w="0" w:type="dxa"/>
              <w:right w:w="105" w:type="dxa"/>
            </w:tcMar>
            <w:vAlign w:val="center"/>
          </w:tcPr>
          <w:p w14:paraId="61215B73">
            <w:pPr>
              <w:widowControl/>
              <w:jc w:val="left"/>
              <w:rPr>
                <w:rFonts w:ascii="宋体" w:hAnsi="宋体" w:cs="宋体"/>
              </w:rPr>
            </w:pPr>
          </w:p>
        </w:tc>
        <w:tc>
          <w:tcPr>
            <w:tcW w:w="889" w:type="pct"/>
            <w:tcMar>
              <w:top w:w="0" w:type="dxa"/>
              <w:left w:w="105" w:type="dxa"/>
              <w:bottom w:w="0" w:type="dxa"/>
              <w:right w:w="105" w:type="dxa"/>
            </w:tcMar>
            <w:vAlign w:val="center"/>
          </w:tcPr>
          <w:p w14:paraId="5F90ADAF">
            <w:pPr>
              <w:widowControl/>
              <w:jc w:val="left"/>
              <w:rPr>
                <w:rFonts w:ascii="宋体" w:hAnsi="宋体" w:cs="宋体"/>
              </w:rPr>
            </w:pPr>
          </w:p>
        </w:tc>
        <w:tc>
          <w:tcPr>
            <w:tcW w:w="1487" w:type="pct"/>
            <w:tcMar>
              <w:top w:w="0" w:type="dxa"/>
              <w:left w:w="105" w:type="dxa"/>
              <w:bottom w:w="0" w:type="dxa"/>
              <w:right w:w="105" w:type="dxa"/>
            </w:tcMar>
            <w:vAlign w:val="center"/>
          </w:tcPr>
          <w:p w14:paraId="7DBA7158">
            <w:pPr>
              <w:widowControl/>
              <w:jc w:val="left"/>
              <w:rPr>
                <w:rFonts w:ascii="宋体" w:hAnsi="宋体" w:cs="宋体"/>
              </w:rPr>
            </w:pPr>
          </w:p>
        </w:tc>
        <w:tc>
          <w:tcPr>
            <w:tcW w:w="1337" w:type="pct"/>
            <w:tcMar>
              <w:top w:w="0" w:type="dxa"/>
              <w:left w:w="105" w:type="dxa"/>
              <w:bottom w:w="0" w:type="dxa"/>
              <w:right w:w="105" w:type="dxa"/>
            </w:tcMar>
            <w:vAlign w:val="center"/>
          </w:tcPr>
          <w:p w14:paraId="1091AD19">
            <w:pPr>
              <w:widowControl/>
              <w:jc w:val="left"/>
              <w:rPr>
                <w:rFonts w:ascii="宋体" w:hAnsi="宋体" w:cs="宋体"/>
              </w:rPr>
            </w:pPr>
          </w:p>
        </w:tc>
        <w:tc>
          <w:tcPr>
            <w:tcW w:w="742" w:type="pct"/>
            <w:tcMar>
              <w:top w:w="0" w:type="dxa"/>
              <w:left w:w="105" w:type="dxa"/>
              <w:bottom w:w="0" w:type="dxa"/>
              <w:right w:w="105" w:type="dxa"/>
            </w:tcMar>
            <w:vAlign w:val="center"/>
          </w:tcPr>
          <w:p w14:paraId="2754F4C6">
            <w:pPr>
              <w:widowControl/>
              <w:jc w:val="left"/>
              <w:rPr>
                <w:rFonts w:ascii="宋体" w:hAnsi="宋体" w:cs="宋体"/>
              </w:rPr>
            </w:pPr>
          </w:p>
        </w:tc>
      </w:tr>
      <w:tr w14:paraId="6DC6B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0" w:hRule="atLeast"/>
          <w:tblCellSpacing w:w="15" w:type="dxa"/>
        </w:trPr>
        <w:tc>
          <w:tcPr>
            <w:tcW w:w="440" w:type="pct"/>
            <w:tcMar>
              <w:top w:w="0" w:type="dxa"/>
              <w:left w:w="105" w:type="dxa"/>
              <w:bottom w:w="0" w:type="dxa"/>
              <w:right w:w="105" w:type="dxa"/>
            </w:tcMar>
            <w:vAlign w:val="center"/>
          </w:tcPr>
          <w:p w14:paraId="689A0B75">
            <w:pPr>
              <w:widowControl/>
              <w:jc w:val="left"/>
              <w:rPr>
                <w:rFonts w:ascii="宋体" w:hAnsi="宋体" w:cs="宋体"/>
              </w:rPr>
            </w:pPr>
          </w:p>
        </w:tc>
        <w:tc>
          <w:tcPr>
            <w:tcW w:w="889" w:type="pct"/>
            <w:tcMar>
              <w:top w:w="0" w:type="dxa"/>
              <w:left w:w="105" w:type="dxa"/>
              <w:bottom w:w="0" w:type="dxa"/>
              <w:right w:w="105" w:type="dxa"/>
            </w:tcMar>
            <w:vAlign w:val="center"/>
          </w:tcPr>
          <w:p w14:paraId="699C3853">
            <w:pPr>
              <w:widowControl/>
              <w:jc w:val="left"/>
              <w:rPr>
                <w:rFonts w:ascii="宋体" w:hAnsi="宋体" w:cs="宋体"/>
              </w:rPr>
            </w:pPr>
          </w:p>
        </w:tc>
        <w:tc>
          <w:tcPr>
            <w:tcW w:w="1487" w:type="pct"/>
            <w:tcMar>
              <w:top w:w="0" w:type="dxa"/>
              <w:left w:w="105" w:type="dxa"/>
              <w:bottom w:w="0" w:type="dxa"/>
              <w:right w:w="105" w:type="dxa"/>
            </w:tcMar>
            <w:vAlign w:val="center"/>
          </w:tcPr>
          <w:p w14:paraId="6CD23F24">
            <w:pPr>
              <w:widowControl/>
              <w:jc w:val="left"/>
              <w:rPr>
                <w:rFonts w:ascii="宋体" w:hAnsi="宋体" w:cs="宋体"/>
              </w:rPr>
            </w:pPr>
          </w:p>
        </w:tc>
        <w:tc>
          <w:tcPr>
            <w:tcW w:w="1337" w:type="pct"/>
            <w:tcMar>
              <w:top w:w="0" w:type="dxa"/>
              <w:left w:w="105" w:type="dxa"/>
              <w:bottom w:w="0" w:type="dxa"/>
              <w:right w:w="105" w:type="dxa"/>
            </w:tcMar>
            <w:vAlign w:val="center"/>
          </w:tcPr>
          <w:p w14:paraId="4857F42E">
            <w:pPr>
              <w:widowControl/>
              <w:jc w:val="left"/>
              <w:rPr>
                <w:rFonts w:ascii="宋体" w:hAnsi="宋体" w:cs="宋体"/>
              </w:rPr>
            </w:pPr>
          </w:p>
        </w:tc>
        <w:tc>
          <w:tcPr>
            <w:tcW w:w="742" w:type="pct"/>
            <w:tcMar>
              <w:top w:w="0" w:type="dxa"/>
              <w:left w:w="105" w:type="dxa"/>
              <w:bottom w:w="0" w:type="dxa"/>
              <w:right w:w="105" w:type="dxa"/>
            </w:tcMar>
            <w:vAlign w:val="center"/>
          </w:tcPr>
          <w:p w14:paraId="3A1F24A5">
            <w:pPr>
              <w:widowControl/>
              <w:jc w:val="left"/>
              <w:rPr>
                <w:rFonts w:ascii="宋体" w:hAnsi="宋体" w:cs="宋体"/>
              </w:rPr>
            </w:pPr>
          </w:p>
        </w:tc>
      </w:tr>
      <w:tr w14:paraId="4D792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0" w:hRule="atLeast"/>
          <w:tblCellSpacing w:w="15" w:type="dxa"/>
        </w:trPr>
        <w:tc>
          <w:tcPr>
            <w:tcW w:w="440" w:type="pct"/>
            <w:tcMar>
              <w:top w:w="0" w:type="dxa"/>
              <w:left w:w="105" w:type="dxa"/>
              <w:bottom w:w="0" w:type="dxa"/>
              <w:right w:w="105" w:type="dxa"/>
            </w:tcMar>
            <w:vAlign w:val="center"/>
          </w:tcPr>
          <w:p w14:paraId="5CCE8DC3">
            <w:pPr>
              <w:widowControl/>
              <w:jc w:val="left"/>
              <w:rPr>
                <w:rFonts w:ascii="宋体" w:hAnsi="宋体" w:cs="宋体"/>
              </w:rPr>
            </w:pPr>
          </w:p>
        </w:tc>
        <w:tc>
          <w:tcPr>
            <w:tcW w:w="889" w:type="pct"/>
            <w:tcMar>
              <w:top w:w="0" w:type="dxa"/>
              <w:left w:w="105" w:type="dxa"/>
              <w:bottom w:w="0" w:type="dxa"/>
              <w:right w:w="105" w:type="dxa"/>
            </w:tcMar>
            <w:vAlign w:val="center"/>
          </w:tcPr>
          <w:p w14:paraId="4BCE4AD1">
            <w:pPr>
              <w:widowControl/>
              <w:jc w:val="left"/>
              <w:rPr>
                <w:rFonts w:ascii="宋体" w:hAnsi="宋体" w:cs="宋体"/>
              </w:rPr>
            </w:pPr>
          </w:p>
        </w:tc>
        <w:tc>
          <w:tcPr>
            <w:tcW w:w="1487" w:type="pct"/>
            <w:tcMar>
              <w:top w:w="0" w:type="dxa"/>
              <w:left w:w="105" w:type="dxa"/>
              <w:bottom w:w="0" w:type="dxa"/>
              <w:right w:w="105" w:type="dxa"/>
            </w:tcMar>
            <w:vAlign w:val="center"/>
          </w:tcPr>
          <w:p w14:paraId="535DE81E">
            <w:pPr>
              <w:widowControl/>
              <w:jc w:val="left"/>
              <w:rPr>
                <w:rFonts w:ascii="宋体" w:hAnsi="宋体" w:cs="宋体"/>
              </w:rPr>
            </w:pPr>
          </w:p>
        </w:tc>
        <w:tc>
          <w:tcPr>
            <w:tcW w:w="1337" w:type="pct"/>
            <w:tcMar>
              <w:top w:w="0" w:type="dxa"/>
              <w:left w:w="105" w:type="dxa"/>
              <w:bottom w:w="0" w:type="dxa"/>
              <w:right w:w="105" w:type="dxa"/>
            </w:tcMar>
            <w:vAlign w:val="center"/>
          </w:tcPr>
          <w:p w14:paraId="0D8C0FCC">
            <w:pPr>
              <w:widowControl/>
              <w:jc w:val="left"/>
              <w:rPr>
                <w:rFonts w:ascii="宋体" w:hAnsi="宋体" w:cs="宋体"/>
              </w:rPr>
            </w:pPr>
          </w:p>
        </w:tc>
        <w:tc>
          <w:tcPr>
            <w:tcW w:w="742" w:type="pct"/>
            <w:tcMar>
              <w:top w:w="0" w:type="dxa"/>
              <w:left w:w="105" w:type="dxa"/>
              <w:bottom w:w="0" w:type="dxa"/>
              <w:right w:w="105" w:type="dxa"/>
            </w:tcMar>
            <w:vAlign w:val="center"/>
          </w:tcPr>
          <w:p w14:paraId="48251389">
            <w:pPr>
              <w:widowControl/>
              <w:jc w:val="left"/>
              <w:rPr>
                <w:rFonts w:ascii="宋体" w:hAnsi="宋体" w:cs="宋体"/>
              </w:rPr>
            </w:pPr>
          </w:p>
        </w:tc>
      </w:tr>
    </w:tbl>
    <w:p w14:paraId="6D2944A5">
      <w:pPr>
        <w:pStyle w:val="44"/>
        <w:widowControl/>
        <w:shd w:val="clear" w:color="auto" w:fill="FFFFFF"/>
        <w:spacing w:after="150"/>
        <w:rPr>
          <w:rStyle w:val="52"/>
          <w:sz w:val="21"/>
          <w:szCs w:val="21"/>
        </w:rPr>
      </w:pPr>
      <w:r>
        <w:rPr>
          <w:rStyle w:val="52"/>
          <w:rFonts w:hint="eastAsia"/>
          <w:sz w:val="21"/>
          <w:szCs w:val="21"/>
        </w:rPr>
        <w:t>注：</w:t>
      </w:r>
    </w:p>
    <w:p w14:paraId="1C101854">
      <w:pPr>
        <w:pStyle w:val="44"/>
        <w:widowControl/>
        <w:spacing w:before="75" w:after="75" w:line="375" w:lineRule="atLeast"/>
        <w:rPr>
          <w:b/>
          <w:bCs/>
          <w:sz w:val="21"/>
          <w:szCs w:val="21"/>
        </w:rPr>
      </w:pPr>
      <w:r>
        <w:rPr>
          <w:rFonts w:hint="eastAsia"/>
          <w:b/>
          <w:bCs/>
          <w:sz w:val="21"/>
          <w:szCs w:val="21"/>
        </w:rPr>
        <w:t>（1）竞争性磋商文件（含技术和服务要求等）规定的各相关条款要求，如果供应商在响应文件中没有以书面方式对竞争性磋商文件规定的各项要求和条款提出不满足或不响应或负偏离，则视为供应商能够完全理解并满足本竞争性磋商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磋商保证金（如果未签订合同）将不予退还，给采购人和采购代理机构造成损失的，还必须进行赔偿并负相关责任。</w:t>
      </w:r>
    </w:p>
    <w:p w14:paraId="32005D34">
      <w:pPr>
        <w:pStyle w:val="44"/>
        <w:widowControl/>
        <w:spacing w:before="75" w:after="75" w:line="375" w:lineRule="atLeast"/>
        <w:rPr>
          <w:b/>
          <w:bCs/>
          <w:sz w:val="21"/>
          <w:szCs w:val="21"/>
        </w:rPr>
      </w:pPr>
      <w:r>
        <w:rPr>
          <w:rFonts w:hint="eastAsia"/>
          <w:b/>
          <w:bCs/>
          <w:sz w:val="21"/>
          <w:szCs w:val="21"/>
        </w:rPr>
        <w:t>（2）磋商文件不能详细列明采购标的的技术、服务要求，需经磋商由供应商提供最终设计方案或解决方案的；或者供应商需要说明的内容需要通过图片、视频等特殊表达；无法适用上表格式文字说明的，则供应商可在本表中进行相应说明和页码索引，再另页具体提交应答。</w:t>
      </w:r>
    </w:p>
    <w:p w14:paraId="151D263C">
      <w:pPr>
        <w:pStyle w:val="44"/>
      </w:pPr>
      <w:r>
        <w:rPr>
          <w:rFonts w:hint="eastAsia"/>
        </w:rPr>
        <w:t>供应商：</w:t>
      </w:r>
      <w:r>
        <w:rPr>
          <w:rFonts w:hint="eastAsia"/>
          <w:u w:val="single"/>
        </w:rPr>
        <w:t>（全称并加盖单位公章）</w:t>
      </w:r>
    </w:p>
    <w:p w14:paraId="6887A096">
      <w:pPr>
        <w:pStyle w:val="44"/>
      </w:pPr>
      <w:r>
        <w:rPr>
          <w:rFonts w:hint="eastAsia"/>
        </w:rPr>
        <w:t>供应商代表签字：</w:t>
      </w:r>
      <w:r>
        <w:rPr>
          <w:rFonts w:hint="eastAsia"/>
          <w:u w:val="single"/>
        </w:rPr>
        <w:t>          </w:t>
      </w:r>
    </w:p>
    <w:p w14:paraId="051B2EE2">
      <w:pPr>
        <w:pStyle w:val="44"/>
        <w:widowControl/>
        <w:spacing w:before="75" w:after="75" w:line="375" w:lineRule="atLeast"/>
      </w:pPr>
      <w:r>
        <w:rPr>
          <w:rFonts w:hint="eastAsia"/>
        </w:rPr>
        <w:t>日期：</w:t>
      </w:r>
      <w:r>
        <w:rPr>
          <w:rFonts w:hint="eastAsia"/>
          <w:u w:val="single"/>
        </w:rPr>
        <w:t>    </w:t>
      </w:r>
      <w:r>
        <w:rPr>
          <w:rFonts w:hint="eastAsia"/>
        </w:rPr>
        <w:t>年</w:t>
      </w:r>
      <w:r>
        <w:rPr>
          <w:rFonts w:hint="eastAsia"/>
          <w:u w:val="single"/>
        </w:rPr>
        <w:t>   </w:t>
      </w:r>
      <w:r>
        <w:rPr>
          <w:rFonts w:hint="eastAsia"/>
        </w:rPr>
        <w:t>月</w:t>
      </w:r>
      <w:r>
        <w:rPr>
          <w:rFonts w:hint="eastAsia"/>
          <w:u w:val="single"/>
        </w:rPr>
        <w:t>   </w:t>
      </w:r>
      <w:r>
        <w:rPr>
          <w:rFonts w:hint="eastAsia"/>
        </w:rPr>
        <w:t>日</w:t>
      </w:r>
    </w:p>
    <w:p w14:paraId="0B3171A7">
      <w:pPr>
        <w:spacing w:line="360" w:lineRule="auto"/>
        <w:jc w:val="left"/>
        <w:outlineLvl w:val="0"/>
        <w:rPr>
          <w:rFonts w:ascii="宋体" w:hAnsi="宋体" w:cs="宋体"/>
          <w:b/>
          <w:spacing w:val="-4"/>
          <w:szCs w:val="21"/>
        </w:rPr>
      </w:pPr>
      <w:bookmarkStart w:id="215" w:name="_Toc20466"/>
    </w:p>
    <w:p w14:paraId="78F53241">
      <w:pPr>
        <w:spacing w:line="360" w:lineRule="auto"/>
        <w:jc w:val="left"/>
        <w:outlineLvl w:val="0"/>
        <w:rPr>
          <w:rFonts w:ascii="宋体" w:hAnsi="宋体" w:cs="宋体"/>
          <w:b/>
          <w:spacing w:val="-4"/>
          <w:szCs w:val="21"/>
        </w:rPr>
      </w:pPr>
      <w:r>
        <w:rPr>
          <w:rFonts w:hint="eastAsia" w:ascii="宋体" w:hAnsi="宋体" w:cs="宋体"/>
          <w:b/>
          <w:spacing w:val="-4"/>
          <w:szCs w:val="21"/>
        </w:rPr>
        <w:t>附件</w:t>
      </w:r>
      <w:bookmarkEnd w:id="215"/>
      <w:r>
        <w:rPr>
          <w:rFonts w:hint="eastAsia" w:ascii="宋体" w:hAnsi="宋体" w:cs="宋体"/>
          <w:b/>
          <w:spacing w:val="-4"/>
          <w:szCs w:val="21"/>
        </w:rPr>
        <w:t>5</w:t>
      </w:r>
    </w:p>
    <w:p w14:paraId="238BBACE">
      <w:pPr>
        <w:pStyle w:val="44"/>
        <w:widowControl/>
        <w:spacing w:before="75" w:after="75"/>
        <w:jc w:val="center"/>
      </w:pPr>
      <w:r>
        <w:rPr>
          <w:rFonts w:hint="eastAsia"/>
          <w:b/>
          <w:sz w:val="32"/>
          <w:szCs w:val="32"/>
        </w:rPr>
        <w:t>商务条件和其他事项响应表</w:t>
      </w:r>
    </w:p>
    <w:p w14:paraId="0442E99D">
      <w:pPr>
        <w:pStyle w:val="44"/>
        <w:widowControl/>
        <w:spacing w:before="75" w:after="75" w:line="375" w:lineRule="atLeast"/>
      </w:pPr>
      <w:r>
        <w:rPr>
          <w:rFonts w:hint="eastAsia"/>
        </w:rPr>
        <w:t>供应商名称：</w:t>
      </w:r>
      <w:r>
        <w:rPr>
          <w:rFonts w:hint="eastAsia"/>
          <w:u w:val="single"/>
        </w:rPr>
        <w:t> （全称加盖单位公章）</w:t>
      </w:r>
      <w:r>
        <w:rPr>
          <w:rFonts w:hint="eastAsia"/>
        </w:rPr>
        <w:t>  项目编号∶</w:t>
      </w:r>
      <w:r>
        <w:rPr>
          <w:rFonts w:hint="eastAsia"/>
          <w:u w:val="single"/>
        </w:rPr>
        <w:t>       </w:t>
      </w:r>
    </w:p>
    <w:tbl>
      <w:tblPr>
        <w:tblStyle w:val="49"/>
        <w:tblW w:w="4998" w:type="pct"/>
        <w:tblCellSpacing w:w="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825"/>
        <w:gridCol w:w="1602"/>
        <w:gridCol w:w="2659"/>
        <w:gridCol w:w="2394"/>
        <w:gridCol w:w="1357"/>
      </w:tblGrid>
      <w:tr w14:paraId="4CC43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45" w:hRule="atLeast"/>
          <w:tblCellSpacing w:w="15" w:type="dxa"/>
        </w:trPr>
        <w:tc>
          <w:tcPr>
            <w:tcW w:w="441" w:type="pct"/>
            <w:tcMar>
              <w:top w:w="0" w:type="dxa"/>
              <w:left w:w="105" w:type="dxa"/>
              <w:bottom w:w="0" w:type="dxa"/>
              <w:right w:w="105" w:type="dxa"/>
            </w:tcMar>
            <w:vAlign w:val="center"/>
          </w:tcPr>
          <w:p w14:paraId="17B38CA8">
            <w:pPr>
              <w:pStyle w:val="44"/>
              <w:widowControl/>
              <w:spacing w:line="375" w:lineRule="atLeast"/>
              <w:rPr>
                <w:szCs w:val="20"/>
              </w:rPr>
            </w:pPr>
            <w:r>
              <w:rPr>
                <w:rFonts w:hint="eastAsia"/>
              </w:rPr>
              <w:t>合同包</w:t>
            </w:r>
          </w:p>
        </w:tc>
        <w:tc>
          <w:tcPr>
            <w:tcW w:w="889" w:type="pct"/>
            <w:tcMar>
              <w:top w:w="0" w:type="dxa"/>
              <w:left w:w="105" w:type="dxa"/>
              <w:bottom w:w="0" w:type="dxa"/>
              <w:right w:w="105" w:type="dxa"/>
            </w:tcMar>
            <w:vAlign w:val="center"/>
          </w:tcPr>
          <w:p w14:paraId="6867962F">
            <w:pPr>
              <w:pStyle w:val="44"/>
              <w:widowControl/>
              <w:spacing w:line="375" w:lineRule="atLeast"/>
              <w:rPr>
                <w:szCs w:val="20"/>
              </w:rPr>
            </w:pPr>
            <w:r>
              <w:rPr>
                <w:rFonts w:hint="eastAsia"/>
              </w:rPr>
              <w:t>章节条目号</w:t>
            </w:r>
          </w:p>
        </w:tc>
        <w:tc>
          <w:tcPr>
            <w:tcW w:w="1487" w:type="pct"/>
            <w:tcMar>
              <w:top w:w="0" w:type="dxa"/>
              <w:left w:w="105" w:type="dxa"/>
              <w:bottom w:w="0" w:type="dxa"/>
              <w:right w:w="105" w:type="dxa"/>
            </w:tcMar>
            <w:vAlign w:val="center"/>
          </w:tcPr>
          <w:p w14:paraId="631B6255">
            <w:pPr>
              <w:pStyle w:val="44"/>
              <w:widowControl/>
              <w:spacing w:line="375" w:lineRule="atLeast"/>
              <w:rPr>
                <w:szCs w:val="20"/>
              </w:rPr>
            </w:pPr>
            <w:r>
              <w:rPr>
                <w:rFonts w:hint="eastAsia"/>
              </w:rPr>
              <w:t>竞争性磋商文件规定的商务条件要求</w:t>
            </w:r>
          </w:p>
        </w:tc>
        <w:tc>
          <w:tcPr>
            <w:tcW w:w="1337" w:type="pct"/>
            <w:tcMar>
              <w:top w:w="0" w:type="dxa"/>
              <w:left w:w="105" w:type="dxa"/>
              <w:bottom w:w="0" w:type="dxa"/>
              <w:right w:w="105" w:type="dxa"/>
            </w:tcMar>
            <w:vAlign w:val="center"/>
          </w:tcPr>
          <w:p w14:paraId="761C5739">
            <w:pPr>
              <w:pStyle w:val="44"/>
              <w:widowControl/>
              <w:spacing w:line="375" w:lineRule="atLeast"/>
              <w:rPr>
                <w:szCs w:val="20"/>
              </w:rPr>
            </w:pPr>
            <w:r>
              <w:rPr>
                <w:rFonts w:hint="eastAsia"/>
              </w:rPr>
              <w:t>响应文件响应承诺</w:t>
            </w:r>
          </w:p>
        </w:tc>
        <w:tc>
          <w:tcPr>
            <w:tcW w:w="742" w:type="pct"/>
            <w:tcMar>
              <w:top w:w="0" w:type="dxa"/>
              <w:left w:w="105" w:type="dxa"/>
              <w:bottom w:w="0" w:type="dxa"/>
              <w:right w:w="105" w:type="dxa"/>
            </w:tcMar>
            <w:vAlign w:val="center"/>
          </w:tcPr>
          <w:p w14:paraId="3E6CCA60">
            <w:pPr>
              <w:pStyle w:val="44"/>
              <w:widowControl/>
              <w:spacing w:line="375" w:lineRule="atLeast"/>
              <w:rPr>
                <w:szCs w:val="20"/>
              </w:rPr>
            </w:pPr>
            <w:r>
              <w:rPr>
                <w:rFonts w:hint="eastAsia"/>
              </w:rPr>
              <w:t>是否偏离及说明</w:t>
            </w:r>
          </w:p>
        </w:tc>
      </w:tr>
      <w:tr w14:paraId="6C66C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0" w:hRule="atLeast"/>
          <w:tblCellSpacing w:w="15" w:type="dxa"/>
        </w:trPr>
        <w:tc>
          <w:tcPr>
            <w:tcW w:w="441" w:type="pct"/>
            <w:tcMar>
              <w:top w:w="0" w:type="dxa"/>
              <w:left w:w="105" w:type="dxa"/>
              <w:bottom w:w="0" w:type="dxa"/>
              <w:right w:w="105" w:type="dxa"/>
            </w:tcMar>
            <w:vAlign w:val="center"/>
          </w:tcPr>
          <w:p w14:paraId="12B02DE3">
            <w:pPr>
              <w:widowControl/>
              <w:jc w:val="left"/>
              <w:rPr>
                <w:rFonts w:ascii="宋体" w:hAnsi="宋体" w:cs="宋体"/>
              </w:rPr>
            </w:pPr>
          </w:p>
        </w:tc>
        <w:tc>
          <w:tcPr>
            <w:tcW w:w="889" w:type="pct"/>
            <w:tcMar>
              <w:top w:w="0" w:type="dxa"/>
              <w:left w:w="105" w:type="dxa"/>
              <w:bottom w:w="0" w:type="dxa"/>
              <w:right w:w="105" w:type="dxa"/>
            </w:tcMar>
            <w:vAlign w:val="center"/>
          </w:tcPr>
          <w:p w14:paraId="386CDA67">
            <w:pPr>
              <w:widowControl/>
              <w:jc w:val="left"/>
              <w:rPr>
                <w:rFonts w:ascii="宋体" w:hAnsi="宋体" w:cs="宋体"/>
              </w:rPr>
            </w:pPr>
          </w:p>
        </w:tc>
        <w:tc>
          <w:tcPr>
            <w:tcW w:w="1487" w:type="pct"/>
            <w:tcMar>
              <w:top w:w="0" w:type="dxa"/>
              <w:left w:w="105" w:type="dxa"/>
              <w:bottom w:w="0" w:type="dxa"/>
              <w:right w:w="105" w:type="dxa"/>
            </w:tcMar>
            <w:vAlign w:val="center"/>
          </w:tcPr>
          <w:p w14:paraId="1577588A">
            <w:pPr>
              <w:widowControl/>
              <w:jc w:val="left"/>
              <w:rPr>
                <w:rFonts w:ascii="宋体" w:hAnsi="宋体" w:cs="宋体"/>
              </w:rPr>
            </w:pPr>
          </w:p>
        </w:tc>
        <w:tc>
          <w:tcPr>
            <w:tcW w:w="1337" w:type="pct"/>
            <w:tcMar>
              <w:top w:w="0" w:type="dxa"/>
              <w:left w:w="105" w:type="dxa"/>
              <w:bottom w:w="0" w:type="dxa"/>
              <w:right w:w="105" w:type="dxa"/>
            </w:tcMar>
            <w:vAlign w:val="center"/>
          </w:tcPr>
          <w:p w14:paraId="2FF45993">
            <w:pPr>
              <w:widowControl/>
              <w:jc w:val="left"/>
              <w:rPr>
                <w:rFonts w:ascii="宋体" w:hAnsi="宋体" w:cs="宋体"/>
              </w:rPr>
            </w:pPr>
          </w:p>
        </w:tc>
        <w:tc>
          <w:tcPr>
            <w:tcW w:w="742" w:type="pct"/>
            <w:tcMar>
              <w:top w:w="0" w:type="dxa"/>
              <w:left w:w="105" w:type="dxa"/>
              <w:bottom w:w="0" w:type="dxa"/>
              <w:right w:w="105" w:type="dxa"/>
            </w:tcMar>
            <w:vAlign w:val="center"/>
          </w:tcPr>
          <w:p w14:paraId="0DC8FB2D">
            <w:pPr>
              <w:widowControl/>
              <w:jc w:val="left"/>
              <w:rPr>
                <w:rFonts w:ascii="宋体" w:hAnsi="宋体" w:cs="宋体"/>
              </w:rPr>
            </w:pPr>
          </w:p>
        </w:tc>
      </w:tr>
      <w:tr w14:paraId="5D3A2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0" w:hRule="atLeast"/>
          <w:tblCellSpacing w:w="15" w:type="dxa"/>
        </w:trPr>
        <w:tc>
          <w:tcPr>
            <w:tcW w:w="441" w:type="pct"/>
            <w:tcMar>
              <w:top w:w="0" w:type="dxa"/>
              <w:left w:w="105" w:type="dxa"/>
              <w:bottom w:w="0" w:type="dxa"/>
              <w:right w:w="105" w:type="dxa"/>
            </w:tcMar>
            <w:vAlign w:val="center"/>
          </w:tcPr>
          <w:p w14:paraId="62B52716">
            <w:pPr>
              <w:widowControl/>
              <w:jc w:val="left"/>
              <w:rPr>
                <w:rFonts w:ascii="宋体" w:hAnsi="宋体" w:cs="宋体"/>
              </w:rPr>
            </w:pPr>
          </w:p>
        </w:tc>
        <w:tc>
          <w:tcPr>
            <w:tcW w:w="889" w:type="pct"/>
            <w:tcMar>
              <w:top w:w="0" w:type="dxa"/>
              <w:left w:w="105" w:type="dxa"/>
              <w:bottom w:w="0" w:type="dxa"/>
              <w:right w:w="105" w:type="dxa"/>
            </w:tcMar>
            <w:vAlign w:val="center"/>
          </w:tcPr>
          <w:p w14:paraId="39C8432E">
            <w:pPr>
              <w:widowControl/>
              <w:jc w:val="left"/>
              <w:rPr>
                <w:rFonts w:ascii="宋体" w:hAnsi="宋体" w:cs="宋体"/>
              </w:rPr>
            </w:pPr>
          </w:p>
        </w:tc>
        <w:tc>
          <w:tcPr>
            <w:tcW w:w="1487" w:type="pct"/>
            <w:tcMar>
              <w:top w:w="0" w:type="dxa"/>
              <w:left w:w="105" w:type="dxa"/>
              <w:bottom w:w="0" w:type="dxa"/>
              <w:right w:w="105" w:type="dxa"/>
            </w:tcMar>
            <w:vAlign w:val="center"/>
          </w:tcPr>
          <w:p w14:paraId="26E7ECCA">
            <w:pPr>
              <w:widowControl/>
              <w:jc w:val="left"/>
              <w:rPr>
                <w:rFonts w:ascii="宋体" w:hAnsi="宋体" w:cs="宋体"/>
              </w:rPr>
            </w:pPr>
          </w:p>
        </w:tc>
        <w:tc>
          <w:tcPr>
            <w:tcW w:w="1337" w:type="pct"/>
            <w:tcMar>
              <w:top w:w="0" w:type="dxa"/>
              <w:left w:w="105" w:type="dxa"/>
              <w:bottom w:w="0" w:type="dxa"/>
              <w:right w:w="105" w:type="dxa"/>
            </w:tcMar>
            <w:vAlign w:val="center"/>
          </w:tcPr>
          <w:p w14:paraId="511AEA47">
            <w:pPr>
              <w:widowControl/>
              <w:jc w:val="left"/>
              <w:rPr>
                <w:rFonts w:ascii="宋体" w:hAnsi="宋体" w:cs="宋体"/>
              </w:rPr>
            </w:pPr>
          </w:p>
        </w:tc>
        <w:tc>
          <w:tcPr>
            <w:tcW w:w="742" w:type="pct"/>
            <w:tcMar>
              <w:top w:w="0" w:type="dxa"/>
              <w:left w:w="105" w:type="dxa"/>
              <w:bottom w:w="0" w:type="dxa"/>
              <w:right w:w="105" w:type="dxa"/>
            </w:tcMar>
            <w:vAlign w:val="center"/>
          </w:tcPr>
          <w:p w14:paraId="5B875CBD">
            <w:pPr>
              <w:widowControl/>
              <w:jc w:val="left"/>
              <w:rPr>
                <w:rFonts w:ascii="宋体" w:hAnsi="宋体" w:cs="宋体"/>
              </w:rPr>
            </w:pPr>
          </w:p>
        </w:tc>
      </w:tr>
      <w:tr w14:paraId="6A657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0" w:hRule="atLeast"/>
          <w:tblCellSpacing w:w="15" w:type="dxa"/>
        </w:trPr>
        <w:tc>
          <w:tcPr>
            <w:tcW w:w="441" w:type="pct"/>
            <w:tcMar>
              <w:top w:w="0" w:type="dxa"/>
              <w:left w:w="105" w:type="dxa"/>
              <w:bottom w:w="0" w:type="dxa"/>
              <w:right w:w="105" w:type="dxa"/>
            </w:tcMar>
            <w:vAlign w:val="center"/>
          </w:tcPr>
          <w:p w14:paraId="44382093">
            <w:pPr>
              <w:widowControl/>
              <w:jc w:val="left"/>
              <w:rPr>
                <w:rFonts w:ascii="宋体" w:hAnsi="宋体" w:cs="宋体"/>
              </w:rPr>
            </w:pPr>
          </w:p>
        </w:tc>
        <w:tc>
          <w:tcPr>
            <w:tcW w:w="889" w:type="pct"/>
            <w:tcMar>
              <w:top w:w="0" w:type="dxa"/>
              <w:left w:w="105" w:type="dxa"/>
              <w:bottom w:w="0" w:type="dxa"/>
              <w:right w:w="105" w:type="dxa"/>
            </w:tcMar>
            <w:vAlign w:val="center"/>
          </w:tcPr>
          <w:p w14:paraId="060D1812">
            <w:pPr>
              <w:widowControl/>
              <w:jc w:val="left"/>
              <w:rPr>
                <w:rFonts w:ascii="宋体" w:hAnsi="宋体" w:cs="宋体"/>
              </w:rPr>
            </w:pPr>
          </w:p>
        </w:tc>
        <w:tc>
          <w:tcPr>
            <w:tcW w:w="1487" w:type="pct"/>
            <w:tcMar>
              <w:top w:w="0" w:type="dxa"/>
              <w:left w:w="105" w:type="dxa"/>
              <w:bottom w:w="0" w:type="dxa"/>
              <w:right w:w="105" w:type="dxa"/>
            </w:tcMar>
            <w:vAlign w:val="center"/>
          </w:tcPr>
          <w:p w14:paraId="559A8D45">
            <w:pPr>
              <w:widowControl/>
              <w:jc w:val="left"/>
              <w:rPr>
                <w:rFonts w:ascii="宋体" w:hAnsi="宋体" w:cs="宋体"/>
              </w:rPr>
            </w:pPr>
          </w:p>
        </w:tc>
        <w:tc>
          <w:tcPr>
            <w:tcW w:w="1337" w:type="pct"/>
            <w:tcMar>
              <w:top w:w="0" w:type="dxa"/>
              <w:left w:w="105" w:type="dxa"/>
              <w:bottom w:w="0" w:type="dxa"/>
              <w:right w:w="105" w:type="dxa"/>
            </w:tcMar>
            <w:vAlign w:val="center"/>
          </w:tcPr>
          <w:p w14:paraId="29FC2A3A">
            <w:pPr>
              <w:widowControl/>
              <w:jc w:val="left"/>
              <w:rPr>
                <w:rFonts w:ascii="宋体" w:hAnsi="宋体" w:cs="宋体"/>
              </w:rPr>
            </w:pPr>
          </w:p>
        </w:tc>
        <w:tc>
          <w:tcPr>
            <w:tcW w:w="742" w:type="pct"/>
            <w:tcMar>
              <w:top w:w="0" w:type="dxa"/>
              <w:left w:w="105" w:type="dxa"/>
              <w:bottom w:w="0" w:type="dxa"/>
              <w:right w:w="105" w:type="dxa"/>
            </w:tcMar>
            <w:vAlign w:val="center"/>
          </w:tcPr>
          <w:p w14:paraId="075C5112">
            <w:pPr>
              <w:widowControl/>
              <w:jc w:val="left"/>
              <w:rPr>
                <w:rFonts w:ascii="宋体" w:hAnsi="宋体" w:cs="宋体"/>
              </w:rPr>
            </w:pPr>
          </w:p>
        </w:tc>
      </w:tr>
      <w:tr w14:paraId="60BBE0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0" w:hRule="atLeast"/>
          <w:tblCellSpacing w:w="15" w:type="dxa"/>
        </w:trPr>
        <w:tc>
          <w:tcPr>
            <w:tcW w:w="441" w:type="pct"/>
            <w:tcMar>
              <w:top w:w="0" w:type="dxa"/>
              <w:left w:w="105" w:type="dxa"/>
              <w:bottom w:w="0" w:type="dxa"/>
              <w:right w:w="105" w:type="dxa"/>
            </w:tcMar>
            <w:vAlign w:val="center"/>
          </w:tcPr>
          <w:p w14:paraId="20AA8AFE">
            <w:pPr>
              <w:widowControl/>
              <w:jc w:val="left"/>
              <w:rPr>
                <w:rFonts w:ascii="宋体" w:hAnsi="宋体" w:cs="宋体"/>
              </w:rPr>
            </w:pPr>
          </w:p>
        </w:tc>
        <w:tc>
          <w:tcPr>
            <w:tcW w:w="889" w:type="pct"/>
            <w:tcMar>
              <w:top w:w="0" w:type="dxa"/>
              <w:left w:w="105" w:type="dxa"/>
              <w:bottom w:w="0" w:type="dxa"/>
              <w:right w:w="105" w:type="dxa"/>
            </w:tcMar>
            <w:vAlign w:val="center"/>
          </w:tcPr>
          <w:p w14:paraId="7581B720">
            <w:pPr>
              <w:widowControl/>
              <w:jc w:val="left"/>
              <w:rPr>
                <w:rFonts w:ascii="宋体" w:hAnsi="宋体" w:cs="宋体"/>
              </w:rPr>
            </w:pPr>
          </w:p>
        </w:tc>
        <w:tc>
          <w:tcPr>
            <w:tcW w:w="1487" w:type="pct"/>
            <w:tcMar>
              <w:top w:w="0" w:type="dxa"/>
              <w:left w:w="105" w:type="dxa"/>
              <w:bottom w:w="0" w:type="dxa"/>
              <w:right w:w="105" w:type="dxa"/>
            </w:tcMar>
            <w:vAlign w:val="center"/>
          </w:tcPr>
          <w:p w14:paraId="09FB74D2">
            <w:pPr>
              <w:widowControl/>
              <w:jc w:val="left"/>
              <w:rPr>
                <w:rFonts w:ascii="宋体" w:hAnsi="宋体" w:cs="宋体"/>
              </w:rPr>
            </w:pPr>
          </w:p>
        </w:tc>
        <w:tc>
          <w:tcPr>
            <w:tcW w:w="1337" w:type="pct"/>
            <w:tcMar>
              <w:top w:w="0" w:type="dxa"/>
              <w:left w:w="105" w:type="dxa"/>
              <w:bottom w:w="0" w:type="dxa"/>
              <w:right w:w="105" w:type="dxa"/>
            </w:tcMar>
            <w:vAlign w:val="center"/>
          </w:tcPr>
          <w:p w14:paraId="56E4F5CD">
            <w:pPr>
              <w:widowControl/>
              <w:jc w:val="left"/>
              <w:rPr>
                <w:rFonts w:ascii="宋体" w:hAnsi="宋体" w:cs="宋体"/>
              </w:rPr>
            </w:pPr>
          </w:p>
        </w:tc>
        <w:tc>
          <w:tcPr>
            <w:tcW w:w="742" w:type="pct"/>
            <w:tcMar>
              <w:top w:w="0" w:type="dxa"/>
              <w:left w:w="105" w:type="dxa"/>
              <w:bottom w:w="0" w:type="dxa"/>
              <w:right w:w="105" w:type="dxa"/>
            </w:tcMar>
            <w:vAlign w:val="center"/>
          </w:tcPr>
          <w:p w14:paraId="15235A5D">
            <w:pPr>
              <w:widowControl/>
              <w:jc w:val="left"/>
              <w:rPr>
                <w:rFonts w:ascii="宋体" w:hAnsi="宋体" w:cs="宋体"/>
              </w:rPr>
            </w:pPr>
          </w:p>
        </w:tc>
      </w:tr>
      <w:tr w14:paraId="42F6E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0" w:hRule="atLeast"/>
          <w:tblCellSpacing w:w="15" w:type="dxa"/>
        </w:trPr>
        <w:tc>
          <w:tcPr>
            <w:tcW w:w="441" w:type="pct"/>
            <w:tcMar>
              <w:top w:w="0" w:type="dxa"/>
              <w:left w:w="105" w:type="dxa"/>
              <w:bottom w:w="0" w:type="dxa"/>
              <w:right w:w="105" w:type="dxa"/>
            </w:tcMar>
            <w:vAlign w:val="center"/>
          </w:tcPr>
          <w:p w14:paraId="09EDC4D0">
            <w:pPr>
              <w:widowControl/>
              <w:jc w:val="left"/>
              <w:rPr>
                <w:rFonts w:ascii="宋体" w:hAnsi="宋体" w:cs="宋体"/>
              </w:rPr>
            </w:pPr>
          </w:p>
        </w:tc>
        <w:tc>
          <w:tcPr>
            <w:tcW w:w="889" w:type="pct"/>
            <w:tcMar>
              <w:top w:w="0" w:type="dxa"/>
              <w:left w:w="105" w:type="dxa"/>
              <w:bottom w:w="0" w:type="dxa"/>
              <w:right w:w="105" w:type="dxa"/>
            </w:tcMar>
            <w:vAlign w:val="center"/>
          </w:tcPr>
          <w:p w14:paraId="54FE2129">
            <w:pPr>
              <w:widowControl/>
              <w:jc w:val="left"/>
              <w:rPr>
                <w:rFonts w:ascii="宋体" w:hAnsi="宋体" w:cs="宋体"/>
              </w:rPr>
            </w:pPr>
          </w:p>
        </w:tc>
        <w:tc>
          <w:tcPr>
            <w:tcW w:w="1487" w:type="pct"/>
            <w:tcMar>
              <w:top w:w="0" w:type="dxa"/>
              <w:left w:w="105" w:type="dxa"/>
              <w:bottom w:w="0" w:type="dxa"/>
              <w:right w:w="105" w:type="dxa"/>
            </w:tcMar>
            <w:vAlign w:val="center"/>
          </w:tcPr>
          <w:p w14:paraId="1ABB4E88">
            <w:pPr>
              <w:widowControl/>
              <w:jc w:val="left"/>
              <w:rPr>
                <w:rFonts w:ascii="宋体" w:hAnsi="宋体" w:cs="宋体"/>
              </w:rPr>
            </w:pPr>
          </w:p>
        </w:tc>
        <w:tc>
          <w:tcPr>
            <w:tcW w:w="1337" w:type="pct"/>
            <w:tcMar>
              <w:top w:w="0" w:type="dxa"/>
              <w:left w:w="105" w:type="dxa"/>
              <w:bottom w:w="0" w:type="dxa"/>
              <w:right w:w="105" w:type="dxa"/>
            </w:tcMar>
            <w:vAlign w:val="center"/>
          </w:tcPr>
          <w:p w14:paraId="2EFCF06C">
            <w:pPr>
              <w:widowControl/>
              <w:jc w:val="left"/>
              <w:rPr>
                <w:rFonts w:ascii="宋体" w:hAnsi="宋体" w:cs="宋体"/>
              </w:rPr>
            </w:pPr>
          </w:p>
        </w:tc>
        <w:tc>
          <w:tcPr>
            <w:tcW w:w="742" w:type="pct"/>
            <w:tcMar>
              <w:top w:w="0" w:type="dxa"/>
              <w:left w:w="105" w:type="dxa"/>
              <w:bottom w:w="0" w:type="dxa"/>
              <w:right w:w="105" w:type="dxa"/>
            </w:tcMar>
            <w:vAlign w:val="center"/>
          </w:tcPr>
          <w:p w14:paraId="3C87B27F">
            <w:pPr>
              <w:widowControl/>
              <w:jc w:val="left"/>
              <w:rPr>
                <w:rFonts w:ascii="宋体" w:hAnsi="宋体" w:cs="宋体"/>
              </w:rPr>
            </w:pPr>
          </w:p>
        </w:tc>
      </w:tr>
      <w:tr w14:paraId="5ADC7D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0" w:hRule="atLeast"/>
          <w:tblCellSpacing w:w="15" w:type="dxa"/>
        </w:trPr>
        <w:tc>
          <w:tcPr>
            <w:tcW w:w="441" w:type="pct"/>
            <w:tcMar>
              <w:top w:w="0" w:type="dxa"/>
              <w:left w:w="105" w:type="dxa"/>
              <w:bottom w:w="0" w:type="dxa"/>
              <w:right w:w="105" w:type="dxa"/>
            </w:tcMar>
            <w:vAlign w:val="center"/>
          </w:tcPr>
          <w:p w14:paraId="77F43AA3">
            <w:pPr>
              <w:widowControl/>
              <w:jc w:val="left"/>
              <w:rPr>
                <w:rFonts w:ascii="宋体" w:hAnsi="宋体" w:cs="宋体"/>
              </w:rPr>
            </w:pPr>
          </w:p>
        </w:tc>
        <w:tc>
          <w:tcPr>
            <w:tcW w:w="889" w:type="pct"/>
            <w:tcMar>
              <w:top w:w="0" w:type="dxa"/>
              <w:left w:w="105" w:type="dxa"/>
              <w:bottom w:w="0" w:type="dxa"/>
              <w:right w:w="105" w:type="dxa"/>
            </w:tcMar>
            <w:vAlign w:val="center"/>
          </w:tcPr>
          <w:p w14:paraId="4340687C">
            <w:pPr>
              <w:widowControl/>
              <w:jc w:val="left"/>
              <w:rPr>
                <w:rFonts w:ascii="宋体" w:hAnsi="宋体" w:cs="宋体"/>
              </w:rPr>
            </w:pPr>
          </w:p>
        </w:tc>
        <w:tc>
          <w:tcPr>
            <w:tcW w:w="1487" w:type="pct"/>
            <w:tcMar>
              <w:top w:w="0" w:type="dxa"/>
              <w:left w:w="105" w:type="dxa"/>
              <w:bottom w:w="0" w:type="dxa"/>
              <w:right w:w="105" w:type="dxa"/>
            </w:tcMar>
            <w:vAlign w:val="center"/>
          </w:tcPr>
          <w:p w14:paraId="1B95AB2D">
            <w:pPr>
              <w:widowControl/>
              <w:jc w:val="left"/>
              <w:rPr>
                <w:rFonts w:ascii="宋体" w:hAnsi="宋体" w:cs="宋体"/>
              </w:rPr>
            </w:pPr>
          </w:p>
        </w:tc>
        <w:tc>
          <w:tcPr>
            <w:tcW w:w="1337" w:type="pct"/>
            <w:tcMar>
              <w:top w:w="0" w:type="dxa"/>
              <w:left w:w="105" w:type="dxa"/>
              <w:bottom w:w="0" w:type="dxa"/>
              <w:right w:w="105" w:type="dxa"/>
            </w:tcMar>
            <w:vAlign w:val="center"/>
          </w:tcPr>
          <w:p w14:paraId="22294B76">
            <w:pPr>
              <w:widowControl/>
              <w:jc w:val="left"/>
              <w:rPr>
                <w:rFonts w:ascii="宋体" w:hAnsi="宋体" w:cs="宋体"/>
              </w:rPr>
            </w:pPr>
          </w:p>
        </w:tc>
        <w:tc>
          <w:tcPr>
            <w:tcW w:w="742" w:type="pct"/>
            <w:tcMar>
              <w:top w:w="0" w:type="dxa"/>
              <w:left w:w="105" w:type="dxa"/>
              <w:bottom w:w="0" w:type="dxa"/>
              <w:right w:w="105" w:type="dxa"/>
            </w:tcMar>
            <w:vAlign w:val="center"/>
          </w:tcPr>
          <w:p w14:paraId="26F82D05">
            <w:pPr>
              <w:widowControl/>
              <w:jc w:val="left"/>
              <w:rPr>
                <w:rFonts w:ascii="宋体" w:hAnsi="宋体" w:cs="宋体"/>
              </w:rPr>
            </w:pPr>
          </w:p>
        </w:tc>
      </w:tr>
      <w:tr w14:paraId="47C4F0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0" w:hRule="atLeast"/>
          <w:tblCellSpacing w:w="15" w:type="dxa"/>
        </w:trPr>
        <w:tc>
          <w:tcPr>
            <w:tcW w:w="441" w:type="pct"/>
            <w:tcMar>
              <w:top w:w="0" w:type="dxa"/>
              <w:left w:w="105" w:type="dxa"/>
              <w:bottom w:w="0" w:type="dxa"/>
              <w:right w:w="105" w:type="dxa"/>
            </w:tcMar>
            <w:vAlign w:val="center"/>
          </w:tcPr>
          <w:p w14:paraId="3A00D1DA">
            <w:pPr>
              <w:widowControl/>
              <w:jc w:val="left"/>
              <w:rPr>
                <w:rFonts w:ascii="宋体" w:hAnsi="宋体" w:cs="宋体"/>
              </w:rPr>
            </w:pPr>
          </w:p>
        </w:tc>
        <w:tc>
          <w:tcPr>
            <w:tcW w:w="889" w:type="pct"/>
            <w:tcMar>
              <w:top w:w="0" w:type="dxa"/>
              <w:left w:w="105" w:type="dxa"/>
              <w:bottom w:w="0" w:type="dxa"/>
              <w:right w:w="105" w:type="dxa"/>
            </w:tcMar>
            <w:vAlign w:val="center"/>
          </w:tcPr>
          <w:p w14:paraId="7AC8B621">
            <w:pPr>
              <w:widowControl/>
              <w:jc w:val="left"/>
              <w:rPr>
                <w:rFonts w:ascii="宋体" w:hAnsi="宋体" w:cs="宋体"/>
              </w:rPr>
            </w:pPr>
          </w:p>
        </w:tc>
        <w:tc>
          <w:tcPr>
            <w:tcW w:w="1487" w:type="pct"/>
            <w:tcMar>
              <w:top w:w="0" w:type="dxa"/>
              <w:left w:w="105" w:type="dxa"/>
              <w:bottom w:w="0" w:type="dxa"/>
              <w:right w:w="105" w:type="dxa"/>
            </w:tcMar>
            <w:vAlign w:val="center"/>
          </w:tcPr>
          <w:p w14:paraId="655A991A">
            <w:pPr>
              <w:widowControl/>
              <w:jc w:val="left"/>
              <w:rPr>
                <w:rFonts w:ascii="宋体" w:hAnsi="宋体" w:cs="宋体"/>
              </w:rPr>
            </w:pPr>
          </w:p>
        </w:tc>
        <w:tc>
          <w:tcPr>
            <w:tcW w:w="1337" w:type="pct"/>
            <w:tcMar>
              <w:top w:w="0" w:type="dxa"/>
              <w:left w:w="105" w:type="dxa"/>
              <w:bottom w:w="0" w:type="dxa"/>
              <w:right w:w="105" w:type="dxa"/>
            </w:tcMar>
            <w:vAlign w:val="center"/>
          </w:tcPr>
          <w:p w14:paraId="447AA10B">
            <w:pPr>
              <w:widowControl/>
              <w:jc w:val="left"/>
              <w:rPr>
                <w:rFonts w:ascii="宋体" w:hAnsi="宋体" w:cs="宋体"/>
              </w:rPr>
            </w:pPr>
          </w:p>
        </w:tc>
        <w:tc>
          <w:tcPr>
            <w:tcW w:w="742" w:type="pct"/>
            <w:tcMar>
              <w:top w:w="0" w:type="dxa"/>
              <w:left w:w="105" w:type="dxa"/>
              <w:bottom w:w="0" w:type="dxa"/>
              <w:right w:w="105" w:type="dxa"/>
            </w:tcMar>
            <w:vAlign w:val="center"/>
          </w:tcPr>
          <w:p w14:paraId="052B6EF7">
            <w:pPr>
              <w:widowControl/>
              <w:jc w:val="left"/>
              <w:rPr>
                <w:rFonts w:ascii="宋体" w:hAnsi="宋体" w:cs="宋体"/>
              </w:rPr>
            </w:pPr>
          </w:p>
        </w:tc>
      </w:tr>
    </w:tbl>
    <w:p w14:paraId="711D4DA9">
      <w:pPr>
        <w:pStyle w:val="44"/>
        <w:widowControl/>
        <w:spacing w:before="75" w:after="75" w:line="375" w:lineRule="atLeast"/>
        <w:rPr>
          <w:rStyle w:val="52"/>
          <w:sz w:val="21"/>
          <w:szCs w:val="21"/>
        </w:rPr>
      </w:pPr>
      <w:r>
        <w:rPr>
          <w:rStyle w:val="52"/>
          <w:rFonts w:hint="eastAsia"/>
          <w:sz w:val="21"/>
          <w:szCs w:val="21"/>
        </w:rPr>
        <w:t>注：（1）竞争性磋商文件（含商务要求等）规定的各相关条款要求，如果供应商在响应文件中没有以书面方式对竞争性磋商文件规定的各项要求和条款提出不满足或不响应或负偏离，则视为供应商能够完全理解并满足本竞争性磋商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磋商保证金（如果未签订合同）将不予退还，给采购人和采购代理机构造成损失的，还必须进行赔偿并负相关责任。</w:t>
      </w:r>
    </w:p>
    <w:p w14:paraId="0AB1C724">
      <w:pPr>
        <w:pStyle w:val="44"/>
        <w:widowControl/>
        <w:spacing w:before="75" w:after="75" w:line="375" w:lineRule="atLeast"/>
        <w:rPr>
          <w:rStyle w:val="52"/>
          <w:sz w:val="21"/>
          <w:szCs w:val="21"/>
        </w:rPr>
      </w:pPr>
      <w:r>
        <w:rPr>
          <w:rStyle w:val="52"/>
          <w:rFonts w:hint="eastAsia"/>
          <w:sz w:val="21"/>
          <w:szCs w:val="21"/>
        </w:rPr>
        <w:t>（2）磋商文件不能详细列明采购标的的技术、服务要求，需经磋商由供应商提供最终设计方案或解决方案的；或者供应商需要说明的内容需要通过图片、视频等特殊表达；无法适用上表格式文字说明的，则供应商可在本表中进行相应说明和页码索引，再另页具体提交应答。</w:t>
      </w:r>
    </w:p>
    <w:p w14:paraId="022BF0DF">
      <w:pPr>
        <w:pStyle w:val="44"/>
        <w:widowControl/>
        <w:spacing w:before="75" w:after="75" w:line="375" w:lineRule="atLeast"/>
      </w:pPr>
    </w:p>
    <w:p w14:paraId="1F70CA01">
      <w:pPr>
        <w:pStyle w:val="44"/>
      </w:pPr>
      <w:r>
        <w:rPr>
          <w:rFonts w:hint="eastAsia"/>
        </w:rPr>
        <w:t>供应商：</w:t>
      </w:r>
      <w:r>
        <w:rPr>
          <w:rFonts w:hint="eastAsia"/>
          <w:u w:val="single"/>
        </w:rPr>
        <w:t>（全称并加盖单位公章）</w:t>
      </w:r>
    </w:p>
    <w:p w14:paraId="31240079">
      <w:pPr>
        <w:pStyle w:val="44"/>
      </w:pPr>
      <w:r>
        <w:rPr>
          <w:rFonts w:hint="eastAsia"/>
        </w:rPr>
        <w:t>供应商代表签字：</w:t>
      </w:r>
      <w:r>
        <w:rPr>
          <w:rFonts w:hint="eastAsia"/>
          <w:u w:val="single"/>
        </w:rPr>
        <w:t>         </w:t>
      </w:r>
    </w:p>
    <w:p w14:paraId="09BF4EDC">
      <w:pPr>
        <w:pStyle w:val="44"/>
        <w:widowControl/>
        <w:spacing w:before="75" w:after="75" w:line="375" w:lineRule="atLeast"/>
      </w:pPr>
      <w:r>
        <w:rPr>
          <w:rFonts w:hint="eastAsia"/>
        </w:rPr>
        <w:t>日期：</w:t>
      </w:r>
      <w:r>
        <w:rPr>
          <w:rFonts w:hint="eastAsia"/>
          <w:u w:val="single"/>
        </w:rPr>
        <w:t>    </w:t>
      </w:r>
      <w:r>
        <w:rPr>
          <w:rFonts w:hint="eastAsia"/>
        </w:rPr>
        <w:t>年</w:t>
      </w:r>
      <w:r>
        <w:rPr>
          <w:rFonts w:hint="eastAsia"/>
          <w:u w:val="single"/>
        </w:rPr>
        <w:t>   </w:t>
      </w:r>
      <w:r>
        <w:rPr>
          <w:rFonts w:hint="eastAsia"/>
        </w:rPr>
        <w:t>月</w:t>
      </w:r>
      <w:r>
        <w:rPr>
          <w:rFonts w:hint="eastAsia"/>
          <w:u w:val="single"/>
        </w:rPr>
        <w:t>   </w:t>
      </w:r>
      <w:r>
        <w:rPr>
          <w:rFonts w:hint="eastAsia"/>
        </w:rPr>
        <w:t>日</w:t>
      </w:r>
    </w:p>
    <w:p w14:paraId="6E276718">
      <w:pPr>
        <w:pStyle w:val="20"/>
        <w:rPr>
          <w:rFonts w:ascii="宋体" w:hAnsi="宋体" w:cs="宋体"/>
        </w:rPr>
      </w:pPr>
    </w:p>
    <w:p w14:paraId="10361DF9">
      <w:pPr>
        <w:pStyle w:val="20"/>
        <w:outlineLvl w:val="0"/>
        <w:rPr>
          <w:rFonts w:ascii="宋体" w:hAnsi="宋体" w:cs="宋体"/>
          <w:b/>
          <w:spacing w:val="-4"/>
          <w:szCs w:val="21"/>
        </w:rPr>
      </w:pPr>
      <w:r>
        <w:rPr>
          <w:rFonts w:hint="eastAsia" w:ascii="宋体" w:hAnsi="宋体" w:cs="宋体"/>
          <w:snapToGrid w:val="0"/>
          <w:kern w:val="0"/>
          <w:u w:val="single"/>
        </w:rPr>
        <w:br w:type="page"/>
      </w:r>
      <w:bookmarkStart w:id="216" w:name="_Toc18185"/>
      <w:r>
        <w:rPr>
          <w:rFonts w:hint="eastAsia" w:ascii="宋体" w:hAnsi="宋体" w:cs="宋体"/>
          <w:b/>
          <w:spacing w:val="-4"/>
          <w:szCs w:val="21"/>
        </w:rPr>
        <w:t>附件</w:t>
      </w:r>
      <w:bookmarkEnd w:id="216"/>
      <w:r>
        <w:rPr>
          <w:rFonts w:hint="eastAsia" w:ascii="宋体" w:hAnsi="宋体" w:cs="宋体"/>
          <w:b/>
          <w:spacing w:val="-4"/>
          <w:szCs w:val="21"/>
        </w:rPr>
        <w:t>6</w:t>
      </w:r>
    </w:p>
    <w:p w14:paraId="2F210E25">
      <w:pPr>
        <w:pStyle w:val="20"/>
        <w:jc w:val="center"/>
        <w:rPr>
          <w:rFonts w:ascii="宋体" w:hAnsi="宋体" w:cs="宋体"/>
          <w:b/>
          <w:sz w:val="32"/>
          <w:szCs w:val="32"/>
        </w:rPr>
      </w:pPr>
      <w:r>
        <w:rPr>
          <w:rFonts w:hint="eastAsia" w:ascii="宋体" w:hAnsi="宋体" w:cs="宋体"/>
          <w:b/>
          <w:sz w:val="32"/>
          <w:szCs w:val="32"/>
        </w:rPr>
        <w:t>相关技术、商务、服务响应承诺及资料</w:t>
      </w:r>
    </w:p>
    <w:p w14:paraId="321AB106">
      <w:pPr>
        <w:spacing w:line="360" w:lineRule="auto"/>
        <w:ind w:firstLine="480" w:firstLineChars="200"/>
        <w:rPr>
          <w:rFonts w:ascii="宋体" w:hAnsi="宋体" w:cs="宋体"/>
          <w:snapToGrid w:val="0"/>
          <w:kern w:val="0"/>
          <w:sz w:val="24"/>
          <w:u w:val="single"/>
        </w:rPr>
      </w:pPr>
    </w:p>
    <w:p w14:paraId="64E25C3A">
      <w:pPr>
        <w:pStyle w:val="44"/>
        <w:widowControl/>
        <w:spacing w:before="75" w:after="75" w:line="495" w:lineRule="atLeast"/>
      </w:pPr>
      <w:r>
        <w:rPr>
          <w:rStyle w:val="52"/>
        </w:rPr>
        <w:t>说明：</w:t>
      </w:r>
      <w:r>
        <w:rPr>
          <w:rStyle w:val="52"/>
          <w:rFonts w:hint="eastAsia"/>
        </w:rPr>
        <w:t>    </w:t>
      </w:r>
    </w:p>
    <w:p w14:paraId="4820D2FD">
      <w:pPr>
        <w:pStyle w:val="44"/>
        <w:widowControl/>
        <w:spacing w:before="75" w:after="75" w:line="495" w:lineRule="atLeast"/>
      </w:pPr>
      <w:r>
        <w:rPr>
          <w:rFonts w:hint="eastAsia"/>
        </w:rPr>
        <w:t>  1.采购人或采购代理机构可以根据项目的特点和需要，在磋商文件中对供应商需要提供的相关技术、商务、服务响应承诺及资料进行具体规定或附表格式，供应商应按照磋商文件要求提供相关承诺及材料，并加盖供应商单位公章。</w:t>
      </w:r>
    </w:p>
    <w:p w14:paraId="08202709">
      <w:pPr>
        <w:pStyle w:val="44"/>
        <w:widowControl/>
        <w:spacing w:before="75" w:after="75" w:line="495" w:lineRule="atLeast"/>
      </w:pPr>
      <w:r>
        <w:rPr>
          <w:rFonts w:hint="eastAsia"/>
        </w:rPr>
        <w:t>  2.如果没有特别要求的，供应商根据磋商文件的要求以及特点，提供相关技术、商务、服务响应承诺及资料，格式自拟。</w:t>
      </w:r>
    </w:p>
    <w:p w14:paraId="280763F5">
      <w:pPr>
        <w:pStyle w:val="44"/>
        <w:widowControl/>
        <w:spacing w:before="75" w:after="75" w:line="495" w:lineRule="atLeast"/>
      </w:pPr>
      <w:r>
        <w:rPr>
          <w:rStyle w:val="52"/>
          <w:rFonts w:hint="eastAsia"/>
        </w:rPr>
        <w:t> </w:t>
      </w:r>
    </w:p>
    <w:p w14:paraId="3085CB0E">
      <w:pPr>
        <w:pStyle w:val="44"/>
        <w:widowControl/>
        <w:spacing w:before="75" w:after="75" w:line="495" w:lineRule="atLeast"/>
      </w:pPr>
      <w:r>
        <w:rPr>
          <w:rStyle w:val="52"/>
          <w:rFonts w:hint="eastAsia"/>
        </w:rPr>
        <w:t> </w:t>
      </w:r>
    </w:p>
    <w:p w14:paraId="7BC41FC3">
      <w:pPr>
        <w:pStyle w:val="44"/>
        <w:widowControl/>
        <w:spacing w:before="75" w:after="75" w:line="420" w:lineRule="atLeast"/>
        <w:ind w:firstLine="480"/>
      </w:pPr>
      <w:r>
        <w:rPr>
          <w:rFonts w:hint="eastAsia"/>
        </w:rPr>
        <w:t> </w:t>
      </w:r>
    </w:p>
    <w:p w14:paraId="6A2DA195">
      <w:pPr>
        <w:pStyle w:val="44"/>
        <w:widowControl/>
        <w:spacing w:before="75" w:after="75" w:line="420" w:lineRule="atLeast"/>
        <w:ind w:firstLine="480"/>
      </w:pPr>
      <w:r>
        <w:rPr>
          <w:rFonts w:hint="eastAsia"/>
        </w:rPr>
        <w:t> </w:t>
      </w:r>
    </w:p>
    <w:p w14:paraId="3AA354EC">
      <w:pPr>
        <w:pStyle w:val="44"/>
        <w:widowControl/>
        <w:spacing w:before="75" w:after="75" w:line="435" w:lineRule="atLeast"/>
      </w:pPr>
      <w:r>
        <w:rPr>
          <w:rFonts w:hint="eastAsia"/>
        </w:rPr>
        <w:t>供应商代表：</w:t>
      </w:r>
      <w:r>
        <w:rPr>
          <w:rFonts w:hint="eastAsia"/>
          <w:u w:val="single"/>
        </w:rPr>
        <w:t>             （签字） </w:t>
      </w:r>
    </w:p>
    <w:p w14:paraId="41E5E009">
      <w:pPr>
        <w:pStyle w:val="44"/>
        <w:widowControl/>
        <w:spacing w:before="75" w:after="75" w:line="435" w:lineRule="atLeast"/>
      </w:pPr>
      <w:r>
        <w:rPr>
          <w:rFonts w:hint="eastAsia"/>
        </w:rPr>
        <w:t>供应商名称：</w:t>
      </w:r>
      <w:r>
        <w:rPr>
          <w:rFonts w:hint="eastAsia"/>
          <w:u w:val="single"/>
        </w:rPr>
        <w:t>    （全称并加盖公章）   </w:t>
      </w:r>
    </w:p>
    <w:p w14:paraId="233BC4AC">
      <w:pPr>
        <w:pStyle w:val="44"/>
        <w:widowControl/>
        <w:spacing w:before="75" w:after="75" w:line="435" w:lineRule="atLeast"/>
      </w:pPr>
      <w:r>
        <w:rPr>
          <w:rFonts w:hint="eastAsia"/>
        </w:rPr>
        <w:t>日  期： </w:t>
      </w:r>
      <w:r>
        <w:rPr>
          <w:rFonts w:hint="eastAsia"/>
          <w:u w:val="single"/>
        </w:rPr>
        <w:t>    </w:t>
      </w:r>
      <w:r>
        <w:rPr>
          <w:rFonts w:hint="eastAsia"/>
        </w:rPr>
        <w:t>年 </w:t>
      </w:r>
      <w:r>
        <w:rPr>
          <w:rFonts w:hint="eastAsia"/>
          <w:u w:val="single"/>
        </w:rPr>
        <w:t>   </w:t>
      </w:r>
      <w:r>
        <w:rPr>
          <w:rFonts w:hint="eastAsia"/>
        </w:rPr>
        <w:t>月 </w:t>
      </w:r>
      <w:r>
        <w:rPr>
          <w:rFonts w:hint="eastAsia"/>
          <w:u w:val="single"/>
        </w:rPr>
        <w:t>   </w:t>
      </w:r>
      <w:r>
        <w:rPr>
          <w:rFonts w:hint="eastAsia"/>
        </w:rPr>
        <w:t>日</w:t>
      </w:r>
    </w:p>
    <w:p w14:paraId="5BE7208B">
      <w:pPr>
        <w:spacing w:line="360" w:lineRule="auto"/>
        <w:outlineLvl w:val="0"/>
        <w:rPr>
          <w:rFonts w:ascii="宋体" w:hAnsi="宋体" w:cs="宋体"/>
          <w:b/>
          <w:sz w:val="28"/>
          <w:szCs w:val="28"/>
        </w:rPr>
      </w:pPr>
      <w:r>
        <w:rPr>
          <w:rFonts w:hint="eastAsia" w:ascii="宋体" w:hAnsi="宋体" w:cs="宋体"/>
          <w:b/>
          <w:sz w:val="28"/>
          <w:szCs w:val="28"/>
        </w:rPr>
        <w:br w:type="page"/>
      </w:r>
      <w:bookmarkStart w:id="217" w:name="_Toc21456"/>
      <w:bookmarkStart w:id="218" w:name="_Toc15310_WPSOffice_Level3"/>
      <w:bookmarkStart w:id="219" w:name="_Toc32185_WPSOffice_Level3"/>
      <w:r>
        <w:rPr>
          <w:rFonts w:hint="eastAsia" w:ascii="宋体" w:hAnsi="宋体" w:cs="宋体"/>
          <w:b/>
          <w:szCs w:val="21"/>
        </w:rPr>
        <w:t>附件</w:t>
      </w:r>
      <w:bookmarkEnd w:id="217"/>
      <w:r>
        <w:rPr>
          <w:rFonts w:hint="eastAsia" w:ascii="宋体" w:hAnsi="宋体" w:cs="宋体"/>
          <w:b/>
          <w:szCs w:val="21"/>
        </w:rPr>
        <w:t>7</w:t>
      </w:r>
    </w:p>
    <w:p w14:paraId="02E0B640">
      <w:pPr>
        <w:spacing w:line="360" w:lineRule="auto"/>
        <w:jc w:val="center"/>
        <w:rPr>
          <w:rFonts w:ascii="宋体" w:hAnsi="宋体" w:cs="宋体"/>
          <w:sz w:val="32"/>
          <w:szCs w:val="32"/>
        </w:rPr>
      </w:pPr>
      <w:r>
        <w:rPr>
          <w:rFonts w:hint="eastAsia" w:ascii="宋体" w:hAnsi="宋体" w:cs="宋体"/>
          <w:b/>
          <w:sz w:val="32"/>
          <w:szCs w:val="32"/>
        </w:rPr>
        <w:t>供应商的资格证明文件</w:t>
      </w:r>
      <w:bookmarkEnd w:id="218"/>
      <w:bookmarkEnd w:id="219"/>
    </w:p>
    <w:p w14:paraId="7E6093EF">
      <w:pPr>
        <w:spacing w:line="360" w:lineRule="auto"/>
        <w:jc w:val="center"/>
        <w:rPr>
          <w:rFonts w:ascii="宋体" w:hAnsi="宋体" w:cs="宋体"/>
          <w:b/>
          <w:sz w:val="32"/>
          <w:szCs w:val="32"/>
        </w:rPr>
      </w:pPr>
      <w:bookmarkStart w:id="220" w:name="_Toc11990_WPSOffice_Level3"/>
      <w:bookmarkStart w:id="221" w:name="_Toc21282_WPSOffice_Level3"/>
      <w:r>
        <w:rPr>
          <w:rFonts w:hint="eastAsia" w:ascii="宋体" w:hAnsi="宋体" w:cs="宋体"/>
          <w:b/>
          <w:sz w:val="32"/>
          <w:szCs w:val="32"/>
        </w:rPr>
        <w:t>7-1法定代表人授权书</w:t>
      </w:r>
      <w:bookmarkEnd w:id="220"/>
      <w:bookmarkEnd w:id="221"/>
    </w:p>
    <w:p w14:paraId="67B02FB5">
      <w:pPr>
        <w:spacing w:line="360" w:lineRule="auto"/>
        <w:rPr>
          <w:rFonts w:ascii="宋体" w:hAnsi="宋体" w:cs="宋体"/>
          <w:sz w:val="24"/>
          <w:u w:val="single"/>
        </w:rPr>
      </w:pPr>
      <w:r>
        <w:rPr>
          <w:rFonts w:hint="eastAsia" w:ascii="宋体" w:hAnsi="宋体" w:cs="宋体"/>
          <w:sz w:val="24"/>
        </w:rPr>
        <w:t>致：</w:t>
      </w:r>
      <w:r>
        <w:rPr>
          <w:rFonts w:hint="eastAsia" w:ascii="宋体" w:hAnsi="宋体" w:cs="宋体"/>
          <w:sz w:val="24"/>
          <w:u w:val="single"/>
        </w:rPr>
        <w:t> 福建优胜招标项目管理集团有限公司</w:t>
      </w:r>
    </w:p>
    <w:p w14:paraId="59392C76">
      <w:pPr>
        <w:pStyle w:val="27"/>
        <w:snapToGrid w:val="0"/>
        <w:spacing w:line="360" w:lineRule="auto"/>
        <w:ind w:firstLine="480" w:firstLineChars="200"/>
        <w:jc w:val="left"/>
        <w:rPr>
          <w:rFonts w:hAnsi="宋体" w:cs="宋体"/>
          <w:sz w:val="24"/>
        </w:rPr>
      </w:pPr>
      <w:r>
        <w:rPr>
          <w:rFonts w:hint="eastAsia" w:hAnsi="宋体" w:cs="宋体"/>
          <w:sz w:val="24"/>
          <w:u w:val="single"/>
        </w:rPr>
        <w:t>（供应商全称）</w:t>
      </w:r>
      <w:r>
        <w:rPr>
          <w:rFonts w:hint="eastAsia" w:hAnsi="宋体" w:cs="宋体"/>
          <w:sz w:val="24"/>
        </w:rPr>
        <w:t>法定代表人 授权</w:t>
      </w:r>
      <w:r>
        <w:rPr>
          <w:rFonts w:hint="eastAsia" w:hAnsi="宋体" w:cs="宋体"/>
          <w:sz w:val="24"/>
          <w:u w:val="single"/>
        </w:rPr>
        <w:t xml:space="preserve">  （报价代表姓名）</w:t>
      </w:r>
      <w:r>
        <w:rPr>
          <w:rFonts w:hint="eastAsia" w:hAnsi="宋体" w:cs="宋体"/>
          <w:sz w:val="24"/>
        </w:rPr>
        <w:t>为报价代表，代表本公司参加贵司组织的项目（项目编号）采购活动，全权代表本公司处理报价过程的一切事宜，包括但不限于：报价、参与磋商、签约等。报价代表在报价过程中所签署的一切文件和处理与之有关的一切事务，本公司均予以认可并对此承担责任。报价代表无转委权。特此授权。</w:t>
      </w:r>
    </w:p>
    <w:p w14:paraId="59395592">
      <w:pPr>
        <w:pStyle w:val="27"/>
        <w:snapToGrid w:val="0"/>
        <w:spacing w:line="360" w:lineRule="auto"/>
        <w:ind w:firstLine="480" w:firstLineChars="200"/>
        <w:jc w:val="left"/>
        <w:rPr>
          <w:rFonts w:hAnsi="宋体" w:cs="宋体"/>
          <w:sz w:val="24"/>
        </w:rPr>
      </w:pPr>
      <w:r>
        <w:rPr>
          <w:rFonts w:hint="eastAsia" w:hAnsi="宋体" w:cs="宋体"/>
          <w:sz w:val="24"/>
        </w:rPr>
        <w:t>特此授权！本授权书自出具之日起生效。</w:t>
      </w:r>
    </w:p>
    <w:p w14:paraId="4458E7BC">
      <w:pPr>
        <w:rPr>
          <w:rFonts w:ascii="宋体" w:hAnsi="宋体" w:cs="宋体"/>
          <w:sz w:val="24"/>
          <w:u w:val="single"/>
        </w:rPr>
      </w:pPr>
    </w:p>
    <w:p w14:paraId="6F70960F">
      <w:pPr>
        <w:pStyle w:val="44"/>
        <w:widowControl/>
        <w:spacing w:line="240" w:lineRule="auto"/>
      </w:pPr>
      <w:r>
        <w:rPr>
          <w:rFonts w:hint="eastAsia"/>
          <w:shd w:val="clear" w:color="auto" w:fill="FFFFFF"/>
        </w:rPr>
        <w:t>※</w:t>
      </w:r>
      <w:r>
        <w:rPr>
          <w:rFonts w:hint="eastAsia"/>
        </w:rPr>
        <w:t>注意：</w:t>
      </w:r>
    </w:p>
    <w:p w14:paraId="4FC74E1B">
      <w:pPr>
        <w:pStyle w:val="44"/>
        <w:widowControl/>
        <w:spacing w:line="240" w:lineRule="auto"/>
      </w:pPr>
      <w:r>
        <w:rPr>
          <w:rFonts w:hint="eastAsia"/>
        </w:rPr>
        <w:t>1、企业（银行、保险、石油石化、电力、电信等行业除外）、事业单位和社会团体法人的“单位负责人”指</w:t>
      </w:r>
      <w:r>
        <w:rPr>
          <w:rStyle w:val="52"/>
          <w:rFonts w:hint="eastAsia"/>
        </w:rPr>
        <w:t>法定代表人</w:t>
      </w:r>
      <w:r>
        <w:rPr>
          <w:rFonts w:hint="eastAsia"/>
        </w:rPr>
        <w:t>，即与实际提交的“营业执照等证明文件”载明的一致。</w:t>
      </w:r>
    </w:p>
    <w:p w14:paraId="5E9D3FB2">
      <w:pPr>
        <w:pStyle w:val="44"/>
        <w:widowControl/>
        <w:spacing w:line="240" w:lineRule="auto"/>
      </w:pPr>
      <w:r>
        <w:rPr>
          <w:rFonts w:hint="eastAsia"/>
        </w:rPr>
        <w:t>2、银行、保险、石油石化、电力、电信等行业：以法人身份参加磋商的，“单位负责人”指法定代表人，即与实际提交的“营业执照等证明文件”载明的一致；以非法人身份参加磋商的，“单位负责人”指代表单位行使职权的主要负责人，即与实际提交的“营业执照等证明文件”载明的一致。</w:t>
      </w:r>
    </w:p>
    <w:p w14:paraId="5CB18CB2">
      <w:pPr>
        <w:pStyle w:val="44"/>
        <w:widowControl/>
        <w:spacing w:line="240" w:lineRule="auto"/>
      </w:pPr>
      <w:r>
        <w:rPr>
          <w:rFonts w:hint="eastAsia"/>
        </w:rPr>
        <w:t>3、供应商（自然人除外）：若供应商代表为单位负责人授权的委托代理人，应提供本授权书；若供应商代表为单位负责人，应在此项下提交其身份证正反面复印件，可不提供本授权书。</w:t>
      </w:r>
    </w:p>
    <w:p w14:paraId="0227CE7F">
      <w:pPr>
        <w:pStyle w:val="44"/>
        <w:widowControl/>
        <w:spacing w:line="240" w:lineRule="auto"/>
      </w:pPr>
      <w:r>
        <w:rPr>
          <w:rFonts w:hint="eastAsia"/>
        </w:rPr>
        <w:t>4、供应商为自然人的，可不填写本授权书。</w:t>
      </w:r>
    </w:p>
    <w:p w14:paraId="7F646826">
      <w:pPr>
        <w:pStyle w:val="44"/>
        <w:widowControl/>
        <w:spacing w:line="240" w:lineRule="auto"/>
      </w:pPr>
      <w:r>
        <w:rPr>
          <w:rFonts w:hint="eastAsia"/>
        </w:rPr>
        <w:t xml:space="preserve">5、响应文件正本中的本授权书（若有）应为原件。 </w:t>
      </w:r>
    </w:p>
    <w:p w14:paraId="499AEFA1">
      <w:pPr>
        <w:rPr>
          <w:rFonts w:ascii="宋体" w:hAnsi="宋体" w:cs="宋体"/>
          <w:sz w:val="24"/>
        </w:rPr>
      </w:pPr>
    </w:p>
    <w:p w14:paraId="12196043">
      <w:pPr>
        <w:pStyle w:val="44"/>
        <w:widowControl/>
        <w:spacing w:before="75" w:after="75" w:line="360" w:lineRule="atLeast"/>
      </w:pPr>
      <w:r>
        <w:rPr>
          <w:rFonts w:hint="eastAsia"/>
        </w:rPr>
        <w:t>单位负责人：</w:t>
      </w:r>
      <w:r>
        <w:rPr>
          <w:rFonts w:hint="eastAsia"/>
          <w:u w:val="single"/>
        </w:rPr>
        <w:t>    </w:t>
      </w:r>
      <w:r>
        <w:rPr>
          <w:rFonts w:hint="eastAsia"/>
        </w:rPr>
        <w:t>身份证号：</w:t>
      </w:r>
      <w:r>
        <w:rPr>
          <w:rFonts w:hint="eastAsia"/>
          <w:u w:val="single"/>
        </w:rPr>
        <w:t xml:space="preserve">          </w:t>
      </w:r>
      <w:r>
        <w:rPr>
          <w:rFonts w:hint="eastAsia"/>
        </w:rPr>
        <w:t>手机：</w:t>
      </w:r>
      <w:r>
        <w:rPr>
          <w:rFonts w:hint="eastAsia"/>
          <w:u w:val="single"/>
        </w:rPr>
        <w:t xml:space="preserve">      </w:t>
      </w:r>
    </w:p>
    <w:p w14:paraId="190E9399">
      <w:pPr>
        <w:pStyle w:val="44"/>
        <w:widowControl/>
        <w:spacing w:before="75" w:after="75" w:line="360" w:lineRule="atLeast"/>
      </w:pPr>
      <w:r>
        <w:rPr>
          <w:rFonts w:hint="eastAsia"/>
        </w:rPr>
        <w:t>供应商代表：</w:t>
      </w:r>
      <w:r>
        <w:rPr>
          <w:rFonts w:hint="eastAsia"/>
          <w:u w:val="single"/>
        </w:rPr>
        <w:t>     </w:t>
      </w:r>
      <w:r>
        <w:rPr>
          <w:rFonts w:hint="eastAsia"/>
        </w:rPr>
        <w:t>身份证号：</w:t>
      </w:r>
      <w:r>
        <w:rPr>
          <w:rFonts w:hint="eastAsia"/>
          <w:u w:val="single"/>
        </w:rPr>
        <w:t xml:space="preserve">        </w:t>
      </w:r>
      <w:r>
        <w:rPr>
          <w:rFonts w:hint="eastAsia"/>
        </w:rPr>
        <w:t>手机：</w:t>
      </w:r>
      <w:r>
        <w:rPr>
          <w:rFonts w:hint="eastAsia"/>
          <w:u w:val="single"/>
        </w:rPr>
        <w:t>     </w:t>
      </w:r>
    </w:p>
    <w:p w14:paraId="12B07D2A">
      <w:pPr>
        <w:pStyle w:val="44"/>
        <w:widowControl/>
        <w:spacing w:before="75" w:after="75" w:line="360" w:lineRule="atLeast"/>
      </w:pPr>
      <w:r>
        <w:rPr>
          <w:rFonts w:hint="eastAsia"/>
        </w:rPr>
        <w:t> </w:t>
      </w:r>
    </w:p>
    <w:p w14:paraId="04AD27E2">
      <w:pPr>
        <w:pStyle w:val="44"/>
        <w:widowControl/>
        <w:spacing w:line="360" w:lineRule="atLeast"/>
      </w:pPr>
      <w:r>
        <w:rPr>
          <w:rFonts w:hint="eastAsia"/>
        </w:rPr>
        <w:t>授权方</w:t>
      </w:r>
    </w:p>
    <w:p w14:paraId="22C0541F">
      <w:pPr>
        <w:pStyle w:val="44"/>
        <w:widowControl/>
        <w:spacing w:line="360" w:lineRule="atLeast"/>
      </w:pPr>
      <w:r>
        <w:rPr>
          <w:rFonts w:hint="eastAsia"/>
        </w:rPr>
        <w:t>供应商：</w:t>
      </w:r>
      <w:r>
        <w:rPr>
          <w:rFonts w:hint="eastAsia"/>
          <w:u w:val="single"/>
        </w:rPr>
        <w:t>（全称并加盖单位公章）</w:t>
      </w:r>
    </w:p>
    <w:p w14:paraId="7D1EAED7">
      <w:pPr>
        <w:pStyle w:val="44"/>
        <w:widowControl/>
        <w:spacing w:line="360" w:lineRule="atLeast"/>
      </w:pPr>
      <w:r>
        <w:rPr>
          <w:rFonts w:hint="eastAsia"/>
        </w:rPr>
        <w:t>单位负责人签字或盖章：</w:t>
      </w:r>
      <w:r>
        <w:rPr>
          <w:rFonts w:hint="eastAsia"/>
          <w:u w:val="single"/>
        </w:rPr>
        <w:t>       </w:t>
      </w:r>
    </w:p>
    <w:p w14:paraId="75D9333B">
      <w:pPr>
        <w:pStyle w:val="44"/>
        <w:widowControl/>
        <w:spacing w:line="360" w:lineRule="atLeast"/>
      </w:pPr>
      <w:r>
        <w:rPr>
          <w:rFonts w:hint="eastAsia"/>
        </w:rPr>
        <w:t> </w:t>
      </w:r>
    </w:p>
    <w:p w14:paraId="4FEEDF8B">
      <w:pPr>
        <w:pStyle w:val="44"/>
        <w:widowControl/>
        <w:spacing w:line="360" w:lineRule="atLeast"/>
      </w:pPr>
      <w:r>
        <w:rPr>
          <w:rFonts w:hint="eastAsia"/>
        </w:rPr>
        <w:t>接受授权方</w:t>
      </w:r>
    </w:p>
    <w:p w14:paraId="5E16BADF">
      <w:pPr>
        <w:pStyle w:val="44"/>
        <w:widowControl/>
        <w:spacing w:line="360" w:lineRule="atLeast"/>
      </w:pPr>
      <w:r>
        <w:rPr>
          <w:rFonts w:hint="eastAsia"/>
        </w:rPr>
        <w:t>供应商代表签字：</w:t>
      </w:r>
      <w:r>
        <w:rPr>
          <w:rFonts w:hint="eastAsia"/>
          <w:u w:val="single"/>
        </w:rPr>
        <w:t>         </w:t>
      </w:r>
    </w:p>
    <w:p w14:paraId="074BDECE">
      <w:pPr>
        <w:pStyle w:val="27"/>
        <w:snapToGrid w:val="0"/>
        <w:jc w:val="left"/>
        <w:rPr>
          <w:rFonts w:hAnsi="宋体" w:cs="宋体"/>
          <w:sz w:val="24"/>
          <w:szCs w:val="24"/>
          <w:u w:val="single"/>
        </w:rPr>
      </w:pPr>
    </w:p>
    <w:p w14:paraId="29170333">
      <w:pPr>
        <w:pStyle w:val="27"/>
        <w:snapToGrid w:val="0"/>
        <w:jc w:val="left"/>
        <w:rPr>
          <w:rFonts w:hAnsi="宋体" w:cs="宋体"/>
          <w:sz w:val="24"/>
          <w:szCs w:val="24"/>
        </w:rPr>
      </w:pPr>
      <w:r>
        <w:rPr>
          <w:rFonts w:hint="eastAsia" w:hAnsi="宋体" w:cs="宋体"/>
          <w:b/>
          <w:sz w:val="24"/>
          <w:szCs w:val="24"/>
        </w:rPr>
        <w:t>附：法定代表人和被授权人身份证件（正反面）</w:t>
      </w:r>
    </w:p>
    <w:p w14:paraId="784BBB3A">
      <w:pPr>
        <w:spacing w:line="360" w:lineRule="auto"/>
        <w:rPr>
          <w:rFonts w:ascii="宋体" w:hAnsi="宋体" w:cs="宋体"/>
          <w:b/>
          <w:sz w:val="24"/>
        </w:rPr>
      </w:pPr>
      <w:r>
        <w:rPr>
          <w:rFonts w:hint="eastAsia" w:ascii="宋体" w:hAnsi="宋体" w:cs="宋体"/>
          <w:sz w:val="24"/>
          <w:u w:val="single"/>
        </w:rPr>
        <w:br w:type="page"/>
      </w:r>
    </w:p>
    <w:p w14:paraId="0E155880">
      <w:pPr>
        <w:spacing w:line="360" w:lineRule="auto"/>
        <w:jc w:val="center"/>
        <w:rPr>
          <w:rFonts w:ascii="宋体" w:hAnsi="宋体" w:cs="宋体"/>
          <w:b/>
          <w:sz w:val="32"/>
          <w:szCs w:val="32"/>
        </w:rPr>
      </w:pPr>
      <w:r>
        <w:rPr>
          <w:rFonts w:hint="eastAsia" w:ascii="宋体" w:hAnsi="宋体" w:cs="宋体"/>
          <w:b/>
          <w:sz w:val="32"/>
          <w:szCs w:val="32"/>
        </w:rPr>
        <w:t>7-2营业执照等证明文件</w:t>
      </w:r>
    </w:p>
    <w:p w14:paraId="27F62120">
      <w:pPr>
        <w:spacing w:line="360" w:lineRule="auto"/>
        <w:rPr>
          <w:rFonts w:ascii="宋体" w:hAnsi="宋体" w:cs="宋体"/>
          <w:sz w:val="24"/>
        </w:rPr>
      </w:pPr>
    </w:p>
    <w:p w14:paraId="64CC7345">
      <w:pPr>
        <w:pStyle w:val="44"/>
      </w:pPr>
      <w:r>
        <w:rPr>
          <w:rFonts w:hint="eastAsia"/>
        </w:rPr>
        <w:t>致：</w:t>
      </w:r>
      <w:r>
        <w:rPr>
          <w:rFonts w:hint="eastAsia"/>
          <w:u w:val="single"/>
        </w:rPr>
        <w:t>                     </w:t>
      </w:r>
    </w:p>
    <w:p w14:paraId="21F8BDFA">
      <w:pPr>
        <w:pStyle w:val="44"/>
        <w:ind w:firstLine="420"/>
      </w:pPr>
      <w:r>
        <w:rPr>
          <w:rFonts w:hint="eastAsia"/>
        </w:rPr>
        <w:t>现附上由</w:t>
      </w:r>
      <w:r>
        <w:rPr>
          <w:rFonts w:hint="eastAsia"/>
          <w:u w:val="single"/>
        </w:rPr>
        <w:t>（填写“签发机关全称”）</w:t>
      </w:r>
      <w:r>
        <w:rPr>
          <w:rFonts w:hint="eastAsia"/>
        </w:rPr>
        <w:t>签发的我方统一社会信用代码</w:t>
      </w:r>
      <w:r>
        <w:rPr>
          <w:rFonts w:hint="eastAsia"/>
          <w:u w:val="single"/>
        </w:rPr>
        <w:t>（请填写法人的具体证照名称）</w:t>
      </w:r>
      <w:r>
        <w:rPr>
          <w:rFonts w:hint="eastAsia"/>
        </w:rPr>
        <w:t>复印件，该证明材料真实有效，否则我方负全部责任。</w:t>
      </w:r>
    </w:p>
    <w:p w14:paraId="6BBE5CC1">
      <w:pPr>
        <w:pStyle w:val="44"/>
      </w:pPr>
      <w:r>
        <w:rPr>
          <w:rFonts w:hint="eastAsia"/>
        </w:rPr>
        <w:t> </w:t>
      </w:r>
    </w:p>
    <w:p w14:paraId="069075D9">
      <w:pPr>
        <w:pStyle w:val="44"/>
      </w:pPr>
      <w:r>
        <w:rPr>
          <w:rFonts w:hint="eastAsia"/>
          <w:shd w:val="clear" w:color="auto" w:fill="FFFFFF"/>
        </w:rPr>
        <w:t>※</w:t>
      </w:r>
      <w:r>
        <w:rPr>
          <w:rFonts w:hint="eastAsia"/>
        </w:rPr>
        <w:t>注意：</w:t>
      </w:r>
    </w:p>
    <w:p w14:paraId="0578CC71">
      <w:pPr>
        <w:pStyle w:val="44"/>
        <w:ind w:firstLine="420"/>
      </w:pPr>
      <w:r>
        <w:rPr>
          <w:rFonts w:hint="eastAsia"/>
        </w:rPr>
        <w:t>1、供应商为企业的，提供有效的营业执照复印件；供应商为事业单位的，提供有效的事业单位法人证书复印件；供应商为社会团体的，提供有效的社会团体法人登记证书复印件；供应商为合伙企业、个体工商户的，提供有效的营业执照复印件；供应商为非企业专业服务机构的，提供有效的执业许可证等证明材料复印件；供应商为自然人的，提供有效的自然人身份证件复印件；其他供应商应按照有关法律、法规和规章规定，提供有效的相应具体证照复印件。 2、供应商提供的相应证明材料复印件均应符合：内容完整、清晰、整洁，并由供应商加盖其单位公章。  </w:t>
      </w:r>
    </w:p>
    <w:p w14:paraId="31378ADD">
      <w:pPr>
        <w:pStyle w:val="44"/>
      </w:pPr>
      <w:r>
        <w:rPr>
          <w:rFonts w:hint="eastAsia"/>
        </w:rPr>
        <w:t> </w:t>
      </w:r>
    </w:p>
    <w:p w14:paraId="7E3EA5A3">
      <w:pPr>
        <w:pStyle w:val="44"/>
      </w:pPr>
      <w:r>
        <w:rPr>
          <w:rFonts w:hint="eastAsia"/>
        </w:rPr>
        <w:t>供应商：</w:t>
      </w:r>
      <w:r>
        <w:rPr>
          <w:rFonts w:hint="eastAsia"/>
          <w:u w:val="single"/>
        </w:rPr>
        <w:t>（全称并加盖单位公章）</w:t>
      </w:r>
    </w:p>
    <w:p w14:paraId="2EA148A5">
      <w:pPr>
        <w:pStyle w:val="44"/>
      </w:pPr>
      <w:r>
        <w:rPr>
          <w:rFonts w:hint="eastAsia"/>
        </w:rPr>
        <w:t>供应商代表签字：</w:t>
      </w:r>
      <w:r>
        <w:rPr>
          <w:rFonts w:hint="eastAsia"/>
          <w:u w:val="single"/>
        </w:rPr>
        <w:t>       </w:t>
      </w:r>
    </w:p>
    <w:p w14:paraId="53F0FE60">
      <w:pPr>
        <w:pStyle w:val="44"/>
      </w:pPr>
      <w:r>
        <w:rPr>
          <w:rFonts w:hint="eastAsia"/>
        </w:rPr>
        <w:t>日期：</w:t>
      </w:r>
      <w:r>
        <w:rPr>
          <w:rFonts w:hint="eastAsia"/>
          <w:u w:val="single"/>
        </w:rPr>
        <w:t>    </w:t>
      </w:r>
      <w:r>
        <w:rPr>
          <w:rFonts w:hint="eastAsia"/>
        </w:rPr>
        <w:t>年</w:t>
      </w:r>
      <w:r>
        <w:rPr>
          <w:rFonts w:hint="eastAsia"/>
          <w:u w:val="single"/>
        </w:rPr>
        <w:t>   </w:t>
      </w:r>
      <w:r>
        <w:rPr>
          <w:rFonts w:hint="eastAsia"/>
        </w:rPr>
        <w:t>月</w:t>
      </w:r>
      <w:r>
        <w:rPr>
          <w:rFonts w:hint="eastAsia"/>
          <w:u w:val="single"/>
        </w:rPr>
        <w:t>   </w:t>
      </w:r>
      <w:r>
        <w:rPr>
          <w:rFonts w:hint="eastAsia"/>
        </w:rPr>
        <w:t>日</w:t>
      </w:r>
    </w:p>
    <w:p w14:paraId="1D9243EF">
      <w:pPr>
        <w:spacing w:line="360" w:lineRule="auto"/>
        <w:rPr>
          <w:rFonts w:ascii="宋体" w:hAnsi="宋体" w:cs="宋体"/>
          <w:sz w:val="24"/>
          <w:u w:val="single"/>
        </w:rPr>
      </w:pPr>
    </w:p>
    <w:p w14:paraId="4CA6D53B">
      <w:pPr>
        <w:pStyle w:val="163"/>
        <w:jc w:val="center"/>
        <w:rPr>
          <w:rFonts w:hAnsi="宋体" w:cs="宋体"/>
          <w:b/>
          <w:szCs w:val="28"/>
        </w:rPr>
      </w:pPr>
      <w:r>
        <w:rPr>
          <w:rFonts w:hint="eastAsia" w:hAnsi="宋体" w:cs="宋体"/>
          <w:sz w:val="24"/>
        </w:rPr>
        <w:br w:type="page"/>
      </w:r>
      <w:bookmarkStart w:id="222" w:name="_Toc1920"/>
      <w:r>
        <w:rPr>
          <w:rStyle w:val="52"/>
          <w:rFonts w:hint="eastAsia" w:ascii="Times New Roman" w:hAnsi="宋体" w:cs="宋体"/>
          <w:sz w:val="32"/>
          <w:szCs w:val="32"/>
        </w:rPr>
        <w:t>7-3财务状况</w:t>
      </w:r>
      <w:r>
        <w:rPr>
          <w:rStyle w:val="52"/>
          <w:rFonts w:hint="eastAsia" w:hAnsi="宋体" w:cs="宋体"/>
          <w:sz w:val="32"/>
          <w:szCs w:val="32"/>
        </w:rPr>
        <w:t>报告（财务报告、或资信证明）</w:t>
      </w:r>
      <w:bookmarkEnd w:id="222"/>
    </w:p>
    <w:p w14:paraId="55407D85">
      <w:pPr>
        <w:pStyle w:val="44"/>
      </w:pPr>
      <w:r>
        <w:rPr>
          <w:rFonts w:hint="eastAsia"/>
          <w:sz w:val="21"/>
          <w:szCs w:val="21"/>
        </w:rPr>
        <w:t> </w:t>
      </w:r>
    </w:p>
    <w:p w14:paraId="7EDA2988">
      <w:pPr>
        <w:pStyle w:val="44"/>
      </w:pPr>
      <w:r>
        <w:rPr>
          <w:rFonts w:hint="eastAsia"/>
        </w:rPr>
        <w:t>致：</w:t>
      </w:r>
      <w:r>
        <w:rPr>
          <w:rFonts w:hint="eastAsia"/>
          <w:u w:val="single"/>
        </w:rPr>
        <w:t>           </w:t>
      </w:r>
    </w:p>
    <w:p w14:paraId="3F1B697D">
      <w:pPr>
        <w:pStyle w:val="301"/>
        <w:spacing w:line="400" w:lineRule="exact"/>
        <w:ind w:firstLine="482"/>
        <w:rPr>
          <w:rFonts w:hint="default" w:ascii="宋体" w:hAnsi="宋体" w:cs="宋体"/>
          <w:sz w:val="24"/>
          <w:szCs w:val="24"/>
        </w:rPr>
      </w:pPr>
      <w:r>
        <w:rPr>
          <w:rFonts w:ascii="宋体" w:hAnsi="宋体" w:cs="宋体"/>
          <w:sz w:val="24"/>
          <w:szCs w:val="24"/>
        </w:rPr>
        <w:t>（ ）供应商提供财务报告的</w:t>
      </w:r>
    </w:p>
    <w:p w14:paraId="640026E0">
      <w:pPr>
        <w:pStyle w:val="301"/>
        <w:spacing w:line="400" w:lineRule="exact"/>
        <w:ind w:firstLine="482"/>
        <w:rPr>
          <w:rFonts w:hint="default" w:ascii="宋体" w:hAnsi="宋体" w:cs="宋体"/>
          <w:sz w:val="24"/>
          <w:szCs w:val="24"/>
        </w:rPr>
      </w:pPr>
      <w:r>
        <w:rPr>
          <w:rFonts w:ascii="宋体" w:hAnsi="宋体" w:cs="宋体"/>
          <w:sz w:val="24"/>
          <w:szCs w:val="24"/>
        </w:rPr>
        <w:t>□企业适用：现附上我方</w:t>
      </w:r>
      <w:r>
        <w:rPr>
          <w:rFonts w:ascii="宋体" w:hAnsi="宋体" w:cs="宋体"/>
          <w:sz w:val="24"/>
          <w:szCs w:val="24"/>
          <w:u w:val="single"/>
        </w:rPr>
        <w:t>（填写“具体的年度、或半年度、或季度”）</w:t>
      </w:r>
      <w:r>
        <w:rPr>
          <w:rFonts w:ascii="宋体" w:hAnsi="宋体" w:cs="宋体"/>
          <w:sz w:val="24"/>
          <w:szCs w:val="24"/>
        </w:rPr>
        <w:t>财务报告复印件，包括资产负债表、利润表、现金流量表、所有者权益变动表及其附注（若有）、会计师事务所营业执照和注册会计师资格证书，上述证明材料真实有效，否则我方负全部责任。</w:t>
      </w:r>
    </w:p>
    <w:p w14:paraId="6E0F984F">
      <w:pPr>
        <w:pStyle w:val="301"/>
        <w:spacing w:line="400" w:lineRule="exact"/>
        <w:ind w:firstLine="482"/>
        <w:rPr>
          <w:rFonts w:hint="default" w:ascii="宋体" w:hAnsi="宋体" w:cs="宋体"/>
          <w:sz w:val="24"/>
          <w:szCs w:val="24"/>
        </w:rPr>
      </w:pPr>
      <w:r>
        <w:rPr>
          <w:rFonts w:ascii="宋体" w:hAnsi="宋体" w:cs="宋体"/>
          <w:sz w:val="24"/>
          <w:szCs w:val="24"/>
        </w:rPr>
        <w:t>□事业单位适用：现附上我方</w:t>
      </w:r>
      <w:r>
        <w:rPr>
          <w:rFonts w:ascii="宋体" w:hAnsi="宋体" w:cs="宋体"/>
          <w:sz w:val="24"/>
          <w:szCs w:val="24"/>
          <w:u w:val="single"/>
        </w:rPr>
        <w:t>（填写“具体的年度、或半年度、或季度”）</w:t>
      </w:r>
      <w:r>
        <w:rPr>
          <w:rFonts w:ascii="宋体" w:hAnsi="宋体" w:cs="宋体"/>
          <w:sz w:val="24"/>
          <w:szCs w:val="24"/>
        </w:rPr>
        <w:t>财务报告复印件，包括资产负债表、收入支出表或收入费用表、财政补助收入支出表（若有）、会计师事务所营业执照和注册会计师资格证书，上述证明材料真实有效，否则我方负全部责任。</w:t>
      </w:r>
    </w:p>
    <w:p w14:paraId="7C9B2083">
      <w:pPr>
        <w:pStyle w:val="301"/>
        <w:spacing w:line="400" w:lineRule="exact"/>
        <w:ind w:firstLine="482"/>
        <w:rPr>
          <w:rFonts w:hint="default" w:ascii="宋体" w:hAnsi="宋体" w:cs="宋体"/>
          <w:sz w:val="24"/>
          <w:szCs w:val="24"/>
        </w:rPr>
      </w:pPr>
      <w:r>
        <w:rPr>
          <w:rFonts w:ascii="宋体" w:hAnsi="宋体" w:cs="宋体"/>
          <w:sz w:val="24"/>
          <w:szCs w:val="24"/>
        </w:rPr>
        <w:t>□社会团体、民办非企单位适用：现附上我方</w:t>
      </w:r>
      <w:r>
        <w:rPr>
          <w:rFonts w:ascii="宋体" w:hAnsi="宋体" w:cs="宋体"/>
          <w:sz w:val="24"/>
          <w:szCs w:val="24"/>
          <w:u w:val="single"/>
        </w:rPr>
        <w:t>（填写“具体的年度、或半年度、或季度”）</w:t>
      </w:r>
      <w:r>
        <w:rPr>
          <w:rFonts w:ascii="宋体" w:hAnsi="宋体" w:cs="宋体"/>
          <w:sz w:val="24"/>
          <w:szCs w:val="24"/>
        </w:rPr>
        <w:t>财务报告复印件，包括资产负债表、业务活动表、现金流量表、会计师事务所营业执照和注册会计师资格证书，上述证明材料真实有效，否则我方负全部责任。</w:t>
      </w:r>
    </w:p>
    <w:p w14:paraId="7ABDA773">
      <w:pPr>
        <w:pStyle w:val="301"/>
        <w:spacing w:line="400" w:lineRule="exact"/>
        <w:ind w:firstLine="482"/>
        <w:rPr>
          <w:rFonts w:hint="default" w:ascii="宋体" w:hAnsi="宋体" w:cs="宋体"/>
          <w:sz w:val="24"/>
          <w:szCs w:val="24"/>
        </w:rPr>
      </w:pPr>
      <w:r>
        <w:rPr>
          <w:rFonts w:ascii="宋体" w:hAnsi="宋体" w:cs="宋体"/>
          <w:sz w:val="24"/>
          <w:szCs w:val="24"/>
        </w:rPr>
        <w:t>（ ）供应商提供资信证明的</w:t>
      </w:r>
    </w:p>
    <w:p w14:paraId="4955E41A">
      <w:pPr>
        <w:pStyle w:val="301"/>
        <w:spacing w:line="400" w:lineRule="exact"/>
        <w:ind w:firstLine="482"/>
        <w:rPr>
          <w:rFonts w:hint="default" w:ascii="宋体" w:hAnsi="宋体" w:cs="宋体"/>
          <w:sz w:val="24"/>
          <w:szCs w:val="24"/>
        </w:rPr>
      </w:pPr>
      <w:r>
        <w:rPr>
          <w:rFonts w:ascii="宋体" w:hAnsi="宋体" w:cs="宋体"/>
          <w:sz w:val="24"/>
          <w:szCs w:val="24"/>
        </w:rPr>
        <w:t>□非自然人适用（包括企业、事业单位、社会团体和其他组织）：现附上我方银行：</w:t>
      </w:r>
      <w:r>
        <w:rPr>
          <w:rFonts w:ascii="宋体" w:hAnsi="宋体" w:cs="宋体"/>
          <w:sz w:val="24"/>
          <w:szCs w:val="24"/>
          <w:u w:val="single"/>
        </w:rPr>
        <w:t>（填写“开户银行全称”）</w:t>
      </w:r>
      <w:r>
        <w:rPr>
          <w:rFonts w:ascii="宋体" w:hAnsi="宋体" w:cs="宋体"/>
          <w:sz w:val="24"/>
          <w:szCs w:val="24"/>
        </w:rPr>
        <w:t>出具的资信证明复印件，上述证明材料真实有效，否则我方负全部责任。</w:t>
      </w:r>
    </w:p>
    <w:p w14:paraId="16CDB837">
      <w:pPr>
        <w:pStyle w:val="301"/>
        <w:spacing w:line="400" w:lineRule="exact"/>
        <w:ind w:firstLine="482"/>
        <w:rPr>
          <w:rFonts w:hint="default" w:ascii="宋体" w:hAnsi="宋体" w:cs="宋体"/>
          <w:szCs w:val="24"/>
        </w:rPr>
      </w:pPr>
      <w:r>
        <w:rPr>
          <w:rFonts w:ascii="宋体" w:hAnsi="宋体" w:cs="宋体"/>
          <w:sz w:val="24"/>
          <w:szCs w:val="24"/>
        </w:rPr>
        <w:t>□自然人适用（包括企业、事业单位、社会团体和其他组织）：现附上我方银行：</w:t>
      </w:r>
      <w:r>
        <w:rPr>
          <w:rFonts w:ascii="宋体" w:hAnsi="宋体" w:cs="宋体"/>
          <w:sz w:val="24"/>
          <w:szCs w:val="24"/>
          <w:u w:val="single"/>
        </w:rPr>
        <w:t>（填写自然人的“个人账户的开户银行全称”）</w:t>
      </w:r>
      <w:r>
        <w:rPr>
          <w:rFonts w:ascii="宋体" w:hAnsi="宋体" w:cs="宋体"/>
          <w:sz w:val="24"/>
          <w:szCs w:val="24"/>
        </w:rPr>
        <w:t>出具的资信证明复印件，上述证明材料真实有效，否则我方负全部责任。</w:t>
      </w:r>
    </w:p>
    <w:p w14:paraId="0587530F">
      <w:pPr>
        <w:pStyle w:val="44"/>
      </w:pPr>
      <w:r>
        <w:rPr>
          <w:rFonts w:hint="eastAsia"/>
        </w:rPr>
        <w:t> </w:t>
      </w:r>
    </w:p>
    <w:p w14:paraId="2587F565">
      <w:pPr>
        <w:pStyle w:val="44"/>
      </w:pPr>
      <w:r>
        <w:rPr>
          <w:rFonts w:hint="eastAsia"/>
          <w:shd w:val="clear" w:color="auto" w:fill="FFFFFF"/>
        </w:rPr>
        <w:t>※</w:t>
      </w:r>
      <w:r>
        <w:rPr>
          <w:rFonts w:hint="eastAsia"/>
        </w:rPr>
        <w:t>注意：</w:t>
      </w:r>
    </w:p>
    <w:p w14:paraId="177178BA">
      <w:pPr>
        <w:pStyle w:val="301"/>
        <w:spacing w:line="400" w:lineRule="exact"/>
        <w:ind w:firstLine="480"/>
        <w:rPr>
          <w:rFonts w:hint="default" w:ascii="宋体" w:hAnsi="宋体" w:cs="宋体"/>
          <w:sz w:val="24"/>
          <w:szCs w:val="24"/>
        </w:rPr>
      </w:pPr>
      <w:r>
        <w:rPr>
          <w:rFonts w:ascii="宋体" w:hAnsi="宋体" w:cs="宋体"/>
          <w:sz w:val="24"/>
          <w:szCs w:val="24"/>
        </w:rPr>
        <w:t>1、请供应商按照自身实际情况编制填写，在其中相应的（）中打“√”并选择相应的“□”（若有）后，再按照本格式的要求提供相应证明材料的复印件即可。</w:t>
      </w:r>
    </w:p>
    <w:p w14:paraId="16C1A0B1">
      <w:pPr>
        <w:pStyle w:val="301"/>
        <w:spacing w:line="400" w:lineRule="exact"/>
        <w:ind w:firstLine="480"/>
        <w:rPr>
          <w:rFonts w:hint="default" w:ascii="宋体" w:hAnsi="宋体" w:cs="宋体"/>
          <w:sz w:val="24"/>
          <w:szCs w:val="24"/>
        </w:rPr>
      </w:pPr>
      <w:r>
        <w:rPr>
          <w:rFonts w:ascii="宋体" w:hAnsi="宋体" w:cs="宋体"/>
          <w:sz w:val="24"/>
          <w:szCs w:val="24"/>
        </w:rPr>
        <w:t>2、供应商提供的财务报告复印件（成立年限按照首次响应文件递交截止时间推算）应符合下列规定：</w:t>
      </w:r>
    </w:p>
    <w:p w14:paraId="086DE139">
      <w:pPr>
        <w:pStyle w:val="301"/>
        <w:spacing w:line="400" w:lineRule="exact"/>
        <w:ind w:firstLine="480"/>
        <w:rPr>
          <w:rFonts w:hint="default" w:ascii="宋体" w:hAnsi="宋体" w:cs="宋体"/>
          <w:sz w:val="24"/>
          <w:szCs w:val="24"/>
        </w:rPr>
      </w:pPr>
      <w:r>
        <w:rPr>
          <w:rFonts w:ascii="宋体" w:hAnsi="宋体" w:cs="宋体"/>
          <w:sz w:val="24"/>
          <w:szCs w:val="24"/>
        </w:rPr>
        <w:t>2.1成立年限满1年及以上的供应商，提供经审计的2024年度的年度财务报告。</w:t>
      </w:r>
    </w:p>
    <w:p w14:paraId="5E73ABC4">
      <w:pPr>
        <w:pStyle w:val="301"/>
        <w:spacing w:line="400" w:lineRule="exact"/>
        <w:ind w:firstLine="480"/>
        <w:rPr>
          <w:rFonts w:hint="default" w:ascii="宋体" w:hAnsi="宋体" w:cs="宋体"/>
          <w:sz w:val="24"/>
          <w:szCs w:val="24"/>
        </w:rPr>
      </w:pPr>
      <w:r>
        <w:rPr>
          <w:rFonts w:ascii="宋体" w:hAnsi="宋体" w:cs="宋体"/>
          <w:sz w:val="24"/>
          <w:szCs w:val="24"/>
        </w:rPr>
        <w:t>2.2成立年限满半年但不足1年的供应商，提供该半年度中任一季度的季度财务报告或该半年度的半年度财务报告。</w:t>
      </w:r>
    </w:p>
    <w:p w14:paraId="59D5E81E">
      <w:pPr>
        <w:pStyle w:val="301"/>
        <w:spacing w:line="400" w:lineRule="exact"/>
        <w:rPr>
          <w:rFonts w:hint="default" w:ascii="宋体" w:hAnsi="宋体" w:cs="宋体"/>
          <w:sz w:val="24"/>
          <w:szCs w:val="24"/>
        </w:rPr>
      </w:pPr>
      <w:r>
        <w:rPr>
          <w:rFonts w:ascii="宋体" w:hAnsi="宋体" w:cs="宋体"/>
          <w:sz w:val="24"/>
          <w:szCs w:val="24"/>
        </w:rPr>
        <w:t>※无法按照本格式注意事项第2.1、2.2条规定提供财务报告复印件的供应商，应按照本格式注意事项的要求选择提供资信证明复印件。</w:t>
      </w:r>
    </w:p>
    <w:p w14:paraId="2C2383B3">
      <w:pPr>
        <w:pStyle w:val="301"/>
        <w:spacing w:line="400" w:lineRule="exact"/>
        <w:ind w:firstLine="480"/>
        <w:rPr>
          <w:rFonts w:hint="default" w:ascii="宋体" w:hAnsi="宋体" w:cs="宋体"/>
          <w:sz w:val="24"/>
          <w:szCs w:val="24"/>
        </w:rPr>
      </w:pPr>
      <w:r>
        <w:rPr>
          <w:rFonts w:ascii="宋体" w:hAnsi="宋体" w:cs="宋体"/>
          <w:sz w:val="24"/>
          <w:szCs w:val="24"/>
        </w:rPr>
        <w:t>3、对于接受联合体形式的磋商且供应商是联合体的，则联合体各成员都应当提交本资格证明文件。</w:t>
      </w:r>
    </w:p>
    <w:p w14:paraId="26295B77">
      <w:pPr>
        <w:pStyle w:val="44"/>
        <w:ind w:firstLine="420"/>
      </w:pPr>
    </w:p>
    <w:p w14:paraId="04F76241">
      <w:pPr>
        <w:pStyle w:val="44"/>
      </w:pPr>
      <w:r>
        <w:rPr>
          <w:rFonts w:hint="eastAsia"/>
        </w:rPr>
        <w:t>供应商：</w:t>
      </w:r>
      <w:r>
        <w:rPr>
          <w:rFonts w:hint="eastAsia"/>
          <w:u w:val="single"/>
        </w:rPr>
        <w:t>（全称并加盖单位公章）</w:t>
      </w:r>
    </w:p>
    <w:p w14:paraId="62A20BF0">
      <w:pPr>
        <w:pStyle w:val="163"/>
        <w:spacing w:line="360" w:lineRule="auto"/>
        <w:rPr>
          <w:rFonts w:hAnsi="宋体" w:cs="宋体"/>
          <w:sz w:val="24"/>
          <w:szCs w:val="24"/>
          <w:u w:val="single"/>
        </w:rPr>
      </w:pPr>
      <w:bookmarkStart w:id="223" w:name="_Toc3538"/>
      <w:r>
        <w:rPr>
          <w:rFonts w:hint="eastAsia" w:hAnsi="宋体" w:cs="宋体"/>
          <w:sz w:val="24"/>
          <w:szCs w:val="24"/>
        </w:rPr>
        <w:t>供应商代表签字：</w:t>
      </w:r>
      <w:r>
        <w:rPr>
          <w:rFonts w:hint="eastAsia" w:hAnsi="宋体" w:cs="宋体"/>
          <w:sz w:val="24"/>
          <w:szCs w:val="24"/>
          <w:u w:val="single"/>
        </w:rPr>
        <w:t>       </w:t>
      </w:r>
      <w:bookmarkEnd w:id="223"/>
    </w:p>
    <w:p w14:paraId="3553ADAD">
      <w:pPr>
        <w:pStyle w:val="163"/>
        <w:spacing w:line="360" w:lineRule="auto"/>
        <w:rPr>
          <w:rFonts w:hAnsi="宋体" w:cs="宋体"/>
          <w:sz w:val="24"/>
          <w:szCs w:val="24"/>
        </w:rPr>
      </w:pPr>
      <w:bookmarkStart w:id="224" w:name="_Toc18539"/>
      <w:r>
        <w:rPr>
          <w:rFonts w:hint="eastAsia" w:hAnsi="宋体" w:cs="宋体"/>
          <w:sz w:val="24"/>
          <w:szCs w:val="24"/>
        </w:rPr>
        <w:t>日期：</w:t>
      </w:r>
      <w:r>
        <w:rPr>
          <w:rFonts w:hint="eastAsia" w:hAnsi="宋体" w:cs="宋体"/>
          <w:sz w:val="24"/>
          <w:szCs w:val="24"/>
          <w:u w:val="single"/>
        </w:rPr>
        <w:t>    </w:t>
      </w:r>
      <w:r>
        <w:rPr>
          <w:rFonts w:hint="eastAsia" w:hAnsi="宋体" w:cs="宋体"/>
          <w:sz w:val="24"/>
          <w:szCs w:val="24"/>
        </w:rPr>
        <w:t>年</w:t>
      </w:r>
      <w:r>
        <w:rPr>
          <w:rFonts w:hint="eastAsia" w:hAnsi="宋体" w:cs="宋体"/>
          <w:sz w:val="24"/>
          <w:szCs w:val="24"/>
          <w:u w:val="single"/>
        </w:rPr>
        <w:t>   </w:t>
      </w:r>
      <w:r>
        <w:rPr>
          <w:rFonts w:hint="eastAsia" w:hAnsi="宋体" w:cs="宋体"/>
          <w:sz w:val="24"/>
          <w:szCs w:val="24"/>
        </w:rPr>
        <w:t>月</w:t>
      </w:r>
      <w:r>
        <w:rPr>
          <w:rFonts w:hint="eastAsia" w:hAnsi="宋体" w:cs="宋体"/>
          <w:sz w:val="24"/>
          <w:szCs w:val="24"/>
          <w:u w:val="single"/>
        </w:rPr>
        <w:t>   </w:t>
      </w:r>
      <w:r>
        <w:rPr>
          <w:rFonts w:hint="eastAsia" w:hAnsi="宋体" w:cs="宋体"/>
          <w:sz w:val="24"/>
          <w:szCs w:val="24"/>
        </w:rPr>
        <w:t>日</w:t>
      </w:r>
      <w:bookmarkEnd w:id="224"/>
    </w:p>
    <w:p w14:paraId="6121FC35">
      <w:pPr>
        <w:pStyle w:val="163"/>
        <w:spacing w:line="360" w:lineRule="auto"/>
        <w:rPr>
          <w:rFonts w:hAnsi="宋体" w:cs="宋体"/>
          <w:sz w:val="24"/>
          <w:szCs w:val="24"/>
        </w:rPr>
      </w:pPr>
    </w:p>
    <w:p w14:paraId="6CD60EA1">
      <w:pPr>
        <w:pStyle w:val="44"/>
        <w:jc w:val="center"/>
        <w:rPr>
          <w:sz w:val="32"/>
          <w:szCs w:val="32"/>
        </w:rPr>
      </w:pPr>
      <w:r>
        <w:rPr>
          <w:rStyle w:val="52"/>
          <w:rFonts w:hint="eastAsia"/>
          <w:sz w:val="32"/>
          <w:szCs w:val="32"/>
        </w:rPr>
        <w:br w:type="page"/>
      </w:r>
      <w:r>
        <w:rPr>
          <w:rStyle w:val="52"/>
          <w:rFonts w:hint="eastAsia"/>
          <w:sz w:val="32"/>
          <w:szCs w:val="32"/>
        </w:rPr>
        <w:t>7-4依法缴纳税收证明材料</w:t>
      </w:r>
    </w:p>
    <w:p w14:paraId="743504D8">
      <w:pPr>
        <w:pStyle w:val="44"/>
      </w:pPr>
      <w:r>
        <w:rPr>
          <w:rFonts w:hint="eastAsia"/>
          <w:sz w:val="21"/>
          <w:szCs w:val="21"/>
        </w:rPr>
        <w:t> </w:t>
      </w:r>
    </w:p>
    <w:p w14:paraId="38E946B7">
      <w:pPr>
        <w:pStyle w:val="44"/>
      </w:pPr>
      <w:r>
        <w:rPr>
          <w:rFonts w:hint="eastAsia"/>
        </w:rPr>
        <w:t>致：</w:t>
      </w:r>
      <w:r>
        <w:rPr>
          <w:rFonts w:hint="eastAsia"/>
          <w:u w:val="single"/>
        </w:rPr>
        <w:t>                     </w:t>
      </w:r>
    </w:p>
    <w:p w14:paraId="2F60E6F9">
      <w:pPr>
        <w:pStyle w:val="44"/>
        <w:ind w:firstLine="420"/>
      </w:pPr>
      <w:r>
        <w:rPr>
          <w:rFonts w:hint="eastAsia"/>
        </w:rPr>
        <w:t>1、依法缴纳税收的供应商</w:t>
      </w:r>
    </w:p>
    <w:p w14:paraId="35287985">
      <w:pPr>
        <w:pStyle w:val="44"/>
        <w:ind w:firstLine="420"/>
      </w:pPr>
      <w:r>
        <w:rPr>
          <w:rFonts w:hint="eastAsia"/>
        </w:rPr>
        <w:t>现附上自</w:t>
      </w:r>
      <w:r>
        <w:rPr>
          <w:rFonts w:hint="eastAsia"/>
          <w:u w:val="single"/>
        </w:rPr>
        <w:t>    </w:t>
      </w:r>
      <w:r>
        <w:rPr>
          <w:rFonts w:hint="eastAsia"/>
        </w:rPr>
        <w:t>年</w:t>
      </w:r>
      <w:r>
        <w:rPr>
          <w:rFonts w:hint="eastAsia"/>
          <w:u w:val="single"/>
        </w:rPr>
        <w:t>   </w:t>
      </w:r>
      <w:r>
        <w:rPr>
          <w:rFonts w:hint="eastAsia"/>
        </w:rPr>
        <w:t>月</w:t>
      </w:r>
      <w:r>
        <w:rPr>
          <w:rFonts w:hint="eastAsia"/>
          <w:u w:val="single"/>
        </w:rPr>
        <w:t>   </w:t>
      </w:r>
      <w:r>
        <w:rPr>
          <w:rFonts w:hint="eastAsia"/>
        </w:rPr>
        <w:t>日至</w:t>
      </w:r>
      <w:r>
        <w:rPr>
          <w:rFonts w:hint="eastAsia"/>
          <w:u w:val="single"/>
        </w:rPr>
        <w:t>    </w:t>
      </w:r>
      <w:r>
        <w:rPr>
          <w:rFonts w:hint="eastAsia"/>
        </w:rPr>
        <w:t>年</w:t>
      </w:r>
      <w:r>
        <w:rPr>
          <w:rFonts w:hint="eastAsia"/>
          <w:u w:val="single"/>
        </w:rPr>
        <w:t>   </w:t>
      </w:r>
      <w:r>
        <w:rPr>
          <w:rFonts w:hint="eastAsia"/>
        </w:rPr>
        <w:t>月</w:t>
      </w:r>
      <w:r>
        <w:rPr>
          <w:rFonts w:hint="eastAsia"/>
          <w:u w:val="single"/>
        </w:rPr>
        <w:t>   </w:t>
      </w:r>
      <w:r>
        <w:rPr>
          <w:rFonts w:hint="eastAsia"/>
        </w:rPr>
        <w:t>日期间我方缴纳的</w:t>
      </w:r>
      <w:r>
        <w:rPr>
          <w:rFonts w:hint="eastAsia"/>
          <w:u w:val="single"/>
        </w:rPr>
        <w:t>（按照供应商实际缴纳的税种名称填写，如：增值税、所得税等）</w:t>
      </w:r>
      <w:r>
        <w:rPr>
          <w:rFonts w:hint="eastAsia"/>
        </w:rPr>
        <w:t>税收凭据复印件，上述证明材料真实有效，否则我方负全部责任。</w:t>
      </w:r>
    </w:p>
    <w:p w14:paraId="2E0B1E2A">
      <w:pPr>
        <w:pStyle w:val="44"/>
        <w:ind w:firstLine="420"/>
      </w:pPr>
      <w:r>
        <w:rPr>
          <w:rFonts w:hint="eastAsia"/>
        </w:rPr>
        <w:t>2、依法免税的供应商</w:t>
      </w:r>
    </w:p>
    <w:p w14:paraId="379E69A2">
      <w:pPr>
        <w:pStyle w:val="44"/>
        <w:ind w:firstLine="420"/>
      </w:pPr>
      <w:r>
        <w:rPr>
          <w:rFonts w:hint="eastAsia"/>
        </w:rPr>
        <w:t>（ ）现附上我方依法免税证明材料复印件，上述证明材料真实有效，否则我方负全部责任。</w:t>
      </w:r>
    </w:p>
    <w:p w14:paraId="74E3EB43">
      <w:pPr>
        <w:pStyle w:val="44"/>
      </w:pPr>
      <w:r>
        <w:rPr>
          <w:rFonts w:hint="eastAsia"/>
          <w:shd w:val="clear" w:color="auto" w:fill="FFFFFF"/>
        </w:rPr>
        <w:t>※</w:t>
      </w:r>
      <w:r>
        <w:rPr>
          <w:rFonts w:hint="eastAsia"/>
        </w:rPr>
        <w:t>注意：</w:t>
      </w:r>
    </w:p>
    <w:p w14:paraId="41F9AA4A">
      <w:pPr>
        <w:pStyle w:val="44"/>
        <w:ind w:firstLine="420"/>
      </w:pPr>
      <w:r>
        <w:rPr>
          <w:rFonts w:hint="eastAsia"/>
        </w:rPr>
        <w:t>1、供应商提供的税收凭据复印件应符合下列规定：</w:t>
      </w:r>
    </w:p>
    <w:p w14:paraId="767652DE">
      <w:pPr>
        <w:pStyle w:val="44"/>
        <w:ind w:firstLine="420"/>
      </w:pPr>
      <w:r>
        <w:rPr>
          <w:rFonts w:hint="eastAsia"/>
        </w:rPr>
        <w:t xml:space="preserve"> 1.1磋商截止时间前（不含磋商截止时间的当月）已依法缴纳税收的供应商，提供磋商截止时间前六个月（不含磋商截止时间的当月）中任一月份的税收凭据复印件。</w:t>
      </w:r>
    </w:p>
    <w:p w14:paraId="1E8C2840">
      <w:pPr>
        <w:pStyle w:val="44"/>
        <w:ind w:firstLine="420"/>
      </w:pPr>
      <w:r>
        <w:rPr>
          <w:rFonts w:hint="eastAsia"/>
        </w:rPr>
        <w:t xml:space="preserve"> 1.2磋商截止时间的当月成立且已依法缴纳税收的供应商，提供磋商截止时间当月的税收凭据复印件。 </w:t>
      </w:r>
    </w:p>
    <w:p w14:paraId="5A0ABAB0">
      <w:pPr>
        <w:pStyle w:val="44"/>
        <w:ind w:firstLine="420"/>
      </w:pPr>
      <w:r>
        <w:rPr>
          <w:rFonts w:hint="eastAsia"/>
        </w:rPr>
        <w:t xml:space="preserve">1.3磋商截止时间的当月成立但因税务机关原因导致其尚未依法缴纳税收的供应商，提供依法缴纳税收承诺书原件（格式自拟），该承诺书视同税收凭据。 </w:t>
      </w:r>
    </w:p>
    <w:p w14:paraId="69CA07BC">
      <w:pPr>
        <w:pStyle w:val="44"/>
        <w:ind w:firstLine="420"/>
      </w:pPr>
      <w:r>
        <w:rPr>
          <w:rFonts w:hint="eastAsia"/>
        </w:rPr>
        <w:t>2、</w:t>
      </w:r>
      <w:r>
        <w:rPr>
          <w:rFonts w:hint="eastAsia"/>
          <w:b/>
          <w:bCs/>
        </w:rPr>
        <w:t>“依法缴纳税收证明材料”</w:t>
      </w:r>
      <w:r>
        <w:rPr>
          <w:rFonts w:hint="eastAsia"/>
        </w:rPr>
        <w:t>有欠缴记录的，视为</w:t>
      </w:r>
      <w:r>
        <w:rPr>
          <w:rFonts w:hint="eastAsia"/>
          <w:b/>
          <w:bCs/>
        </w:rPr>
        <w:t>未依法缴纳税收</w:t>
      </w:r>
      <w:r>
        <w:rPr>
          <w:rFonts w:hint="eastAsia"/>
        </w:rPr>
        <w:t xml:space="preserve">。 </w:t>
      </w:r>
    </w:p>
    <w:p w14:paraId="76BA6D4E">
      <w:pPr>
        <w:pStyle w:val="44"/>
        <w:ind w:firstLine="420"/>
      </w:pPr>
      <w:r>
        <w:rPr>
          <w:rFonts w:hint="eastAsia"/>
        </w:rPr>
        <w:t xml:space="preserve">3、供应商提供的相应证明材料复印件均应符合：内容完整、清晰、整洁，并由供应商加盖其单位公章。 </w:t>
      </w:r>
    </w:p>
    <w:p w14:paraId="32E86226">
      <w:pPr>
        <w:pStyle w:val="44"/>
        <w:numPr>
          <w:ilvl w:val="0"/>
          <w:numId w:val="23"/>
        </w:numPr>
      </w:pPr>
      <w:r>
        <w:rPr>
          <w:rFonts w:hint="eastAsia"/>
        </w:rPr>
        <w:t>  </w:t>
      </w:r>
    </w:p>
    <w:p w14:paraId="27DF4C7A">
      <w:pPr>
        <w:pStyle w:val="44"/>
      </w:pPr>
      <w:r>
        <w:rPr>
          <w:rFonts w:hint="eastAsia"/>
        </w:rPr>
        <w:t>供应商：</w:t>
      </w:r>
      <w:r>
        <w:rPr>
          <w:rFonts w:hint="eastAsia"/>
          <w:u w:val="single"/>
        </w:rPr>
        <w:t>（全称并加盖单位公章）</w:t>
      </w:r>
    </w:p>
    <w:p w14:paraId="5A694AFA">
      <w:pPr>
        <w:pStyle w:val="44"/>
      </w:pPr>
      <w:r>
        <w:rPr>
          <w:rFonts w:hint="eastAsia"/>
        </w:rPr>
        <w:t>供应商代表签字：</w:t>
      </w:r>
      <w:r>
        <w:rPr>
          <w:rFonts w:hint="eastAsia"/>
          <w:u w:val="single"/>
        </w:rPr>
        <w:t>       </w:t>
      </w:r>
    </w:p>
    <w:p w14:paraId="6B0E6E32">
      <w:pPr>
        <w:pStyle w:val="44"/>
      </w:pPr>
      <w:r>
        <w:rPr>
          <w:rFonts w:hint="eastAsia"/>
        </w:rPr>
        <w:t>日期：</w:t>
      </w:r>
      <w:r>
        <w:rPr>
          <w:rFonts w:hint="eastAsia"/>
          <w:u w:val="single"/>
        </w:rPr>
        <w:t>    </w:t>
      </w:r>
      <w:r>
        <w:rPr>
          <w:rFonts w:hint="eastAsia"/>
        </w:rPr>
        <w:t>年</w:t>
      </w:r>
      <w:r>
        <w:rPr>
          <w:rFonts w:hint="eastAsia"/>
          <w:u w:val="single"/>
        </w:rPr>
        <w:t>   </w:t>
      </w:r>
      <w:r>
        <w:rPr>
          <w:rFonts w:hint="eastAsia"/>
        </w:rPr>
        <w:t>月</w:t>
      </w:r>
      <w:r>
        <w:rPr>
          <w:rFonts w:hint="eastAsia"/>
          <w:u w:val="single"/>
        </w:rPr>
        <w:t>   </w:t>
      </w:r>
      <w:r>
        <w:rPr>
          <w:rFonts w:hint="eastAsia"/>
        </w:rPr>
        <w:t>日</w:t>
      </w:r>
    </w:p>
    <w:p w14:paraId="0C159A78">
      <w:pPr>
        <w:pStyle w:val="44"/>
        <w:jc w:val="center"/>
        <w:rPr>
          <w:sz w:val="21"/>
          <w:szCs w:val="21"/>
        </w:rPr>
      </w:pPr>
    </w:p>
    <w:p w14:paraId="2F05238F">
      <w:pPr>
        <w:pStyle w:val="44"/>
        <w:jc w:val="center"/>
        <w:rPr>
          <w:sz w:val="21"/>
          <w:szCs w:val="21"/>
        </w:rPr>
      </w:pPr>
    </w:p>
    <w:p w14:paraId="1A2A625E">
      <w:pPr>
        <w:pStyle w:val="44"/>
        <w:jc w:val="center"/>
        <w:rPr>
          <w:sz w:val="21"/>
          <w:szCs w:val="21"/>
        </w:rPr>
      </w:pPr>
      <w:r>
        <w:rPr>
          <w:rFonts w:hint="eastAsia"/>
          <w:sz w:val="21"/>
          <w:szCs w:val="21"/>
        </w:rPr>
        <w:br w:type="page"/>
      </w:r>
    </w:p>
    <w:p w14:paraId="03000DA6">
      <w:pPr>
        <w:pStyle w:val="44"/>
        <w:jc w:val="center"/>
        <w:rPr>
          <w:sz w:val="32"/>
          <w:szCs w:val="32"/>
        </w:rPr>
      </w:pPr>
      <w:r>
        <w:rPr>
          <w:rStyle w:val="52"/>
          <w:rFonts w:hint="eastAsia"/>
          <w:sz w:val="32"/>
          <w:szCs w:val="32"/>
        </w:rPr>
        <w:t>7-5依法缴纳社会保障资金证明材料</w:t>
      </w:r>
    </w:p>
    <w:p w14:paraId="5E3674EB">
      <w:pPr>
        <w:pStyle w:val="44"/>
      </w:pPr>
      <w:r>
        <w:rPr>
          <w:rFonts w:hint="eastAsia"/>
          <w:sz w:val="21"/>
          <w:szCs w:val="21"/>
        </w:rPr>
        <w:t> </w:t>
      </w:r>
    </w:p>
    <w:p w14:paraId="51CC56A2">
      <w:pPr>
        <w:pStyle w:val="44"/>
      </w:pPr>
      <w:r>
        <w:rPr>
          <w:rFonts w:hint="eastAsia"/>
        </w:rPr>
        <w:t>致：</w:t>
      </w:r>
      <w:r>
        <w:rPr>
          <w:rFonts w:hint="eastAsia"/>
          <w:u w:val="single"/>
        </w:rPr>
        <w:t>                     </w:t>
      </w:r>
    </w:p>
    <w:p w14:paraId="768E4497">
      <w:pPr>
        <w:pStyle w:val="44"/>
        <w:ind w:firstLine="420"/>
      </w:pPr>
      <w:r>
        <w:rPr>
          <w:rFonts w:hint="eastAsia"/>
        </w:rPr>
        <w:t>1、依法缴纳社会保障资金的供应商</w:t>
      </w:r>
    </w:p>
    <w:p w14:paraId="3A49658D">
      <w:pPr>
        <w:pStyle w:val="44"/>
        <w:ind w:firstLine="420"/>
      </w:pPr>
      <w:r>
        <w:rPr>
          <w:rFonts w:hint="eastAsia"/>
        </w:rPr>
        <w:t>现附上自</w:t>
      </w:r>
      <w:r>
        <w:rPr>
          <w:rFonts w:hint="eastAsia"/>
          <w:u w:val="single"/>
        </w:rPr>
        <w:t>    </w:t>
      </w:r>
      <w:r>
        <w:rPr>
          <w:rFonts w:hint="eastAsia"/>
        </w:rPr>
        <w:t>年</w:t>
      </w:r>
      <w:r>
        <w:rPr>
          <w:rFonts w:hint="eastAsia"/>
          <w:u w:val="single"/>
        </w:rPr>
        <w:t>   </w:t>
      </w:r>
      <w:r>
        <w:rPr>
          <w:rFonts w:hint="eastAsia"/>
        </w:rPr>
        <w:t>月</w:t>
      </w:r>
      <w:r>
        <w:rPr>
          <w:rFonts w:hint="eastAsia"/>
          <w:u w:val="single"/>
        </w:rPr>
        <w:t>   </w:t>
      </w:r>
      <w:r>
        <w:rPr>
          <w:rFonts w:hint="eastAsia"/>
        </w:rPr>
        <w:t>日至</w:t>
      </w:r>
      <w:r>
        <w:rPr>
          <w:rFonts w:hint="eastAsia"/>
          <w:u w:val="single"/>
        </w:rPr>
        <w:t>    </w:t>
      </w:r>
      <w:r>
        <w:rPr>
          <w:rFonts w:hint="eastAsia"/>
        </w:rPr>
        <w:t>年</w:t>
      </w:r>
      <w:r>
        <w:rPr>
          <w:rFonts w:hint="eastAsia"/>
          <w:u w:val="single"/>
        </w:rPr>
        <w:t>   </w:t>
      </w:r>
      <w:r>
        <w:rPr>
          <w:rFonts w:hint="eastAsia"/>
        </w:rPr>
        <w:t>月</w:t>
      </w:r>
      <w:r>
        <w:rPr>
          <w:rFonts w:hint="eastAsia"/>
          <w:u w:val="single"/>
        </w:rPr>
        <w:t>   </w:t>
      </w:r>
      <w:r>
        <w:rPr>
          <w:rFonts w:hint="eastAsia"/>
        </w:rPr>
        <w:t>日我方缴纳的社会保险凭据（限：税务机关/社会保障资金管理机关的专用收据或社会保险缴纳清单，或社会保险的银行缴款收讫凭证）复印件，上述证明材料真实有效，否则我方负全部责任。</w:t>
      </w:r>
    </w:p>
    <w:p w14:paraId="5F777497">
      <w:pPr>
        <w:pStyle w:val="44"/>
        <w:ind w:firstLine="420"/>
      </w:pPr>
      <w:r>
        <w:rPr>
          <w:rFonts w:hint="eastAsia"/>
        </w:rPr>
        <w:t>2、依法不需要缴纳社会保障资金的供应商</w:t>
      </w:r>
    </w:p>
    <w:p w14:paraId="7A823C09">
      <w:pPr>
        <w:pStyle w:val="44"/>
        <w:ind w:firstLine="420"/>
      </w:pPr>
      <w:r>
        <w:rPr>
          <w:rFonts w:hint="eastAsia"/>
        </w:rPr>
        <w:t>现附上我方依法不需要缴纳社会保障资金证明材料复印件，上述证明材料真实有效，否则我方负全部责任。</w:t>
      </w:r>
    </w:p>
    <w:p w14:paraId="462761C2">
      <w:pPr>
        <w:pStyle w:val="44"/>
      </w:pPr>
      <w:r>
        <w:rPr>
          <w:rFonts w:hint="eastAsia"/>
          <w:shd w:val="clear" w:color="auto" w:fill="FFFFFF"/>
        </w:rPr>
        <w:t>※</w:t>
      </w:r>
      <w:r>
        <w:rPr>
          <w:rFonts w:hint="eastAsia"/>
        </w:rPr>
        <w:t>注意：</w:t>
      </w:r>
    </w:p>
    <w:p w14:paraId="3DC6B3D8">
      <w:pPr>
        <w:pStyle w:val="44"/>
        <w:ind w:firstLine="480" w:firstLineChars="200"/>
      </w:pPr>
      <w:r>
        <w:rPr>
          <w:rFonts w:hint="eastAsia"/>
        </w:rPr>
        <w:t>1、供应商提供的社会保险凭据复印件应符合下列规定： </w:t>
      </w:r>
    </w:p>
    <w:p w14:paraId="05FFFE40">
      <w:pPr>
        <w:pStyle w:val="44"/>
        <w:ind w:firstLine="480" w:firstLineChars="200"/>
      </w:pPr>
      <w:r>
        <w:rPr>
          <w:rFonts w:hint="eastAsia"/>
        </w:rPr>
        <w:t>1.1磋商截止时间前（不含磋商截止时间的当月）已依法缴纳社会保障资金的供应商，提供磋商截止时间前六个月（不含磋商截止时间的当月）中任一月份的社会保险凭据复印件。 </w:t>
      </w:r>
    </w:p>
    <w:p w14:paraId="165CBF0F">
      <w:pPr>
        <w:pStyle w:val="44"/>
        <w:ind w:firstLine="480" w:firstLineChars="200"/>
      </w:pPr>
      <w:r>
        <w:rPr>
          <w:rFonts w:hint="eastAsia"/>
        </w:rPr>
        <w:t>1.2磋商截止时间的当月成立且已依法缴纳社会保障资金的供应商，提供磋商截止时间当月的社会保险凭据复印件。 1.3磋商截止时间的当月成立但因税务机关/社会保障资金管理机关原因导致其尚未依法缴纳社会保障资金的供应商，提供依法缴纳社会保障资金承诺书原件（格式自拟），该承诺书视同社会保险凭据。</w:t>
      </w:r>
    </w:p>
    <w:p w14:paraId="2099F84F">
      <w:pPr>
        <w:pStyle w:val="44"/>
        <w:ind w:firstLine="480" w:firstLineChars="200"/>
      </w:pPr>
      <w:r>
        <w:rPr>
          <w:rFonts w:hint="eastAsia"/>
        </w:rPr>
        <w:t>2、</w:t>
      </w:r>
      <w:r>
        <w:rPr>
          <w:rFonts w:hint="eastAsia"/>
          <w:b/>
          <w:bCs/>
        </w:rPr>
        <w:t>“依法缴纳社会保障资金证明材料”</w:t>
      </w:r>
      <w:r>
        <w:rPr>
          <w:rFonts w:hint="eastAsia"/>
        </w:rPr>
        <w:t>有欠缴记录的，</w:t>
      </w:r>
      <w:r>
        <w:rPr>
          <w:rFonts w:hint="eastAsia"/>
          <w:b/>
          <w:bCs/>
        </w:rPr>
        <w:t>视为未依法缴纳社会保障资</w:t>
      </w:r>
      <w:r>
        <w:rPr>
          <w:rFonts w:hint="eastAsia"/>
        </w:rPr>
        <w:t>金。</w:t>
      </w:r>
    </w:p>
    <w:p w14:paraId="4BB53A56">
      <w:pPr>
        <w:pStyle w:val="44"/>
        <w:ind w:firstLine="480" w:firstLineChars="200"/>
      </w:pPr>
      <w:r>
        <w:rPr>
          <w:rFonts w:hint="eastAsia"/>
        </w:rPr>
        <w:t>3、供应商提供的相应证明材料复印件均应符合：内容完整、清晰、整洁，并由供应商加盖其单位公章。 </w:t>
      </w:r>
    </w:p>
    <w:p w14:paraId="7E02BD38">
      <w:pPr>
        <w:pStyle w:val="44"/>
      </w:pPr>
    </w:p>
    <w:p w14:paraId="278CEFC2">
      <w:pPr>
        <w:pStyle w:val="44"/>
      </w:pPr>
    </w:p>
    <w:p w14:paraId="0A2509BA">
      <w:pPr>
        <w:pStyle w:val="44"/>
      </w:pPr>
      <w:r>
        <w:rPr>
          <w:rFonts w:hint="eastAsia"/>
        </w:rPr>
        <w:t>供应商：</w:t>
      </w:r>
      <w:r>
        <w:rPr>
          <w:rFonts w:hint="eastAsia"/>
          <w:u w:val="single"/>
        </w:rPr>
        <w:t>（全称并加盖单位公章）</w:t>
      </w:r>
    </w:p>
    <w:p w14:paraId="0D3075E7">
      <w:pPr>
        <w:pStyle w:val="44"/>
      </w:pPr>
      <w:r>
        <w:rPr>
          <w:rFonts w:hint="eastAsia"/>
        </w:rPr>
        <w:t>供应商代表签字：</w:t>
      </w:r>
      <w:r>
        <w:rPr>
          <w:rFonts w:hint="eastAsia"/>
          <w:u w:val="single"/>
        </w:rPr>
        <w:t>                   </w:t>
      </w:r>
    </w:p>
    <w:p w14:paraId="135DEF6D">
      <w:pPr>
        <w:pStyle w:val="44"/>
      </w:pPr>
      <w:r>
        <w:rPr>
          <w:rFonts w:hint="eastAsia"/>
        </w:rPr>
        <w:t>日期：</w:t>
      </w:r>
      <w:r>
        <w:rPr>
          <w:rFonts w:hint="eastAsia"/>
          <w:u w:val="single"/>
        </w:rPr>
        <w:t>    </w:t>
      </w:r>
      <w:r>
        <w:rPr>
          <w:rFonts w:hint="eastAsia"/>
        </w:rPr>
        <w:t>年</w:t>
      </w:r>
      <w:r>
        <w:rPr>
          <w:rFonts w:hint="eastAsia"/>
          <w:u w:val="single"/>
        </w:rPr>
        <w:t>   </w:t>
      </w:r>
      <w:r>
        <w:rPr>
          <w:rFonts w:hint="eastAsia"/>
        </w:rPr>
        <w:t>月</w:t>
      </w:r>
      <w:r>
        <w:rPr>
          <w:rFonts w:hint="eastAsia"/>
          <w:u w:val="single"/>
        </w:rPr>
        <w:t>   </w:t>
      </w:r>
      <w:r>
        <w:rPr>
          <w:rFonts w:hint="eastAsia"/>
        </w:rPr>
        <w:t>日</w:t>
      </w:r>
    </w:p>
    <w:p w14:paraId="6F5E70AC">
      <w:pPr>
        <w:pStyle w:val="44"/>
        <w:jc w:val="center"/>
      </w:pPr>
    </w:p>
    <w:p w14:paraId="0B4AE839">
      <w:pPr>
        <w:pStyle w:val="44"/>
        <w:jc w:val="center"/>
      </w:pPr>
    </w:p>
    <w:p w14:paraId="6DFC57CA">
      <w:pPr>
        <w:pStyle w:val="44"/>
        <w:jc w:val="center"/>
        <w:rPr>
          <w:sz w:val="21"/>
          <w:szCs w:val="21"/>
        </w:rPr>
      </w:pPr>
      <w:r>
        <w:rPr>
          <w:rFonts w:hint="eastAsia"/>
          <w:sz w:val="21"/>
          <w:szCs w:val="21"/>
        </w:rPr>
        <w:br w:type="page"/>
      </w:r>
    </w:p>
    <w:p w14:paraId="078D72A2">
      <w:pPr>
        <w:pStyle w:val="44"/>
        <w:jc w:val="center"/>
        <w:rPr>
          <w:sz w:val="32"/>
          <w:szCs w:val="32"/>
        </w:rPr>
      </w:pPr>
      <w:r>
        <w:rPr>
          <w:rStyle w:val="52"/>
          <w:rFonts w:hint="eastAsia"/>
          <w:sz w:val="32"/>
          <w:szCs w:val="32"/>
        </w:rPr>
        <w:t>7-6参加采购活动前三年内在经营活动中没有重大违法记录书面声明</w:t>
      </w:r>
    </w:p>
    <w:p w14:paraId="1702A70D">
      <w:pPr>
        <w:pStyle w:val="44"/>
      </w:pPr>
      <w:r>
        <w:rPr>
          <w:rFonts w:hint="eastAsia"/>
          <w:sz w:val="21"/>
          <w:szCs w:val="21"/>
        </w:rPr>
        <w:t> </w:t>
      </w:r>
    </w:p>
    <w:p w14:paraId="1DFE4827">
      <w:pPr>
        <w:pStyle w:val="44"/>
      </w:pPr>
      <w:r>
        <w:rPr>
          <w:rFonts w:hint="eastAsia"/>
        </w:rPr>
        <w:t>致：</w:t>
      </w:r>
      <w:r>
        <w:rPr>
          <w:rFonts w:hint="eastAsia"/>
          <w:u w:val="single"/>
        </w:rPr>
        <w:t>                     </w:t>
      </w:r>
    </w:p>
    <w:p w14:paraId="2240F8A0">
      <w:pPr>
        <w:pStyle w:val="44"/>
        <w:ind w:firstLine="420"/>
      </w:pPr>
      <w:r>
        <w:rPr>
          <w:rFonts w:hint="eastAsia"/>
          <w:shd w:val="clear" w:color="auto" w:fill="FFFFFF"/>
        </w:rPr>
        <w:t>参加采购活动前三年内，我方在经营活动中没有重大违法记录，即没有因违法经营受到刑事处罚或责令停产停业、吊销许可证或执照、较大数额罚款等行政处罚。否则产生不利后果由我方承担责任。</w:t>
      </w:r>
    </w:p>
    <w:p w14:paraId="7D2BFF33">
      <w:pPr>
        <w:pStyle w:val="44"/>
        <w:ind w:firstLine="420"/>
      </w:pPr>
      <w:r>
        <w:rPr>
          <w:rFonts w:hint="eastAsia"/>
        </w:rPr>
        <w:t>特此声明。</w:t>
      </w:r>
    </w:p>
    <w:p w14:paraId="0AE12065">
      <w:pPr>
        <w:pStyle w:val="44"/>
        <w:widowControl/>
        <w:shd w:val="clear" w:color="auto" w:fill="FFFFFF"/>
        <w:spacing w:line="480" w:lineRule="atLeast"/>
        <w:jc w:val="left"/>
      </w:pPr>
      <w:r>
        <w:rPr>
          <w:rFonts w:hint="eastAsia"/>
          <w:shd w:val="clear" w:color="auto" w:fill="FFFFFF"/>
        </w:rPr>
        <w:t>※注意：</w:t>
      </w:r>
    </w:p>
    <w:p w14:paraId="07C62D7C">
      <w:pPr>
        <w:pStyle w:val="44"/>
        <w:widowControl/>
        <w:shd w:val="clear" w:color="auto" w:fill="FFFFFF"/>
        <w:spacing w:line="480" w:lineRule="atLeast"/>
        <w:ind w:firstLine="480" w:firstLineChars="200"/>
        <w:jc w:val="left"/>
      </w:pPr>
      <w:r>
        <w:rPr>
          <w:rFonts w:hint="eastAsia"/>
          <w:shd w:val="clear" w:color="auto" w:fill="FFFFFF"/>
        </w:rPr>
        <w:t>1、“重大违法记录”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37403823">
      <w:pPr>
        <w:pStyle w:val="44"/>
        <w:widowControl/>
        <w:shd w:val="clear" w:color="auto" w:fill="FFFFFF"/>
        <w:spacing w:line="480" w:lineRule="atLeast"/>
        <w:ind w:firstLine="480" w:firstLineChars="200"/>
        <w:jc w:val="left"/>
      </w:pPr>
      <w:r>
        <w:rPr>
          <w:rFonts w:hint="eastAsia"/>
          <w:shd w:val="clear" w:color="auto" w:fill="FFFFFF"/>
        </w:rPr>
        <w:t>2、请供应商根据实际情况如实声明，否则视为提供虚假材料。</w:t>
      </w:r>
    </w:p>
    <w:p w14:paraId="57C1A152">
      <w:pPr>
        <w:pStyle w:val="44"/>
      </w:pPr>
    </w:p>
    <w:p w14:paraId="64742E9A">
      <w:pPr>
        <w:pStyle w:val="44"/>
      </w:pPr>
      <w:r>
        <w:rPr>
          <w:rFonts w:hint="eastAsia"/>
        </w:rPr>
        <w:t> </w:t>
      </w:r>
    </w:p>
    <w:p w14:paraId="6F903284">
      <w:pPr>
        <w:pStyle w:val="44"/>
      </w:pPr>
      <w:r>
        <w:rPr>
          <w:rFonts w:hint="eastAsia"/>
        </w:rPr>
        <w:t>供应商：</w:t>
      </w:r>
      <w:r>
        <w:rPr>
          <w:rFonts w:hint="eastAsia"/>
          <w:u w:val="single"/>
        </w:rPr>
        <w:t>（全称并加盖单位公章）</w:t>
      </w:r>
    </w:p>
    <w:p w14:paraId="4A265E23">
      <w:pPr>
        <w:pStyle w:val="44"/>
      </w:pPr>
      <w:r>
        <w:rPr>
          <w:rFonts w:hint="eastAsia"/>
        </w:rPr>
        <w:t>供应商代表签字：</w:t>
      </w:r>
      <w:r>
        <w:rPr>
          <w:rFonts w:hint="eastAsia"/>
          <w:u w:val="single"/>
        </w:rPr>
        <w:t>                   </w:t>
      </w:r>
    </w:p>
    <w:p w14:paraId="118E001C">
      <w:pPr>
        <w:pStyle w:val="44"/>
      </w:pPr>
      <w:r>
        <w:rPr>
          <w:rFonts w:hint="eastAsia"/>
        </w:rPr>
        <w:t>日期：</w:t>
      </w:r>
      <w:r>
        <w:rPr>
          <w:rFonts w:hint="eastAsia"/>
          <w:u w:val="single"/>
        </w:rPr>
        <w:t>    </w:t>
      </w:r>
      <w:r>
        <w:rPr>
          <w:rFonts w:hint="eastAsia"/>
        </w:rPr>
        <w:t>年</w:t>
      </w:r>
      <w:r>
        <w:rPr>
          <w:rFonts w:hint="eastAsia"/>
          <w:u w:val="single"/>
        </w:rPr>
        <w:t>   </w:t>
      </w:r>
      <w:r>
        <w:rPr>
          <w:rFonts w:hint="eastAsia"/>
        </w:rPr>
        <w:t>月</w:t>
      </w:r>
      <w:r>
        <w:rPr>
          <w:rFonts w:hint="eastAsia"/>
          <w:u w:val="single"/>
        </w:rPr>
        <w:t>   </w:t>
      </w:r>
      <w:r>
        <w:rPr>
          <w:rFonts w:hint="eastAsia"/>
        </w:rPr>
        <w:t>日</w:t>
      </w:r>
    </w:p>
    <w:p w14:paraId="1F97971B">
      <w:pPr>
        <w:pStyle w:val="44"/>
      </w:pPr>
      <w:r>
        <w:rPr>
          <w:rFonts w:hint="eastAsia"/>
          <w:sz w:val="21"/>
          <w:szCs w:val="21"/>
        </w:rPr>
        <w:t> </w:t>
      </w:r>
    </w:p>
    <w:p w14:paraId="251FBE52">
      <w:pPr>
        <w:pStyle w:val="44"/>
      </w:pPr>
      <w:r>
        <w:rPr>
          <w:rFonts w:hint="eastAsia"/>
          <w:sz w:val="21"/>
          <w:szCs w:val="21"/>
        </w:rPr>
        <w:t> </w:t>
      </w:r>
    </w:p>
    <w:p w14:paraId="019B9A85">
      <w:pPr>
        <w:pStyle w:val="44"/>
        <w:jc w:val="center"/>
        <w:rPr>
          <w:sz w:val="21"/>
          <w:szCs w:val="21"/>
        </w:rPr>
      </w:pPr>
    </w:p>
    <w:p w14:paraId="53E67D5B">
      <w:pPr>
        <w:pStyle w:val="44"/>
        <w:jc w:val="center"/>
        <w:rPr>
          <w:sz w:val="21"/>
          <w:szCs w:val="21"/>
        </w:rPr>
      </w:pPr>
    </w:p>
    <w:p w14:paraId="3B849777">
      <w:pPr>
        <w:pStyle w:val="44"/>
        <w:jc w:val="center"/>
        <w:rPr>
          <w:sz w:val="21"/>
          <w:szCs w:val="21"/>
        </w:rPr>
      </w:pPr>
      <w:r>
        <w:rPr>
          <w:rFonts w:hint="eastAsia"/>
          <w:sz w:val="21"/>
          <w:szCs w:val="21"/>
        </w:rPr>
        <w:br w:type="page"/>
      </w:r>
    </w:p>
    <w:p w14:paraId="71822247">
      <w:pPr>
        <w:pStyle w:val="44"/>
        <w:jc w:val="center"/>
        <w:rPr>
          <w:sz w:val="32"/>
          <w:szCs w:val="32"/>
        </w:rPr>
      </w:pPr>
      <w:r>
        <w:rPr>
          <w:rFonts w:hint="eastAsia"/>
          <w:b/>
          <w:bCs/>
          <w:sz w:val="32"/>
          <w:szCs w:val="32"/>
        </w:rPr>
        <w:t>7-7</w:t>
      </w:r>
      <w:r>
        <w:rPr>
          <w:rStyle w:val="52"/>
          <w:rFonts w:hint="eastAsia"/>
          <w:sz w:val="32"/>
          <w:szCs w:val="32"/>
        </w:rPr>
        <w:t>信用记录查询结果</w:t>
      </w:r>
    </w:p>
    <w:p w14:paraId="2C794DD6">
      <w:pPr>
        <w:pStyle w:val="44"/>
      </w:pPr>
      <w:r>
        <w:rPr>
          <w:rFonts w:hint="eastAsia"/>
          <w:sz w:val="21"/>
          <w:szCs w:val="21"/>
        </w:rPr>
        <w:t> </w:t>
      </w:r>
    </w:p>
    <w:p w14:paraId="679E8993">
      <w:pPr>
        <w:pStyle w:val="44"/>
      </w:pPr>
      <w:r>
        <w:rPr>
          <w:rFonts w:hint="eastAsia"/>
        </w:rPr>
        <w:t> </w:t>
      </w:r>
    </w:p>
    <w:p w14:paraId="395E7247">
      <w:pPr>
        <w:pStyle w:val="301"/>
        <w:ind w:firstLine="480"/>
        <w:jc w:val="both"/>
        <w:rPr>
          <w:rFonts w:hint="default" w:ascii="宋体" w:hAnsi="宋体" w:cs="宋体"/>
          <w:kern w:val="2"/>
          <w:sz w:val="24"/>
          <w:szCs w:val="24"/>
        </w:rPr>
      </w:pPr>
      <w:r>
        <w:rPr>
          <w:rFonts w:ascii="宋体" w:hAnsi="宋体" w:cs="宋体"/>
          <w:kern w:val="2"/>
          <w:sz w:val="24"/>
          <w:szCs w:val="24"/>
        </w:rPr>
        <w:t>1、由磋商小组通过网站查询并打印供应商的信用记录。</w:t>
      </w:r>
    </w:p>
    <w:p w14:paraId="1D702E58">
      <w:pPr>
        <w:pStyle w:val="301"/>
        <w:ind w:firstLine="480"/>
        <w:jc w:val="center"/>
        <w:rPr>
          <w:rFonts w:hint="default" w:ascii="宋体" w:hAnsi="宋体" w:cs="宋体"/>
          <w:kern w:val="2"/>
          <w:sz w:val="24"/>
          <w:szCs w:val="24"/>
        </w:rPr>
      </w:pPr>
      <w:r>
        <w:rPr>
          <w:rFonts w:ascii="宋体" w:hAnsi="宋体" w:cs="宋体"/>
          <w:kern w:val="2"/>
          <w:sz w:val="24"/>
          <w:szCs w:val="24"/>
        </w:rPr>
        <w:t>2、经查询，供应商参加本项目采购活动(响应文件递交截止时间)前三年内被列入失信被执行人名单、重大税收违法案件当事人名单、政府采购严重违法失信行为记录名单及其他重大违法记录且相关信用惩戒期限未满的，其资格审查不合格。</w:t>
      </w:r>
    </w:p>
    <w:p w14:paraId="03405C00">
      <w:pPr>
        <w:pStyle w:val="301"/>
        <w:ind w:firstLine="480"/>
        <w:jc w:val="both"/>
        <w:rPr>
          <w:rFonts w:hint="default" w:ascii="宋体" w:hAnsi="宋体" w:cs="宋体"/>
          <w:kern w:val="2"/>
          <w:sz w:val="24"/>
          <w:szCs w:val="24"/>
        </w:rPr>
      </w:pPr>
      <w:r>
        <w:rPr>
          <w:rFonts w:ascii="宋体" w:hAnsi="宋体" w:cs="宋体"/>
          <w:kern w:val="2"/>
          <w:sz w:val="24"/>
          <w:szCs w:val="24"/>
        </w:rPr>
        <w:t>3、供应商应了解自身的信用记录情况。当供应商受到200万以上罚款的行政处罚且该罚款不属较大数额罚款时，供应商应在电子响应文件中提供此项罚款不属于较大数额罚款的依据（如提供：相关法律制度的规定、行政执法机构对该罚款不属于较大数额罚款的认定或者其他有效依据）。</w:t>
      </w:r>
    </w:p>
    <w:p w14:paraId="21F706CA">
      <w:pPr>
        <w:pStyle w:val="44"/>
      </w:pPr>
    </w:p>
    <w:p w14:paraId="373B35BE">
      <w:pPr>
        <w:pStyle w:val="44"/>
      </w:pPr>
    </w:p>
    <w:p w14:paraId="5C9B02FD">
      <w:pPr>
        <w:pStyle w:val="44"/>
      </w:pPr>
      <w:r>
        <w:rPr>
          <w:rFonts w:hint="eastAsia"/>
        </w:rPr>
        <w:t> </w:t>
      </w:r>
    </w:p>
    <w:p w14:paraId="4A40D8B2">
      <w:pPr>
        <w:pStyle w:val="44"/>
      </w:pPr>
      <w:r>
        <w:rPr>
          <w:rFonts w:hint="eastAsia"/>
        </w:rPr>
        <w:t> </w:t>
      </w:r>
    </w:p>
    <w:p w14:paraId="4BE47633">
      <w:pPr>
        <w:pStyle w:val="44"/>
      </w:pPr>
      <w:r>
        <w:rPr>
          <w:rFonts w:hint="eastAsia"/>
        </w:rPr>
        <w:t>供应商：</w:t>
      </w:r>
      <w:r>
        <w:rPr>
          <w:rFonts w:hint="eastAsia"/>
          <w:u w:val="single"/>
        </w:rPr>
        <w:t>（全称并加盖单位公章）</w:t>
      </w:r>
    </w:p>
    <w:p w14:paraId="45CC86DC">
      <w:pPr>
        <w:pStyle w:val="44"/>
      </w:pPr>
      <w:r>
        <w:rPr>
          <w:rFonts w:hint="eastAsia"/>
        </w:rPr>
        <w:t>供应商代表签字：</w:t>
      </w:r>
      <w:r>
        <w:rPr>
          <w:rFonts w:hint="eastAsia"/>
          <w:u w:val="single"/>
        </w:rPr>
        <w:t>        </w:t>
      </w:r>
    </w:p>
    <w:p w14:paraId="7669BBE8">
      <w:pPr>
        <w:pStyle w:val="44"/>
      </w:pPr>
      <w:r>
        <w:rPr>
          <w:rFonts w:hint="eastAsia"/>
        </w:rPr>
        <w:t>日期：</w:t>
      </w:r>
      <w:r>
        <w:rPr>
          <w:rFonts w:hint="eastAsia"/>
          <w:u w:val="single"/>
        </w:rPr>
        <w:t>    </w:t>
      </w:r>
      <w:r>
        <w:rPr>
          <w:rFonts w:hint="eastAsia"/>
        </w:rPr>
        <w:t>年</w:t>
      </w:r>
      <w:r>
        <w:rPr>
          <w:rFonts w:hint="eastAsia"/>
          <w:u w:val="single"/>
        </w:rPr>
        <w:t>   </w:t>
      </w:r>
      <w:r>
        <w:rPr>
          <w:rFonts w:hint="eastAsia"/>
        </w:rPr>
        <w:t>月</w:t>
      </w:r>
      <w:r>
        <w:rPr>
          <w:rFonts w:hint="eastAsia"/>
          <w:u w:val="single"/>
        </w:rPr>
        <w:t>   </w:t>
      </w:r>
      <w:r>
        <w:rPr>
          <w:rFonts w:hint="eastAsia"/>
        </w:rPr>
        <w:t>日</w:t>
      </w:r>
    </w:p>
    <w:p w14:paraId="4E25C403">
      <w:pPr>
        <w:pStyle w:val="44"/>
      </w:pPr>
      <w:r>
        <w:rPr>
          <w:rFonts w:hint="eastAsia"/>
          <w:sz w:val="21"/>
          <w:szCs w:val="21"/>
        </w:rPr>
        <w:t> </w:t>
      </w:r>
    </w:p>
    <w:p w14:paraId="3B4EB875">
      <w:pPr>
        <w:pStyle w:val="44"/>
      </w:pPr>
      <w:r>
        <w:rPr>
          <w:rFonts w:hint="eastAsia"/>
          <w:sz w:val="21"/>
          <w:szCs w:val="21"/>
        </w:rPr>
        <w:t> </w:t>
      </w:r>
    </w:p>
    <w:p w14:paraId="08DE3194">
      <w:pPr>
        <w:pStyle w:val="44"/>
        <w:jc w:val="center"/>
        <w:rPr>
          <w:rStyle w:val="52"/>
          <w:sz w:val="21"/>
          <w:szCs w:val="21"/>
        </w:rPr>
      </w:pPr>
    </w:p>
    <w:p w14:paraId="682C501D">
      <w:pPr>
        <w:pStyle w:val="44"/>
        <w:jc w:val="center"/>
        <w:rPr>
          <w:rStyle w:val="52"/>
          <w:sz w:val="21"/>
          <w:szCs w:val="21"/>
        </w:rPr>
      </w:pPr>
    </w:p>
    <w:p w14:paraId="5BB357CB">
      <w:pPr>
        <w:pStyle w:val="44"/>
        <w:jc w:val="center"/>
        <w:rPr>
          <w:sz w:val="21"/>
          <w:szCs w:val="21"/>
        </w:rPr>
      </w:pPr>
      <w:r>
        <w:rPr>
          <w:rStyle w:val="52"/>
          <w:rFonts w:hint="eastAsia"/>
          <w:sz w:val="21"/>
          <w:szCs w:val="21"/>
        </w:rPr>
        <w:br w:type="page"/>
      </w:r>
    </w:p>
    <w:p w14:paraId="286F69AD">
      <w:pPr>
        <w:pStyle w:val="44"/>
        <w:jc w:val="center"/>
        <w:rPr>
          <w:b/>
          <w:bCs/>
        </w:rPr>
      </w:pPr>
      <w:r>
        <w:rPr>
          <w:rFonts w:hint="eastAsia"/>
          <w:b/>
          <w:bCs/>
          <w:sz w:val="32"/>
          <w:szCs w:val="32"/>
        </w:rPr>
        <w:t>7-8具备履行合同所必需设备和专业技术能力的声明函</w:t>
      </w:r>
    </w:p>
    <w:p w14:paraId="72616DCF">
      <w:pPr>
        <w:pStyle w:val="44"/>
        <w:jc w:val="center"/>
      </w:pPr>
    </w:p>
    <w:p w14:paraId="70080BAE">
      <w:pPr>
        <w:pStyle w:val="44"/>
        <w:widowControl/>
      </w:pPr>
      <w:r>
        <w:rPr>
          <w:rFonts w:hint="eastAsia"/>
        </w:rPr>
        <w:t>致：</w:t>
      </w:r>
      <w:r>
        <w:rPr>
          <w:rFonts w:hint="eastAsia"/>
          <w:u w:val="single"/>
        </w:rPr>
        <w:t>                     </w:t>
      </w:r>
    </w:p>
    <w:p w14:paraId="7E0795D7">
      <w:pPr>
        <w:pStyle w:val="44"/>
        <w:widowControl/>
        <w:ind w:firstLine="420"/>
      </w:pPr>
      <w:r>
        <w:rPr>
          <w:rFonts w:hint="eastAsia"/>
        </w:rPr>
        <w:t>我方具备履行合同所必需的设备和专业技术能力，否则产生不利后果由我方承担责任。</w:t>
      </w:r>
    </w:p>
    <w:p w14:paraId="2CDE9C88">
      <w:pPr>
        <w:pStyle w:val="44"/>
        <w:widowControl/>
        <w:ind w:firstLine="420"/>
      </w:pPr>
      <w:r>
        <w:rPr>
          <w:rFonts w:hint="eastAsia"/>
        </w:rPr>
        <w:t>特此声明。</w:t>
      </w:r>
    </w:p>
    <w:p w14:paraId="2F1ABC8B">
      <w:pPr>
        <w:pStyle w:val="44"/>
        <w:widowControl/>
      </w:pPr>
    </w:p>
    <w:p w14:paraId="28A856C4">
      <w:pPr>
        <w:pStyle w:val="44"/>
        <w:widowControl/>
      </w:pPr>
      <w:r>
        <w:rPr>
          <w:rFonts w:hint="eastAsia"/>
          <w:shd w:val="clear" w:color="auto" w:fill="FFFFFF"/>
        </w:rPr>
        <w:t>※</w:t>
      </w:r>
      <w:r>
        <w:rPr>
          <w:rFonts w:hint="eastAsia"/>
        </w:rPr>
        <w:t>注意：</w:t>
      </w:r>
    </w:p>
    <w:p w14:paraId="27EABA25">
      <w:pPr>
        <w:pStyle w:val="44"/>
        <w:widowControl/>
      </w:pPr>
      <w:r>
        <w:rPr>
          <w:rFonts w:hint="eastAsia"/>
        </w:rPr>
        <w:t>1、请供应商根据实际情况如实声明，否则</w:t>
      </w:r>
      <w:r>
        <w:rPr>
          <w:rStyle w:val="52"/>
          <w:rFonts w:hint="eastAsia"/>
        </w:rPr>
        <w:t>视为提供虚假材料。</w:t>
      </w:r>
    </w:p>
    <w:p w14:paraId="49F97322">
      <w:pPr>
        <w:pStyle w:val="44"/>
      </w:pPr>
    </w:p>
    <w:p w14:paraId="2BB141D8">
      <w:pPr>
        <w:pStyle w:val="44"/>
      </w:pPr>
    </w:p>
    <w:p w14:paraId="0EC9D1FD">
      <w:pPr>
        <w:pStyle w:val="44"/>
      </w:pPr>
    </w:p>
    <w:p w14:paraId="5A8FBC77">
      <w:pPr>
        <w:pStyle w:val="44"/>
      </w:pPr>
    </w:p>
    <w:p w14:paraId="516E17F1">
      <w:pPr>
        <w:pStyle w:val="44"/>
      </w:pPr>
      <w:r>
        <w:rPr>
          <w:rFonts w:hint="eastAsia"/>
        </w:rPr>
        <w:t>供应商：</w:t>
      </w:r>
      <w:r>
        <w:rPr>
          <w:rFonts w:hint="eastAsia"/>
          <w:u w:val="single"/>
        </w:rPr>
        <w:t>（全称并加盖单位公章）</w:t>
      </w:r>
    </w:p>
    <w:p w14:paraId="5D7E8C0C">
      <w:pPr>
        <w:pStyle w:val="44"/>
      </w:pPr>
      <w:r>
        <w:rPr>
          <w:rFonts w:hint="eastAsia"/>
        </w:rPr>
        <w:t>供应商代表签字：</w:t>
      </w:r>
      <w:r>
        <w:rPr>
          <w:rFonts w:hint="eastAsia"/>
          <w:u w:val="single"/>
        </w:rPr>
        <w:t>         </w:t>
      </w:r>
    </w:p>
    <w:p w14:paraId="1F531E87">
      <w:pPr>
        <w:pStyle w:val="44"/>
      </w:pPr>
      <w:r>
        <w:rPr>
          <w:rFonts w:hint="eastAsia"/>
        </w:rPr>
        <w:t>日期：</w:t>
      </w:r>
      <w:r>
        <w:rPr>
          <w:rFonts w:hint="eastAsia"/>
          <w:u w:val="single"/>
        </w:rPr>
        <w:t>    </w:t>
      </w:r>
      <w:r>
        <w:rPr>
          <w:rFonts w:hint="eastAsia"/>
        </w:rPr>
        <w:t>年</w:t>
      </w:r>
      <w:r>
        <w:rPr>
          <w:rFonts w:hint="eastAsia"/>
          <w:u w:val="single"/>
        </w:rPr>
        <w:t>   </w:t>
      </w:r>
      <w:r>
        <w:rPr>
          <w:rFonts w:hint="eastAsia"/>
        </w:rPr>
        <w:t>月</w:t>
      </w:r>
      <w:r>
        <w:rPr>
          <w:rFonts w:hint="eastAsia"/>
          <w:u w:val="single"/>
        </w:rPr>
        <w:t>   </w:t>
      </w:r>
      <w:r>
        <w:rPr>
          <w:rFonts w:hint="eastAsia"/>
        </w:rPr>
        <w:t>日</w:t>
      </w:r>
    </w:p>
    <w:p w14:paraId="70EC3D57">
      <w:pPr>
        <w:tabs>
          <w:tab w:val="left" w:pos="978"/>
        </w:tabs>
        <w:spacing w:line="360" w:lineRule="auto"/>
        <w:rPr>
          <w:rFonts w:ascii="宋体" w:hAnsi="宋体" w:cs="宋体"/>
          <w:b/>
          <w:sz w:val="24"/>
        </w:rPr>
      </w:pPr>
    </w:p>
    <w:p w14:paraId="32FC3DCB">
      <w:pPr>
        <w:tabs>
          <w:tab w:val="left" w:pos="978"/>
        </w:tabs>
        <w:spacing w:line="360" w:lineRule="auto"/>
        <w:rPr>
          <w:rFonts w:ascii="宋体" w:hAnsi="宋体" w:cs="宋体"/>
          <w:b/>
          <w:sz w:val="24"/>
        </w:rPr>
      </w:pPr>
    </w:p>
    <w:p w14:paraId="0F6C9C2F">
      <w:pPr>
        <w:tabs>
          <w:tab w:val="left" w:pos="978"/>
        </w:tabs>
        <w:spacing w:line="360" w:lineRule="auto"/>
        <w:rPr>
          <w:rFonts w:ascii="宋体" w:hAnsi="宋体" w:cs="宋体"/>
          <w:b/>
          <w:sz w:val="24"/>
        </w:rPr>
      </w:pPr>
    </w:p>
    <w:p w14:paraId="44BF0130">
      <w:pPr>
        <w:pStyle w:val="44"/>
        <w:jc w:val="center"/>
        <w:rPr>
          <w:b/>
          <w:bCs/>
        </w:rPr>
      </w:pPr>
      <w:r>
        <w:rPr>
          <w:rFonts w:hint="eastAsia"/>
          <w:b/>
        </w:rPr>
        <w:br w:type="page"/>
      </w:r>
      <w:bookmarkStart w:id="225" w:name="_Toc23270"/>
      <w:bookmarkStart w:id="226" w:name="_Toc3419_WPSOffice_Level2"/>
      <w:bookmarkStart w:id="227" w:name="_Toc17536_WPSOffice_Level2"/>
      <w:r>
        <w:rPr>
          <w:rFonts w:hint="eastAsia"/>
          <w:b/>
          <w:bCs/>
          <w:sz w:val="32"/>
          <w:szCs w:val="32"/>
        </w:rPr>
        <w:t>7-9没有被列入景弘集团有限公司和漳州新园轻工实业有限责任公司黑名单的承诺函</w:t>
      </w:r>
    </w:p>
    <w:p w14:paraId="3797FEB0">
      <w:pPr>
        <w:pStyle w:val="44"/>
        <w:jc w:val="center"/>
      </w:pPr>
    </w:p>
    <w:p w14:paraId="2E11347A">
      <w:pPr>
        <w:pStyle w:val="44"/>
        <w:widowControl/>
      </w:pPr>
      <w:r>
        <w:rPr>
          <w:rFonts w:hint="eastAsia"/>
        </w:rPr>
        <w:t>致：</w:t>
      </w:r>
      <w:r>
        <w:rPr>
          <w:rFonts w:hint="eastAsia"/>
          <w:u w:val="single"/>
        </w:rPr>
        <w:t>                     </w:t>
      </w:r>
    </w:p>
    <w:p w14:paraId="7301F194">
      <w:pPr>
        <w:pStyle w:val="44"/>
        <w:widowControl/>
        <w:ind w:firstLine="420"/>
      </w:pPr>
      <w:r>
        <w:rPr>
          <w:rFonts w:hint="eastAsia"/>
        </w:rPr>
        <w:t>我方没有被列入景弘集团有限公司和漳州新园轻工实业有限责任公司黑名单。</w:t>
      </w:r>
    </w:p>
    <w:p w14:paraId="6C0DAEA3">
      <w:pPr>
        <w:pStyle w:val="44"/>
        <w:widowControl/>
        <w:ind w:firstLine="420"/>
      </w:pPr>
      <w:r>
        <w:rPr>
          <w:rFonts w:hint="eastAsia"/>
        </w:rPr>
        <w:t>特此声明。</w:t>
      </w:r>
    </w:p>
    <w:p w14:paraId="56180618">
      <w:pPr>
        <w:pStyle w:val="44"/>
        <w:widowControl/>
      </w:pPr>
    </w:p>
    <w:p w14:paraId="4CB23C21">
      <w:pPr>
        <w:pStyle w:val="44"/>
        <w:widowControl/>
      </w:pPr>
      <w:r>
        <w:rPr>
          <w:rFonts w:hint="eastAsia"/>
          <w:shd w:val="clear" w:color="auto" w:fill="FFFFFF"/>
        </w:rPr>
        <w:t>※</w:t>
      </w:r>
      <w:r>
        <w:rPr>
          <w:rFonts w:hint="eastAsia"/>
        </w:rPr>
        <w:t>注意：</w:t>
      </w:r>
    </w:p>
    <w:p w14:paraId="623B5F10">
      <w:pPr>
        <w:pStyle w:val="44"/>
        <w:widowControl/>
      </w:pPr>
      <w:r>
        <w:rPr>
          <w:rFonts w:hint="eastAsia"/>
        </w:rPr>
        <w:t>1、请供应商根据实际情况如实声明，否则</w:t>
      </w:r>
      <w:r>
        <w:rPr>
          <w:rStyle w:val="52"/>
          <w:rFonts w:hint="eastAsia"/>
        </w:rPr>
        <w:t>视为提供虚假材料。</w:t>
      </w:r>
    </w:p>
    <w:p w14:paraId="1C889344">
      <w:pPr>
        <w:pStyle w:val="44"/>
      </w:pPr>
    </w:p>
    <w:p w14:paraId="32C90B6B">
      <w:pPr>
        <w:pStyle w:val="44"/>
      </w:pPr>
    </w:p>
    <w:p w14:paraId="7F6764EA">
      <w:pPr>
        <w:pStyle w:val="44"/>
      </w:pPr>
    </w:p>
    <w:p w14:paraId="299D43A6">
      <w:pPr>
        <w:pStyle w:val="44"/>
      </w:pPr>
    </w:p>
    <w:p w14:paraId="7D2875A2">
      <w:pPr>
        <w:pStyle w:val="44"/>
      </w:pPr>
      <w:r>
        <w:rPr>
          <w:rFonts w:hint="eastAsia"/>
        </w:rPr>
        <w:t>供应商：</w:t>
      </w:r>
      <w:r>
        <w:rPr>
          <w:rFonts w:hint="eastAsia"/>
          <w:u w:val="single"/>
        </w:rPr>
        <w:t>（全称并加盖单位公章）</w:t>
      </w:r>
    </w:p>
    <w:p w14:paraId="5AD59C7A">
      <w:pPr>
        <w:pStyle w:val="44"/>
      </w:pPr>
      <w:r>
        <w:rPr>
          <w:rFonts w:hint="eastAsia"/>
        </w:rPr>
        <w:t>供应商代表签字：</w:t>
      </w:r>
      <w:r>
        <w:rPr>
          <w:rFonts w:hint="eastAsia"/>
          <w:u w:val="single"/>
        </w:rPr>
        <w:t>         </w:t>
      </w:r>
    </w:p>
    <w:p w14:paraId="11197700">
      <w:pPr>
        <w:pStyle w:val="44"/>
      </w:pPr>
      <w:r>
        <w:rPr>
          <w:rFonts w:hint="eastAsia"/>
        </w:rPr>
        <w:t>日期：</w:t>
      </w:r>
      <w:r>
        <w:rPr>
          <w:rFonts w:hint="eastAsia"/>
          <w:u w:val="single"/>
        </w:rPr>
        <w:t>    </w:t>
      </w:r>
      <w:r>
        <w:rPr>
          <w:rFonts w:hint="eastAsia"/>
        </w:rPr>
        <w:t>年</w:t>
      </w:r>
      <w:r>
        <w:rPr>
          <w:rFonts w:hint="eastAsia"/>
          <w:u w:val="single"/>
        </w:rPr>
        <w:t>   </w:t>
      </w:r>
      <w:r>
        <w:rPr>
          <w:rFonts w:hint="eastAsia"/>
        </w:rPr>
        <w:t>月</w:t>
      </w:r>
      <w:r>
        <w:rPr>
          <w:rFonts w:hint="eastAsia"/>
          <w:u w:val="single"/>
        </w:rPr>
        <w:t>   </w:t>
      </w:r>
      <w:r>
        <w:rPr>
          <w:rFonts w:hint="eastAsia"/>
        </w:rPr>
        <w:t>日</w:t>
      </w:r>
    </w:p>
    <w:p w14:paraId="3173519A">
      <w:pPr>
        <w:tabs>
          <w:tab w:val="left" w:pos="978"/>
        </w:tabs>
        <w:spacing w:line="360" w:lineRule="auto"/>
        <w:outlineLvl w:val="0"/>
        <w:rPr>
          <w:rFonts w:ascii="宋体" w:hAnsi="宋体" w:cs="宋体"/>
          <w:b/>
          <w:bCs/>
          <w:szCs w:val="21"/>
        </w:rPr>
      </w:pPr>
    </w:p>
    <w:p w14:paraId="71B9172D">
      <w:pPr>
        <w:tabs>
          <w:tab w:val="left" w:pos="978"/>
        </w:tabs>
        <w:spacing w:line="360" w:lineRule="auto"/>
        <w:outlineLvl w:val="0"/>
        <w:rPr>
          <w:rFonts w:ascii="宋体" w:hAnsi="宋体" w:cs="宋体"/>
          <w:b/>
          <w:bCs/>
          <w:szCs w:val="21"/>
        </w:rPr>
      </w:pPr>
    </w:p>
    <w:p w14:paraId="68149B7A">
      <w:pPr>
        <w:tabs>
          <w:tab w:val="left" w:pos="978"/>
        </w:tabs>
        <w:spacing w:line="360" w:lineRule="auto"/>
        <w:outlineLvl w:val="0"/>
        <w:rPr>
          <w:rFonts w:ascii="宋体" w:hAnsi="宋体" w:cs="宋体"/>
          <w:b/>
          <w:bCs/>
          <w:szCs w:val="21"/>
        </w:rPr>
      </w:pPr>
    </w:p>
    <w:p w14:paraId="02BA3C35">
      <w:pPr>
        <w:tabs>
          <w:tab w:val="left" w:pos="978"/>
        </w:tabs>
        <w:spacing w:line="360" w:lineRule="auto"/>
        <w:outlineLvl w:val="0"/>
        <w:rPr>
          <w:rFonts w:ascii="宋体" w:hAnsi="宋体" w:cs="宋体"/>
          <w:b/>
          <w:bCs/>
          <w:szCs w:val="21"/>
        </w:rPr>
      </w:pPr>
    </w:p>
    <w:p w14:paraId="7A817660">
      <w:pPr>
        <w:tabs>
          <w:tab w:val="left" w:pos="978"/>
        </w:tabs>
        <w:spacing w:line="360" w:lineRule="auto"/>
        <w:outlineLvl w:val="0"/>
        <w:rPr>
          <w:rFonts w:ascii="宋体" w:hAnsi="宋体" w:cs="宋体"/>
          <w:b/>
          <w:bCs/>
          <w:szCs w:val="21"/>
        </w:rPr>
      </w:pPr>
    </w:p>
    <w:p w14:paraId="27FA64E8">
      <w:pPr>
        <w:tabs>
          <w:tab w:val="left" w:pos="978"/>
        </w:tabs>
        <w:spacing w:line="360" w:lineRule="auto"/>
        <w:outlineLvl w:val="0"/>
        <w:rPr>
          <w:rFonts w:ascii="宋体" w:hAnsi="宋体" w:cs="宋体"/>
          <w:b/>
          <w:bCs/>
          <w:szCs w:val="21"/>
        </w:rPr>
      </w:pPr>
    </w:p>
    <w:p w14:paraId="5ACE3627">
      <w:pPr>
        <w:tabs>
          <w:tab w:val="left" w:pos="978"/>
        </w:tabs>
        <w:spacing w:line="360" w:lineRule="auto"/>
        <w:outlineLvl w:val="0"/>
        <w:rPr>
          <w:rFonts w:ascii="宋体" w:hAnsi="宋体" w:cs="宋体"/>
          <w:b/>
          <w:bCs/>
          <w:szCs w:val="21"/>
        </w:rPr>
      </w:pPr>
    </w:p>
    <w:p w14:paraId="01209D85">
      <w:pPr>
        <w:tabs>
          <w:tab w:val="left" w:pos="978"/>
        </w:tabs>
        <w:spacing w:line="360" w:lineRule="auto"/>
        <w:outlineLvl w:val="0"/>
        <w:rPr>
          <w:rFonts w:ascii="宋体" w:hAnsi="宋体" w:cs="宋体"/>
          <w:b/>
          <w:bCs/>
          <w:szCs w:val="21"/>
        </w:rPr>
      </w:pPr>
    </w:p>
    <w:p w14:paraId="7A28D05F">
      <w:pPr>
        <w:tabs>
          <w:tab w:val="left" w:pos="978"/>
        </w:tabs>
        <w:spacing w:line="360" w:lineRule="auto"/>
        <w:outlineLvl w:val="0"/>
        <w:rPr>
          <w:rFonts w:ascii="宋体" w:hAnsi="宋体" w:cs="宋体"/>
          <w:b/>
          <w:bCs/>
          <w:szCs w:val="21"/>
        </w:rPr>
      </w:pPr>
    </w:p>
    <w:p w14:paraId="172C7021">
      <w:pPr>
        <w:tabs>
          <w:tab w:val="left" w:pos="978"/>
        </w:tabs>
        <w:spacing w:line="360" w:lineRule="auto"/>
        <w:outlineLvl w:val="0"/>
        <w:rPr>
          <w:rFonts w:ascii="宋体" w:hAnsi="宋体" w:cs="宋体"/>
          <w:b/>
          <w:bCs/>
          <w:szCs w:val="21"/>
        </w:rPr>
      </w:pPr>
    </w:p>
    <w:p w14:paraId="0EEA241B">
      <w:pPr>
        <w:tabs>
          <w:tab w:val="left" w:pos="978"/>
        </w:tabs>
        <w:spacing w:line="360" w:lineRule="auto"/>
        <w:outlineLvl w:val="0"/>
        <w:rPr>
          <w:rFonts w:ascii="宋体" w:hAnsi="宋体" w:cs="宋体"/>
          <w:b/>
          <w:bCs/>
          <w:szCs w:val="21"/>
        </w:rPr>
      </w:pPr>
    </w:p>
    <w:p w14:paraId="1D8C8DD8">
      <w:pPr>
        <w:tabs>
          <w:tab w:val="left" w:pos="978"/>
        </w:tabs>
        <w:spacing w:line="360" w:lineRule="auto"/>
        <w:outlineLvl w:val="0"/>
        <w:rPr>
          <w:rFonts w:ascii="宋体" w:hAnsi="宋体" w:cs="宋体"/>
          <w:b/>
          <w:bCs/>
          <w:szCs w:val="21"/>
        </w:rPr>
      </w:pPr>
    </w:p>
    <w:p w14:paraId="5AC9A75A">
      <w:pPr>
        <w:tabs>
          <w:tab w:val="left" w:pos="978"/>
        </w:tabs>
        <w:spacing w:line="360" w:lineRule="auto"/>
        <w:outlineLvl w:val="0"/>
        <w:rPr>
          <w:rFonts w:ascii="宋体" w:hAnsi="宋体" w:cs="宋体"/>
          <w:b/>
          <w:bCs/>
          <w:szCs w:val="21"/>
        </w:rPr>
      </w:pPr>
    </w:p>
    <w:p w14:paraId="0762F5A3">
      <w:pPr>
        <w:tabs>
          <w:tab w:val="left" w:pos="978"/>
        </w:tabs>
        <w:spacing w:line="360" w:lineRule="auto"/>
        <w:outlineLvl w:val="0"/>
        <w:rPr>
          <w:rFonts w:ascii="宋体" w:hAnsi="宋体" w:cs="宋体"/>
          <w:b/>
          <w:bCs/>
          <w:szCs w:val="21"/>
        </w:rPr>
      </w:pPr>
    </w:p>
    <w:p w14:paraId="1B9FF842">
      <w:pPr>
        <w:tabs>
          <w:tab w:val="left" w:pos="978"/>
        </w:tabs>
        <w:spacing w:line="360" w:lineRule="auto"/>
        <w:outlineLvl w:val="0"/>
        <w:rPr>
          <w:rFonts w:ascii="宋体" w:hAnsi="宋体" w:cs="宋体"/>
          <w:b/>
          <w:bCs/>
          <w:szCs w:val="21"/>
        </w:rPr>
      </w:pPr>
    </w:p>
    <w:p w14:paraId="348B659B">
      <w:pPr>
        <w:tabs>
          <w:tab w:val="left" w:pos="978"/>
        </w:tabs>
        <w:spacing w:line="360" w:lineRule="auto"/>
        <w:outlineLvl w:val="0"/>
        <w:rPr>
          <w:rFonts w:ascii="宋体" w:hAnsi="宋体" w:cs="宋体"/>
          <w:b/>
          <w:bCs/>
          <w:szCs w:val="21"/>
        </w:rPr>
      </w:pPr>
    </w:p>
    <w:p w14:paraId="6B70127B">
      <w:pPr>
        <w:tabs>
          <w:tab w:val="left" w:pos="978"/>
        </w:tabs>
        <w:spacing w:line="360" w:lineRule="auto"/>
        <w:outlineLvl w:val="0"/>
        <w:rPr>
          <w:rFonts w:ascii="宋体" w:hAnsi="宋体" w:cs="宋体"/>
          <w:b/>
          <w:bCs/>
          <w:szCs w:val="21"/>
        </w:rPr>
      </w:pPr>
    </w:p>
    <w:p w14:paraId="0653DDDA">
      <w:pPr>
        <w:rPr>
          <w:rFonts w:ascii="宋体" w:hAnsi="宋体" w:cs="宋体"/>
          <w:b/>
          <w:bCs/>
          <w:szCs w:val="21"/>
        </w:rPr>
      </w:pPr>
      <w:r>
        <w:rPr>
          <w:rFonts w:hint="eastAsia" w:ascii="宋体" w:hAnsi="宋体" w:cs="宋体"/>
          <w:b/>
          <w:bCs/>
          <w:szCs w:val="21"/>
        </w:rPr>
        <w:br w:type="page"/>
      </w:r>
    </w:p>
    <w:p w14:paraId="4BC9B73E">
      <w:pPr>
        <w:tabs>
          <w:tab w:val="left" w:pos="978"/>
        </w:tabs>
        <w:spacing w:line="360" w:lineRule="auto"/>
        <w:outlineLvl w:val="0"/>
        <w:rPr>
          <w:rFonts w:ascii="宋体" w:hAnsi="宋体" w:cs="宋体"/>
          <w:b/>
          <w:sz w:val="28"/>
          <w:szCs w:val="28"/>
        </w:rPr>
      </w:pPr>
      <w:r>
        <w:rPr>
          <w:rFonts w:hint="eastAsia" w:ascii="宋体" w:hAnsi="宋体" w:cs="宋体"/>
          <w:b/>
          <w:bCs/>
          <w:szCs w:val="21"/>
        </w:rPr>
        <w:t>附件8</w:t>
      </w:r>
      <w:r>
        <w:rPr>
          <w:rFonts w:hint="eastAsia" w:ascii="宋体" w:hAnsi="宋体" w:cs="宋体"/>
          <w:b/>
          <w:sz w:val="32"/>
          <w:szCs w:val="32"/>
        </w:rPr>
        <w:t xml:space="preserve"> 磋商保证金提交说明函</w:t>
      </w:r>
      <w:bookmarkEnd w:id="225"/>
      <w:bookmarkEnd w:id="226"/>
      <w:bookmarkEnd w:id="227"/>
    </w:p>
    <w:p w14:paraId="4CB41398">
      <w:pPr>
        <w:tabs>
          <w:tab w:val="left" w:pos="978"/>
        </w:tabs>
        <w:spacing w:line="360" w:lineRule="auto"/>
        <w:rPr>
          <w:rFonts w:ascii="宋体" w:hAnsi="宋体" w:cs="宋体"/>
          <w:sz w:val="24"/>
        </w:rPr>
      </w:pPr>
    </w:p>
    <w:p w14:paraId="58AD675F">
      <w:pPr>
        <w:tabs>
          <w:tab w:val="left" w:pos="978"/>
        </w:tabs>
        <w:spacing w:line="360" w:lineRule="auto"/>
        <w:rPr>
          <w:rFonts w:ascii="宋体" w:hAnsi="宋体" w:cs="宋体"/>
          <w:sz w:val="24"/>
        </w:rPr>
      </w:pPr>
      <w:r>
        <w:rPr>
          <w:rFonts w:hint="eastAsia" w:ascii="宋体" w:hAnsi="宋体" w:cs="宋体"/>
          <w:sz w:val="24"/>
        </w:rPr>
        <w:t>致： 福建优胜招标项目管理集团有限公司</w:t>
      </w:r>
    </w:p>
    <w:p w14:paraId="3A413383">
      <w:pPr>
        <w:tabs>
          <w:tab w:val="left" w:pos="978"/>
        </w:tabs>
        <w:spacing w:line="360" w:lineRule="auto"/>
        <w:rPr>
          <w:rFonts w:ascii="宋体" w:hAnsi="宋体" w:cs="宋体"/>
          <w:sz w:val="24"/>
        </w:rPr>
      </w:pPr>
      <w:r>
        <w:rPr>
          <w:rFonts w:hint="eastAsia" w:ascii="宋体" w:hAnsi="宋体" w:cs="宋体"/>
          <w:sz w:val="24"/>
        </w:rPr>
        <w:t xml:space="preserve"> 根据我方参与贵方组织的“</w:t>
      </w:r>
      <w:r>
        <w:rPr>
          <w:rFonts w:hint="eastAsia" w:ascii="宋体" w:hAnsi="宋体" w:cs="宋体"/>
          <w:sz w:val="24"/>
          <w:u w:val="single"/>
        </w:rPr>
        <w:t xml:space="preserve">  项目名称   </w:t>
      </w:r>
      <w:r>
        <w:rPr>
          <w:rFonts w:hint="eastAsia" w:ascii="宋体" w:hAnsi="宋体" w:cs="宋体"/>
          <w:sz w:val="24"/>
        </w:rPr>
        <w:t>”（项目编号：）项目的竞争性磋商文件要求，我司向贵方账户</w:t>
      </w:r>
      <w:r>
        <w:rPr>
          <w:rFonts w:hint="eastAsia" w:ascii="宋体" w:hAnsi="宋体" w:cs="宋体"/>
          <w:sz w:val="24"/>
          <w:u w:val="single"/>
        </w:rPr>
        <w:t>汇入（转入）</w:t>
      </w:r>
      <w:r>
        <w:rPr>
          <w:rFonts w:hint="eastAsia" w:ascii="宋体" w:hAnsi="宋体" w:cs="宋体"/>
          <w:sz w:val="24"/>
        </w:rPr>
        <w:t>以下金额款项作为我方的磋商保证金。并附上</w:t>
      </w:r>
      <w:r>
        <w:rPr>
          <w:rFonts w:hint="eastAsia" w:ascii="宋体" w:hAnsi="宋体" w:cs="宋体"/>
          <w:sz w:val="24"/>
          <w:u w:val="single"/>
        </w:rPr>
        <w:t>转账凭证（电汇凭证）</w:t>
      </w:r>
      <w:r>
        <w:rPr>
          <w:rFonts w:hint="eastAsia" w:ascii="宋体" w:hAnsi="宋体" w:cs="宋体"/>
          <w:sz w:val="24"/>
        </w:rPr>
        <w:t>；</w:t>
      </w:r>
    </w:p>
    <w:p w14:paraId="3B21AFA2">
      <w:pPr>
        <w:tabs>
          <w:tab w:val="left" w:pos="978"/>
        </w:tabs>
        <w:spacing w:line="360" w:lineRule="auto"/>
        <w:rPr>
          <w:rFonts w:ascii="宋体" w:hAnsi="宋体" w:cs="宋体"/>
          <w:b/>
          <w:sz w:val="24"/>
        </w:rPr>
      </w:pPr>
    </w:p>
    <w:tbl>
      <w:tblPr>
        <w:tblStyle w:val="4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0"/>
        <w:gridCol w:w="3726"/>
        <w:gridCol w:w="3743"/>
      </w:tblGrid>
      <w:tr w14:paraId="4BA8E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1060" w:type="dxa"/>
            <w:vAlign w:val="center"/>
          </w:tcPr>
          <w:p w14:paraId="676648EF">
            <w:pPr>
              <w:tabs>
                <w:tab w:val="left" w:pos="978"/>
              </w:tabs>
              <w:jc w:val="center"/>
              <w:rPr>
                <w:rFonts w:ascii="宋体" w:hAnsi="宋体" w:cs="宋体"/>
                <w:b/>
                <w:sz w:val="24"/>
              </w:rPr>
            </w:pPr>
            <w:r>
              <w:rPr>
                <w:rFonts w:hint="eastAsia" w:ascii="宋体" w:hAnsi="宋体" w:cs="宋体"/>
                <w:b/>
                <w:sz w:val="24"/>
              </w:rPr>
              <w:t>序号</w:t>
            </w:r>
          </w:p>
        </w:tc>
        <w:tc>
          <w:tcPr>
            <w:tcW w:w="3726" w:type="dxa"/>
            <w:vAlign w:val="center"/>
          </w:tcPr>
          <w:p w14:paraId="77B0FC63">
            <w:pPr>
              <w:tabs>
                <w:tab w:val="left" w:pos="978"/>
              </w:tabs>
              <w:jc w:val="center"/>
              <w:rPr>
                <w:rFonts w:ascii="宋体" w:hAnsi="宋体" w:cs="宋体"/>
                <w:b/>
                <w:sz w:val="24"/>
              </w:rPr>
            </w:pPr>
            <w:r>
              <w:rPr>
                <w:rFonts w:hint="eastAsia" w:ascii="宋体" w:hAnsi="宋体" w:cs="宋体"/>
                <w:b/>
                <w:sz w:val="24"/>
              </w:rPr>
              <w:t>所投合同包</w:t>
            </w:r>
          </w:p>
        </w:tc>
        <w:tc>
          <w:tcPr>
            <w:tcW w:w="3743" w:type="dxa"/>
            <w:vAlign w:val="center"/>
          </w:tcPr>
          <w:p w14:paraId="054E3FD4">
            <w:pPr>
              <w:tabs>
                <w:tab w:val="left" w:pos="978"/>
              </w:tabs>
              <w:jc w:val="center"/>
              <w:rPr>
                <w:rFonts w:ascii="宋体" w:hAnsi="宋体" w:cs="宋体"/>
                <w:b/>
                <w:sz w:val="24"/>
              </w:rPr>
            </w:pPr>
            <w:r>
              <w:rPr>
                <w:rFonts w:hint="eastAsia" w:ascii="宋体" w:hAnsi="宋体" w:cs="宋体"/>
                <w:b/>
                <w:sz w:val="24"/>
              </w:rPr>
              <w:t>提交磋商保证金金额（元）</w:t>
            </w:r>
          </w:p>
        </w:tc>
      </w:tr>
      <w:tr w14:paraId="02DB8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1060" w:type="dxa"/>
            <w:vAlign w:val="center"/>
          </w:tcPr>
          <w:p w14:paraId="14B6F217">
            <w:pPr>
              <w:tabs>
                <w:tab w:val="left" w:pos="978"/>
              </w:tabs>
              <w:jc w:val="center"/>
              <w:rPr>
                <w:rFonts w:ascii="宋体" w:hAnsi="宋体" w:cs="宋体"/>
                <w:sz w:val="24"/>
              </w:rPr>
            </w:pPr>
            <w:r>
              <w:rPr>
                <w:rFonts w:hint="eastAsia" w:ascii="宋体" w:hAnsi="宋体" w:cs="宋体"/>
                <w:sz w:val="24"/>
              </w:rPr>
              <w:t>1</w:t>
            </w:r>
          </w:p>
        </w:tc>
        <w:tc>
          <w:tcPr>
            <w:tcW w:w="3726" w:type="dxa"/>
            <w:vAlign w:val="center"/>
          </w:tcPr>
          <w:p w14:paraId="51D55A46">
            <w:pPr>
              <w:tabs>
                <w:tab w:val="left" w:pos="978"/>
              </w:tabs>
              <w:jc w:val="center"/>
              <w:rPr>
                <w:rFonts w:ascii="宋体" w:hAnsi="宋体" w:cs="宋体"/>
                <w:sz w:val="24"/>
              </w:rPr>
            </w:pPr>
            <w:r>
              <w:rPr>
                <w:rFonts w:hint="eastAsia" w:ascii="宋体" w:hAnsi="宋体" w:cs="宋体"/>
                <w:sz w:val="24"/>
              </w:rPr>
              <w:t>一</w:t>
            </w:r>
          </w:p>
        </w:tc>
        <w:tc>
          <w:tcPr>
            <w:tcW w:w="3743" w:type="dxa"/>
            <w:vAlign w:val="center"/>
          </w:tcPr>
          <w:p w14:paraId="7958BDAB">
            <w:pPr>
              <w:tabs>
                <w:tab w:val="left" w:pos="978"/>
              </w:tabs>
              <w:jc w:val="center"/>
              <w:rPr>
                <w:rFonts w:ascii="宋体" w:hAnsi="宋体" w:cs="宋体"/>
                <w:sz w:val="24"/>
              </w:rPr>
            </w:pPr>
          </w:p>
        </w:tc>
      </w:tr>
      <w:tr w14:paraId="236076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4786" w:type="dxa"/>
            <w:gridSpan w:val="2"/>
            <w:vAlign w:val="center"/>
          </w:tcPr>
          <w:p w14:paraId="142E4E0A">
            <w:pPr>
              <w:tabs>
                <w:tab w:val="left" w:pos="978"/>
              </w:tabs>
              <w:jc w:val="center"/>
              <w:rPr>
                <w:rFonts w:ascii="宋体" w:hAnsi="宋体" w:cs="宋体"/>
                <w:sz w:val="24"/>
              </w:rPr>
            </w:pPr>
            <w:r>
              <w:rPr>
                <w:rFonts w:hint="eastAsia" w:ascii="宋体" w:hAnsi="宋体" w:cs="宋体"/>
                <w:sz w:val="24"/>
              </w:rPr>
              <w:t>合计</w:t>
            </w:r>
          </w:p>
        </w:tc>
        <w:tc>
          <w:tcPr>
            <w:tcW w:w="3743" w:type="dxa"/>
            <w:vAlign w:val="center"/>
          </w:tcPr>
          <w:p w14:paraId="4FF8113B">
            <w:pPr>
              <w:tabs>
                <w:tab w:val="left" w:pos="978"/>
              </w:tabs>
              <w:jc w:val="center"/>
              <w:rPr>
                <w:rFonts w:ascii="宋体" w:hAnsi="宋体" w:cs="宋体"/>
                <w:sz w:val="24"/>
              </w:rPr>
            </w:pPr>
          </w:p>
        </w:tc>
      </w:tr>
      <w:tr w14:paraId="32B065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9" w:hRule="atLeast"/>
        </w:trPr>
        <w:tc>
          <w:tcPr>
            <w:tcW w:w="8529" w:type="dxa"/>
            <w:gridSpan w:val="3"/>
            <w:vAlign w:val="center"/>
          </w:tcPr>
          <w:p w14:paraId="2B945603">
            <w:pPr>
              <w:tabs>
                <w:tab w:val="left" w:pos="978"/>
              </w:tabs>
              <w:spacing w:line="360" w:lineRule="auto"/>
              <w:jc w:val="center"/>
              <w:rPr>
                <w:rFonts w:ascii="宋体" w:hAnsi="宋体" w:cs="宋体"/>
                <w:sz w:val="24"/>
              </w:rPr>
            </w:pPr>
            <w:r>
              <w:rPr>
                <w:rFonts w:hint="eastAsia" w:ascii="宋体" w:hAnsi="宋体" w:cs="宋体"/>
                <w:sz w:val="24"/>
              </w:rPr>
              <w:t>磋商保证金凭证复印件粘贴处</w:t>
            </w:r>
          </w:p>
        </w:tc>
      </w:tr>
    </w:tbl>
    <w:p w14:paraId="116A108B">
      <w:pPr>
        <w:tabs>
          <w:tab w:val="left" w:pos="978"/>
        </w:tabs>
        <w:spacing w:line="360" w:lineRule="auto"/>
        <w:rPr>
          <w:rFonts w:ascii="宋体" w:hAnsi="宋体" w:cs="宋体"/>
          <w:b/>
          <w:sz w:val="24"/>
          <w:szCs w:val="24"/>
          <w:u w:val="single"/>
        </w:rPr>
      </w:pPr>
    </w:p>
    <w:p w14:paraId="059A05A1">
      <w:pPr>
        <w:tabs>
          <w:tab w:val="left" w:pos="978"/>
        </w:tabs>
        <w:spacing w:line="360" w:lineRule="auto"/>
        <w:rPr>
          <w:rFonts w:ascii="宋体" w:hAnsi="宋体" w:cs="宋体"/>
          <w:sz w:val="24"/>
          <w:szCs w:val="24"/>
        </w:rPr>
      </w:pPr>
    </w:p>
    <w:p w14:paraId="76DF3E87">
      <w:pPr>
        <w:pStyle w:val="44"/>
      </w:pPr>
      <w:r>
        <w:rPr>
          <w:rFonts w:hint="eastAsia"/>
        </w:rPr>
        <w:t>供应商：</w:t>
      </w:r>
      <w:r>
        <w:rPr>
          <w:rFonts w:hint="eastAsia"/>
          <w:u w:val="single"/>
        </w:rPr>
        <w:t>（全称并加盖单位公章）</w:t>
      </w:r>
    </w:p>
    <w:p w14:paraId="7F01C091">
      <w:pPr>
        <w:pStyle w:val="44"/>
      </w:pPr>
      <w:r>
        <w:rPr>
          <w:rFonts w:hint="eastAsia"/>
        </w:rPr>
        <w:t>供应商代表签字：</w:t>
      </w:r>
      <w:r>
        <w:rPr>
          <w:rFonts w:hint="eastAsia"/>
          <w:u w:val="single"/>
        </w:rPr>
        <w:t>         </w:t>
      </w:r>
    </w:p>
    <w:p w14:paraId="0CC6B8E5">
      <w:pPr>
        <w:spacing w:line="360" w:lineRule="auto"/>
        <w:rPr>
          <w:rFonts w:ascii="宋体" w:hAnsi="宋体" w:cs="宋体"/>
          <w:sz w:val="24"/>
          <w:u w:val="single"/>
        </w:rPr>
      </w:pPr>
      <w:r>
        <w:rPr>
          <w:rFonts w:hint="eastAsia" w:ascii="宋体" w:hAnsi="宋体" w:cs="宋体"/>
          <w:sz w:val="24"/>
          <w:szCs w:val="24"/>
        </w:rPr>
        <w:t>日期：</w:t>
      </w:r>
      <w:r>
        <w:rPr>
          <w:rFonts w:hint="eastAsia" w:ascii="宋体" w:hAnsi="宋体" w:cs="宋体"/>
          <w:sz w:val="24"/>
          <w:szCs w:val="24"/>
          <w:u w:val="single"/>
        </w:rPr>
        <w:t>    </w:t>
      </w:r>
      <w:r>
        <w:rPr>
          <w:rFonts w:hint="eastAsia" w:ascii="宋体" w:hAnsi="宋体" w:cs="宋体"/>
          <w:sz w:val="24"/>
          <w:szCs w:val="24"/>
        </w:rPr>
        <w:t>年</w:t>
      </w:r>
      <w:r>
        <w:rPr>
          <w:rFonts w:hint="eastAsia" w:ascii="宋体" w:hAnsi="宋体" w:cs="宋体"/>
          <w:sz w:val="24"/>
          <w:szCs w:val="24"/>
          <w:u w:val="single"/>
        </w:rPr>
        <w:t>   </w:t>
      </w:r>
      <w:r>
        <w:rPr>
          <w:rFonts w:hint="eastAsia" w:ascii="宋体" w:hAnsi="宋体" w:cs="宋体"/>
          <w:sz w:val="24"/>
          <w:szCs w:val="24"/>
        </w:rPr>
        <w:t>月</w:t>
      </w:r>
      <w:r>
        <w:rPr>
          <w:rFonts w:hint="eastAsia" w:ascii="宋体" w:hAnsi="宋体" w:cs="宋体"/>
          <w:sz w:val="24"/>
          <w:szCs w:val="24"/>
          <w:u w:val="single"/>
        </w:rPr>
        <w:t>   </w:t>
      </w:r>
      <w:r>
        <w:rPr>
          <w:rFonts w:hint="eastAsia" w:ascii="宋体" w:hAnsi="宋体" w:cs="宋体"/>
          <w:sz w:val="24"/>
          <w:szCs w:val="24"/>
        </w:rPr>
        <w:t>日</w:t>
      </w:r>
    </w:p>
    <w:p w14:paraId="3A379759">
      <w:pPr>
        <w:spacing w:line="360" w:lineRule="auto"/>
        <w:rPr>
          <w:rFonts w:ascii="宋体" w:hAnsi="宋体" w:cs="宋体"/>
          <w:sz w:val="24"/>
          <w:u w:val="single"/>
        </w:rPr>
      </w:pPr>
    </w:p>
    <w:p w14:paraId="5BF7D011">
      <w:pPr>
        <w:spacing w:line="360" w:lineRule="auto"/>
        <w:ind w:right="1920"/>
        <w:jc w:val="left"/>
        <w:outlineLvl w:val="0"/>
        <w:rPr>
          <w:rFonts w:ascii="宋体" w:hAnsi="宋体" w:cs="宋体"/>
          <w:sz w:val="24"/>
        </w:rPr>
      </w:pPr>
      <w:r>
        <w:rPr>
          <w:rFonts w:hint="eastAsia" w:ascii="宋体" w:hAnsi="宋体" w:cs="宋体"/>
          <w:sz w:val="24"/>
          <w:u w:val="single"/>
        </w:rPr>
        <w:br w:type="page"/>
      </w:r>
      <w:bookmarkStart w:id="228" w:name="_Toc7122"/>
      <w:r>
        <w:rPr>
          <w:rFonts w:hint="eastAsia" w:ascii="宋体" w:hAnsi="宋体" w:cs="宋体"/>
          <w:b/>
          <w:bCs/>
          <w:szCs w:val="21"/>
        </w:rPr>
        <w:t>附件</w:t>
      </w:r>
      <w:bookmarkEnd w:id="228"/>
      <w:r>
        <w:rPr>
          <w:rFonts w:hint="eastAsia" w:ascii="宋体" w:hAnsi="宋体" w:cs="宋体"/>
          <w:b/>
          <w:bCs/>
          <w:szCs w:val="21"/>
        </w:rPr>
        <w:t>9</w:t>
      </w:r>
    </w:p>
    <w:p w14:paraId="45B340D5">
      <w:pPr>
        <w:spacing w:line="360" w:lineRule="auto"/>
        <w:jc w:val="center"/>
        <w:rPr>
          <w:rFonts w:ascii="宋体" w:hAnsi="宋体" w:cs="宋体"/>
          <w:b/>
          <w:sz w:val="32"/>
          <w:szCs w:val="32"/>
        </w:rPr>
      </w:pPr>
      <w:bookmarkStart w:id="229" w:name="_Toc32092_WPSOffice_Level2"/>
      <w:bookmarkStart w:id="230" w:name="_Toc5674_WPSOffice_Level2"/>
      <w:r>
        <w:rPr>
          <w:rFonts w:hint="eastAsia" w:ascii="宋体" w:hAnsi="宋体" w:cs="宋体"/>
          <w:b/>
          <w:sz w:val="32"/>
          <w:szCs w:val="32"/>
        </w:rPr>
        <w:t>退还磋商保证金申请函</w:t>
      </w:r>
      <w:bookmarkEnd w:id="229"/>
      <w:bookmarkEnd w:id="230"/>
    </w:p>
    <w:p w14:paraId="7BB29A61">
      <w:pPr>
        <w:tabs>
          <w:tab w:val="left" w:pos="978"/>
        </w:tabs>
        <w:spacing w:line="360" w:lineRule="auto"/>
        <w:rPr>
          <w:rFonts w:ascii="宋体" w:hAnsi="宋体" w:cs="宋体"/>
          <w:sz w:val="24"/>
        </w:rPr>
      </w:pPr>
    </w:p>
    <w:p w14:paraId="2BC06F38">
      <w:pPr>
        <w:tabs>
          <w:tab w:val="left" w:pos="978"/>
        </w:tabs>
        <w:spacing w:line="360" w:lineRule="auto"/>
        <w:rPr>
          <w:rFonts w:ascii="宋体" w:hAnsi="宋体" w:cs="宋体"/>
          <w:sz w:val="24"/>
        </w:rPr>
      </w:pPr>
      <w:r>
        <w:rPr>
          <w:rFonts w:hint="eastAsia" w:ascii="宋体" w:hAnsi="宋体" w:cs="宋体"/>
          <w:sz w:val="24"/>
        </w:rPr>
        <w:t>致：福建优胜招标项目管理集团有限公司</w:t>
      </w:r>
    </w:p>
    <w:p w14:paraId="1A489BE0">
      <w:pPr>
        <w:tabs>
          <w:tab w:val="left" w:pos="978"/>
        </w:tabs>
        <w:spacing w:line="360" w:lineRule="auto"/>
        <w:rPr>
          <w:rFonts w:ascii="宋体" w:hAnsi="宋体" w:cs="宋体"/>
          <w:sz w:val="24"/>
        </w:rPr>
      </w:pPr>
      <w:r>
        <w:rPr>
          <w:rFonts w:hint="eastAsia" w:ascii="宋体" w:hAnsi="宋体" w:cs="宋体"/>
          <w:sz w:val="24"/>
        </w:rPr>
        <w:t>我方参与贵方组织的“</w:t>
      </w:r>
      <w:r>
        <w:rPr>
          <w:rFonts w:hint="eastAsia" w:ascii="宋体" w:hAnsi="宋体" w:cs="宋体"/>
          <w:sz w:val="24"/>
          <w:u w:val="single"/>
        </w:rPr>
        <w:t xml:space="preserve">       项目名称     </w:t>
      </w:r>
      <w:r>
        <w:rPr>
          <w:rFonts w:hint="eastAsia" w:ascii="宋体" w:hAnsi="宋体" w:cs="宋体"/>
          <w:sz w:val="24"/>
        </w:rPr>
        <w:t>”（项目编号：）项目合同包的报价，我方以(同城转账、异城电汇、现金银行缴款)形式向贵方账户缴纳磋商保证金（大写元）（小写￥元）,因未成交，请贵公司将相关款项结清后给予办理退还，并退还到我方以下账户中：</w:t>
      </w:r>
    </w:p>
    <w:p w14:paraId="62354A17">
      <w:pPr>
        <w:tabs>
          <w:tab w:val="left" w:pos="978"/>
        </w:tabs>
        <w:spacing w:line="360" w:lineRule="auto"/>
        <w:ind w:left="706" w:hanging="705" w:hangingChars="294"/>
        <w:rPr>
          <w:rFonts w:ascii="宋体" w:hAnsi="宋体" w:cs="宋体"/>
          <w:sz w:val="24"/>
        </w:rPr>
      </w:pPr>
    </w:p>
    <w:p w14:paraId="3E3E0444">
      <w:pPr>
        <w:tabs>
          <w:tab w:val="left" w:pos="978"/>
        </w:tabs>
        <w:spacing w:line="480" w:lineRule="auto"/>
        <w:rPr>
          <w:rFonts w:ascii="宋体" w:hAnsi="宋体" w:cs="宋体"/>
          <w:sz w:val="24"/>
          <w:u w:val="single"/>
        </w:rPr>
      </w:pPr>
      <w:r>
        <w:rPr>
          <w:rFonts w:hint="eastAsia" w:ascii="宋体" w:hAnsi="宋体" w:cs="宋体"/>
          <w:sz w:val="24"/>
          <w:szCs w:val="22"/>
        </w:rPr>
        <w:t>供应商</w:t>
      </w:r>
      <w:r>
        <w:rPr>
          <w:rFonts w:hint="eastAsia" w:ascii="宋体" w:hAnsi="宋体" w:cs="宋体"/>
          <w:sz w:val="24"/>
        </w:rPr>
        <w:t>公司全称：</w:t>
      </w:r>
    </w:p>
    <w:p w14:paraId="07379736">
      <w:pPr>
        <w:tabs>
          <w:tab w:val="left" w:pos="978"/>
        </w:tabs>
        <w:spacing w:line="480" w:lineRule="auto"/>
        <w:rPr>
          <w:rFonts w:ascii="宋体" w:hAnsi="宋体" w:cs="宋体"/>
          <w:sz w:val="24"/>
        </w:rPr>
      </w:pPr>
      <w:r>
        <w:rPr>
          <w:rFonts w:hint="eastAsia" w:ascii="宋体" w:hAnsi="宋体" w:cs="宋体"/>
          <w:sz w:val="24"/>
        </w:rPr>
        <w:t>开户行全称：</w:t>
      </w:r>
    </w:p>
    <w:p w14:paraId="6F280FD6">
      <w:pPr>
        <w:tabs>
          <w:tab w:val="left" w:pos="978"/>
        </w:tabs>
        <w:spacing w:line="480" w:lineRule="auto"/>
        <w:rPr>
          <w:rFonts w:ascii="宋体" w:hAnsi="宋体" w:cs="宋体"/>
          <w:sz w:val="24"/>
        </w:rPr>
      </w:pPr>
      <w:r>
        <w:rPr>
          <w:rFonts w:hint="eastAsia" w:ascii="宋体" w:hAnsi="宋体" w:cs="宋体"/>
          <w:sz w:val="24"/>
        </w:rPr>
        <w:t>账号：</w:t>
      </w:r>
    </w:p>
    <w:p w14:paraId="7B00E98F">
      <w:pPr>
        <w:tabs>
          <w:tab w:val="left" w:pos="978"/>
        </w:tabs>
        <w:spacing w:line="360" w:lineRule="auto"/>
        <w:rPr>
          <w:rFonts w:ascii="宋体" w:hAnsi="宋体" w:cs="宋体"/>
          <w:b/>
          <w:sz w:val="24"/>
        </w:rPr>
      </w:pPr>
    </w:p>
    <w:p w14:paraId="6DD3FFA2">
      <w:pPr>
        <w:tabs>
          <w:tab w:val="left" w:pos="978"/>
        </w:tabs>
        <w:spacing w:line="360" w:lineRule="auto"/>
        <w:rPr>
          <w:rFonts w:ascii="宋体" w:hAnsi="宋体" w:cs="宋体"/>
          <w:b/>
          <w:sz w:val="24"/>
        </w:rPr>
      </w:pPr>
    </w:p>
    <w:p w14:paraId="29928E06">
      <w:pPr>
        <w:tabs>
          <w:tab w:val="left" w:pos="978"/>
        </w:tabs>
        <w:spacing w:line="360" w:lineRule="auto"/>
        <w:rPr>
          <w:rFonts w:ascii="宋体" w:hAnsi="宋体" w:cs="宋体"/>
        </w:rPr>
      </w:pPr>
    </w:p>
    <w:p w14:paraId="1658E336">
      <w:pPr>
        <w:pStyle w:val="44"/>
      </w:pPr>
      <w:r>
        <w:rPr>
          <w:rFonts w:hint="eastAsia"/>
        </w:rPr>
        <w:t>供应商：</w:t>
      </w:r>
      <w:r>
        <w:rPr>
          <w:rFonts w:hint="eastAsia"/>
          <w:u w:val="single"/>
        </w:rPr>
        <w:t>（全称并加盖单位公章）</w:t>
      </w:r>
    </w:p>
    <w:p w14:paraId="58133E7E">
      <w:pPr>
        <w:pStyle w:val="44"/>
      </w:pPr>
      <w:r>
        <w:rPr>
          <w:rFonts w:hint="eastAsia"/>
        </w:rPr>
        <w:t>供应商代表签字：</w:t>
      </w:r>
      <w:r>
        <w:rPr>
          <w:rFonts w:hint="eastAsia"/>
          <w:u w:val="single"/>
        </w:rPr>
        <w:t>         </w:t>
      </w:r>
    </w:p>
    <w:p w14:paraId="3C7C9F63">
      <w:pPr>
        <w:rPr>
          <w:rFonts w:ascii="宋体" w:hAnsi="宋体" w:cs="宋体"/>
          <w:sz w:val="24"/>
          <w:szCs w:val="24"/>
          <w:u w:val="single"/>
        </w:rPr>
      </w:pPr>
      <w:r>
        <w:rPr>
          <w:rFonts w:hint="eastAsia" w:ascii="宋体" w:hAnsi="宋体" w:cs="宋体"/>
          <w:sz w:val="24"/>
          <w:szCs w:val="24"/>
        </w:rPr>
        <w:t>日期：</w:t>
      </w:r>
      <w:r>
        <w:rPr>
          <w:rFonts w:hint="eastAsia" w:ascii="宋体" w:hAnsi="宋体" w:cs="宋体"/>
          <w:sz w:val="24"/>
          <w:szCs w:val="24"/>
          <w:u w:val="single"/>
        </w:rPr>
        <w:t>    </w:t>
      </w:r>
      <w:r>
        <w:rPr>
          <w:rFonts w:hint="eastAsia" w:ascii="宋体" w:hAnsi="宋体" w:cs="宋体"/>
          <w:sz w:val="24"/>
          <w:szCs w:val="24"/>
        </w:rPr>
        <w:t>年</w:t>
      </w:r>
      <w:r>
        <w:rPr>
          <w:rFonts w:hint="eastAsia" w:ascii="宋体" w:hAnsi="宋体" w:cs="宋体"/>
          <w:sz w:val="24"/>
          <w:szCs w:val="24"/>
          <w:u w:val="single"/>
        </w:rPr>
        <w:t>   </w:t>
      </w:r>
      <w:r>
        <w:rPr>
          <w:rFonts w:hint="eastAsia" w:ascii="宋体" w:hAnsi="宋体" w:cs="宋体"/>
          <w:sz w:val="24"/>
          <w:szCs w:val="24"/>
        </w:rPr>
        <w:t>月</w:t>
      </w:r>
      <w:r>
        <w:rPr>
          <w:rFonts w:hint="eastAsia" w:ascii="宋体" w:hAnsi="宋体" w:cs="宋体"/>
          <w:sz w:val="24"/>
          <w:szCs w:val="24"/>
          <w:u w:val="single"/>
        </w:rPr>
        <w:t>   </w:t>
      </w:r>
      <w:r>
        <w:rPr>
          <w:rFonts w:hint="eastAsia" w:ascii="宋体" w:hAnsi="宋体" w:cs="宋体"/>
          <w:sz w:val="24"/>
          <w:szCs w:val="24"/>
        </w:rPr>
        <w:t>日</w:t>
      </w:r>
    </w:p>
    <w:p w14:paraId="24144B8C">
      <w:pPr>
        <w:rPr>
          <w:rFonts w:ascii="宋体" w:hAnsi="宋体" w:cs="宋体"/>
          <w:sz w:val="24"/>
          <w:u w:val="single"/>
        </w:rPr>
      </w:pPr>
    </w:p>
    <w:p w14:paraId="4CB0BF5D">
      <w:pPr>
        <w:rPr>
          <w:rFonts w:ascii="宋体" w:hAnsi="宋体" w:cs="宋体"/>
          <w:sz w:val="24"/>
          <w:u w:val="single"/>
        </w:rPr>
      </w:pPr>
    </w:p>
    <w:p w14:paraId="3B966ADF">
      <w:pPr>
        <w:rPr>
          <w:rFonts w:ascii="宋体" w:hAnsi="宋体" w:cs="宋体"/>
          <w:sz w:val="24"/>
          <w:u w:val="single"/>
        </w:rPr>
      </w:pPr>
    </w:p>
    <w:p w14:paraId="11C37E8D">
      <w:pPr>
        <w:rPr>
          <w:rFonts w:ascii="宋体" w:hAnsi="宋体" w:cs="宋体"/>
          <w:sz w:val="24"/>
          <w:u w:val="single"/>
        </w:rPr>
      </w:pPr>
    </w:p>
    <w:p w14:paraId="451ADDD5">
      <w:pPr>
        <w:tabs>
          <w:tab w:val="left" w:pos="900"/>
        </w:tabs>
        <w:spacing w:line="620" w:lineRule="exact"/>
        <w:outlineLvl w:val="0"/>
        <w:rPr>
          <w:rFonts w:ascii="宋体" w:hAnsi="宋体" w:cs="宋体"/>
          <w:b/>
          <w:sz w:val="32"/>
          <w:szCs w:val="32"/>
        </w:rPr>
      </w:pPr>
      <w:r>
        <w:rPr>
          <w:rFonts w:hint="eastAsia" w:ascii="宋体" w:hAnsi="宋体" w:cs="宋体"/>
        </w:rPr>
        <w:br w:type="page"/>
      </w:r>
      <w:bookmarkStart w:id="231" w:name="_Toc27501_WPSOffice_Level2"/>
      <w:bookmarkStart w:id="232" w:name="_Toc24219_WPSOffice_Level2"/>
      <w:bookmarkStart w:id="233" w:name="_Toc29285"/>
      <w:r>
        <w:rPr>
          <w:rFonts w:hint="eastAsia" w:ascii="宋体" w:hAnsi="宋体" w:cs="宋体"/>
          <w:b/>
          <w:bCs/>
          <w:szCs w:val="21"/>
        </w:rPr>
        <w:t xml:space="preserve">附件10                   </w:t>
      </w:r>
      <w:r>
        <w:rPr>
          <w:rFonts w:hint="eastAsia" w:ascii="宋体" w:hAnsi="宋体" w:cs="宋体"/>
          <w:b/>
          <w:sz w:val="32"/>
          <w:szCs w:val="32"/>
        </w:rPr>
        <w:t>供应商应交的其他资料</w:t>
      </w:r>
      <w:bookmarkEnd w:id="231"/>
      <w:bookmarkEnd w:id="232"/>
      <w:bookmarkEnd w:id="233"/>
    </w:p>
    <w:p w14:paraId="7D153946">
      <w:pPr>
        <w:tabs>
          <w:tab w:val="left" w:pos="900"/>
        </w:tabs>
        <w:spacing w:line="500" w:lineRule="exact"/>
        <w:rPr>
          <w:rFonts w:ascii="宋体" w:hAnsi="宋体" w:cs="宋体"/>
          <w:szCs w:val="21"/>
        </w:rPr>
      </w:pPr>
    </w:p>
    <w:p w14:paraId="6D4EE5C3">
      <w:pPr>
        <w:pStyle w:val="44"/>
        <w:widowControl/>
        <w:spacing w:before="75" w:after="75" w:line="435" w:lineRule="atLeast"/>
      </w:pPr>
      <w:r>
        <w:rPr>
          <w:rFonts w:hint="eastAsia"/>
        </w:rPr>
        <w:t>说明：</w:t>
      </w:r>
    </w:p>
    <w:p w14:paraId="5E66DCBC">
      <w:pPr>
        <w:pStyle w:val="44"/>
        <w:widowControl/>
        <w:spacing w:before="75" w:after="75" w:line="435" w:lineRule="atLeast"/>
        <w:ind w:firstLine="480"/>
      </w:pPr>
      <w:r>
        <w:rPr>
          <w:rFonts w:hint="eastAsia"/>
        </w:rPr>
        <w:t>1、采购人或采购代理机构可以根据项目的特点和需要，在磋商文件中对要求作为响应文件组成部分的其他内容进行具体规定或附表格式，供应商应按照磋商文件要求提供相关承诺及材料，并加盖供应商单位公章。</w:t>
      </w:r>
    </w:p>
    <w:p w14:paraId="6881B18E">
      <w:pPr>
        <w:pStyle w:val="44"/>
        <w:widowControl/>
        <w:spacing w:before="75" w:after="75" w:line="435" w:lineRule="atLeast"/>
        <w:ind w:firstLine="480"/>
      </w:pPr>
      <w:r>
        <w:rPr>
          <w:rFonts w:hint="eastAsia"/>
        </w:rPr>
        <w:t>2、供应商根据自身实际情况编写有关资料包括如供应商单位简介、竞争性磋商文件要求提供或供应商自己认为体现自身优势，需要补充说明的其他资料，格式自拟。</w:t>
      </w:r>
    </w:p>
    <w:p w14:paraId="013791A5">
      <w:pPr>
        <w:spacing w:line="560" w:lineRule="exact"/>
        <w:rPr>
          <w:rFonts w:ascii="宋体" w:hAnsi="宋体" w:cs="宋体"/>
          <w:sz w:val="32"/>
          <w:szCs w:val="32"/>
        </w:rPr>
      </w:pPr>
    </w:p>
    <w:p w14:paraId="2640E72A">
      <w:pPr>
        <w:pStyle w:val="64"/>
        <w:rPr>
          <w:rFonts w:ascii="宋体" w:hAnsi="宋体" w:eastAsia="宋体"/>
          <w:b/>
          <w:bCs/>
          <w:szCs w:val="21"/>
        </w:rPr>
      </w:pPr>
    </w:p>
    <w:sectPr>
      <w:pgSz w:w="11907" w:h="16840"/>
      <w:pgMar w:top="1440" w:right="1559" w:bottom="1440" w:left="1797" w:header="794" w:footer="794"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CG Times">
    <w:altName w:val="Times New Roman"/>
    <w:panose1 w:val="00000000000000000000"/>
    <w:charset w:val="00"/>
    <w:family w:val="roman"/>
    <w:pitch w:val="default"/>
    <w:sig w:usb0="00000000" w:usb1="00000000" w:usb2="00000000" w:usb3="00000000" w:csb0="00040001" w:csb1="00000000"/>
  </w:font>
  <w:font w:name="ˎ̥">
    <w:altName w:val="Times New Roman"/>
    <w:panose1 w:val="00000000000000000000"/>
    <w:charset w:val="00"/>
    <w:family w:val="roman"/>
    <w:pitch w:val="default"/>
    <w:sig w:usb0="00000000" w:usb1="00000000" w:usb2="00000000" w:usb3="00000000" w:csb0="00040001"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华文细黑">
    <w:altName w:val="微软雅黑"/>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ACF3C50" w:usb2="00000016" w:usb3="00000000" w:csb0="0004001F" w:csb1="00000000"/>
  </w:font>
  <w:font w:name="Helvetica">
    <w:altName w:val="Arial"/>
    <w:panose1 w:val="020B0604020202020204"/>
    <w:charset w:val="00"/>
    <w:family w:val="swiss"/>
    <w:pitch w:val="default"/>
    <w:sig w:usb0="00000000" w:usb1="00000000" w:usb2="00000000" w:usb3="00000000" w:csb0="00000001" w:csb1="00000000"/>
  </w:font>
  <w:font w:name="Arial Unicode MS">
    <w:altName w:val="宋体"/>
    <w:panose1 w:val="020B0604020202020204"/>
    <w:charset w:val="86"/>
    <w:family w:val="swiss"/>
    <w:pitch w:val="default"/>
    <w:sig w:usb0="00000000" w:usb1="00000000" w:usb2="0000003F" w:usb3="00000000" w:csb0="003F01FF" w:csb1="00000000"/>
  </w:font>
  <w:font w:name="Arial Narrow">
    <w:altName w:val="Arial"/>
    <w:panose1 w:val="020B0606020202030204"/>
    <w:charset w:val="00"/>
    <w:family w:val="swiss"/>
    <w:pitch w:val="default"/>
    <w:sig w:usb0="00000000" w:usb1="00000000" w:usb2="00000000" w:usb3="00000000" w:csb0="0000009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仿宋简体">
    <w:altName w:val="微软雅黑"/>
    <w:panose1 w:val="00000000000000000000"/>
    <w:charset w:val="86"/>
    <w:family w:val="auto"/>
    <w:pitch w:val="default"/>
    <w:sig w:usb0="00000000" w:usb1="00000000"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573704">
    <w:pPr>
      <w:pStyle w:val="32"/>
      <w:jc w:val="center"/>
    </w:pPr>
    <w:r>
      <w:pict>
        <v:shape id="文本框 5" o:spid="_x0000_s4097" o:spt="202" type="#_x0000_t202" style="position:absolute;left:0pt;margin-top:0pt;height:10.35pt;width:4.55pt;mso-position-horizontal:center;mso-position-horizontal-relative:margin;mso-wrap-style:none;z-index:251661312;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M+L3UTQAAAAAgEAAA8AAAAAAAAAAQAgAAAAIgAAAGRycy9kb3du&#10;cmV2LnhtbFBLAQIUABQAAAAIAIdO4kCYvC7hzgEAAJIDAAAOAAAAAAAAAAEAIAAAAB8BAABkcnMv&#10;ZTJvRG9jLnhtbFBLBQYAAAAABgAGAFkBAABfBQAAAAA=&#10;">
          <v:path/>
          <v:fill on="f" focussize="0,0"/>
          <v:stroke on="f" joinstyle="miter"/>
          <v:imagedata o:title=""/>
          <o:lock v:ext="edit"/>
          <v:textbox inset="0mm,0mm,0mm,0mm" style="mso-fit-shape-to-text:t;">
            <w:txbxContent>
              <w:p w14:paraId="7D73B44B">
                <w:pPr>
                  <w:pStyle w:val="32"/>
                </w:pPr>
                <w:r>
                  <w:fldChar w:fldCharType="begin"/>
                </w:r>
                <w:r>
                  <w:instrText xml:space="preserve"> PAGE  \* MERGEFORMAT </w:instrText>
                </w:r>
                <w:r>
                  <w:fldChar w:fldCharType="separate"/>
                </w:r>
                <w:r>
                  <w:t>2</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F36D8F">
    <w:pPr>
      <w:pStyle w:val="32"/>
      <w:jc w:val="center"/>
    </w:pPr>
    <w:r>
      <w:pict>
        <v:shape id="文本框 3" o:spid="_x0000_s4098" o:spt="202" type="#_x0000_t202" style="position:absolute;left:0pt;margin-top:0pt;height:10.35pt;width:4.55pt;mso-position-horizontal:center;mso-position-horizontal-relative:margin;mso-wrap-style:none;z-index:251660288;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Pi91E0AAAAAIBAAAPAAAAAAAAAAEAIAAAACIAAABkcnMvZG93bnJl&#10;di54bWxQSwECFAAUAAAACACHTuJAFWvlhMwBAACTAwAADgAAAAAAAAABACAAAAAfAQAAZHJzL2Uy&#10;b0RvYy54bWxQSwUGAAAAAAYABgBZAQAAXQUAAAAA&#10;">
          <v:path/>
          <v:fill on="f" focussize="0,0"/>
          <v:stroke on="f" joinstyle="miter"/>
          <v:imagedata o:title=""/>
          <o:lock v:ext="edit"/>
          <v:textbox inset="0mm,0mm,0mm,0mm" style="mso-fit-shape-to-text:t;">
            <w:txbxContent>
              <w:p w14:paraId="2BA2F6BC">
                <w:pPr>
                  <w:pStyle w:val="32"/>
                  <w:jc w:val="cente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7D294F">
    <w:pPr>
      <w:pStyle w:val="32"/>
      <w:jc w:val="center"/>
    </w:pPr>
    <w:r>
      <w:pict>
        <v:shape id="_x0000_s4099" o:spid="_x0000_s4099" o:spt="202" type="#_x0000_t202" style="position:absolute;left:0pt;margin-top:0pt;height:10.35pt;width:4.55pt;mso-position-horizontal:center;mso-position-horizontal-relative:margin;mso-wrap-style:none;z-index:251659264;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M+L3UTQAAAAAgEAAA8AAAAAAAAAAQAgAAAAIgAAAGRycy9kb3du&#10;cmV2LnhtbFBLAQIUABQAAAAIAIdO4kC1VKOEzgEAAJIDAAAOAAAAAAAAAAEAIAAAAB8BAABkcnMv&#10;ZTJvRG9jLnhtbFBLBQYAAAAABgAGAFkBAABfBQAAAAA=&#10;">
          <v:path/>
          <v:fill on="f" focussize="0,0"/>
          <v:stroke on="f" joinstyle="miter"/>
          <v:imagedata o:title=""/>
          <o:lock v:ext="edit"/>
          <v:textbox inset="0mm,0mm,0mm,0mm" style="mso-fit-shape-to-text:t;">
            <w:txbxContent>
              <w:p w14:paraId="694B77E6">
                <w:pPr>
                  <w:pStyle w:val="32"/>
                  <w:jc w:val="center"/>
                </w:pPr>
                <w:r>
                  <w:rPr>
                    <w:rFonts w:hint="eastAsia"/>
                  </w:rPr>
                  <w:fldChar w:fldCharType="begin"/>
                </w:r>
                <w:r>
                  <w:rPr>
                    <w:rFonts w:hint="eastAsia"/>
                  </w:rPr>
                  <w:instrText xml:space="preserve"> PAGE  \* MERGEFORMAT </w:instrText>
                </w:r>
                <w:r>
                  <w:rPr>
                    <w:rFonts w:hint="eastAsia"/>
                  </w:rPr>
                  <w:fldChar w:fldCharType="separate"/>
                </w:r>
                <w:r>
                  <w:t>31</w:t>
                </w:r>
                <w:r>
                  <w:rPr>
                    <w:rFonts w:hint="eastAsia"/>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AD660E">
    <w:pPr>
      <w:pStyle w:val="34"/>
      <w:jc w:val="both"/>
      <w:rPr>
        <w:rFonts w:ascii="宋体" w:hAnsi="宋体"/>
        <w:sz w:val="21"/>
        <w:szCs w:val="21"/>
      </w:rPr>
    </w:pPr>
    <w:r>
      <w:rPr>
        <w:rFonts w:hint="eastAsia" w:ascii="宋体" w:hAnsi="宋体"/>
        <w:sz w:val="21"/>
        <w:szCs w:val="21"/>
      </w:rPr>
      <w:t xml:space="preserve">竞争性磋商文件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9A3AA0">
    <w:pPr>
      <w:pStyle w:val="34"/>
      <w:jc w:val="left"/>
      <w:rPr>
        <w:rFonts w:ascii="宋体" w:hAnsi="宋体"/>
        <w:sz w:val="21"/>
        <w:szCs w:val="21"/>
      </w:rPr>
    </w:pPr>
    <w:r>
      <w:rPr>
        <w:rFonts w:hint="eastAsia" w:ascii="宋体" w:hAnsi="宋体"/>
        <w:sz w:val="21"/>
        <w:szCs w:val="21"/>
      </w:rPr>
      <w:t>竞争性磋商文件                                                   FJYS2025-448</w:t>
    </w:r>
  </w:p>
  <w:p w14:paraId="0D05C6C0">
    <w:pPr>
      <w:pStyle w:val="34"/>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numPicBullet w:numPicBulletId="0">
    <w:pict>
      <v:shape id="0" type="#_x0000_t75" style="width:15px;height:15px" o:bullet="t">
        <v:imagedata r:id="rId1" o:title=""/>
      </v:shape>
    </w:pict>
  </w:numPicBullet>
  <w:numPicBullet w:numPicBulletId="1">
    <w:pict>
      <v:shape id="1" type="#_x0000_t75" style="width:15px;height:15px" o:bullet="t">
        <v:imagedata r:id="rId2" o:title=""/>
      </v:shape>
    </w:pict>
  </w:numPicBullet>
  <w:numPicBullet w:numPicBulletId="2">
    <w:pict>
      <v:shape id="2" type="#_x0000_t75" style="width:15px;height:15px" o:bullet="t">
        <v:imagedata r:id="rId3" o:title=""/>
      </v:shape>
    </w:pict>
  </w:numPicBullet>
  <w:abstractNum w:abstractNumId="0">
    <w:nsid w:val="866FD032"/>
    <w:multiLevelType w:val="singleLevel"/>
    <w:tmpl w:val="866FD032"/>
    <w:lvl w:ilvl="0" w:tentative="0">
      <w:start w:val="1"/>
      <w:numFmt w:val="decimal"/>
      <w:suff w:val="nothing"/>
      <w:lvlText w:val="%1、"/>
      <w:lvlJc w:val="left"/>
    </w:lvl>
  </w:abstractNum>
  <w:abstractNum w:abstractNumId="1">
    <w:nsid w:val="8D75DCC8"/>
    <w:multiLevelType w:val="singleLevel"/>
    <w:tmpl w:val="8D75DCC8"/>
    <w:lvl w:ilvl="0" w:tentative="0">
      <w:start w:val="1"/>
      <w:numFmt w:val="decimal"/>
      <w:lvlText w:val="%1."/>
      <w:lvlJc w:val="left"/>
      <w:pPr>
        <w:tabs>
          <w:tab w:val="left" w:pos="312"/>
        </w:tabs>
      </w:pPr>
    </w:lvl>
  </w:abstractNum>
  <w:abstractNum w:abstractNumId="2">
    <w:nsid w:val="00000007"/>
    <w:multiLevelType w:val="multilevel"/>
    <w:tmpl w:val="00000007"/>
    <w:lvl w:ilvl="0" w:tentative="0">
      <w:start w:val="1"/>
      <w:numFmt w:val="decimal"/>
      <w:pStyle w:val="247"/>
      <w:lvlText w:val="%1"/>
      <w:lvlJc w:val="left"/>
      <w:pPr>
        <w:tabs>
          <w:tab w:val="left" w:pos="420"/>
        </w:tabs>
        <w:ind w:left="420" w:hanging="420"/>
      </w:pPr>
      <w:rPr>
        <w:rFonts w:hint="eastAsia"/>
      </w:rPr>
    </w:lvl>
    <w:lvl w:ilvl="1" w:tentative="0">
      <w:start w:val="1"/>
      <w:numFmt w:val="bullet"/>
      <w:lvlText w:val=""/>
      <w:lvlPicBulletId w:val="1"/>
      <w:lvlJc w:val="left"/>
      <w:pPr>
        <w:tabs>
          <w:tab w:val="left" w:pos="840"/>
        </w:tabs>
        <w:ind w:left="840" w:hanging="420"/>
      </w:pPr>
      <w:rPr>
        <w:rFonts w:hint="default" w:ascii="Wingdings" w:hAnsi="Wingdings"/>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000000A"/>
    <w:multiLevelType w:val="multilevel"/>
    <w:tmpl w:val="0000000A"/>
    <w:lvl w:ilvl="0" w:tentative="0">
      <w:start w:val="1"/>
      <w:numFmt w:val="chineseCountingThousand"/>
      <w:pStyle w:val="243"/>
      <w:lvlText w:val="（%1）"/>
      <w:lvlJc w:val="left"/>
      <w:pPr>
        <w:tabs>
          <w:tab w:val="left" w:pos="1387"/>
        </w:tabs>
        <w:ind w:left="1387" w:hanging="907"/>
      </w:pPr>
      <w:rPr>
        <w:rFonts w:hint="eastAsia" w:ascii="仿宋_GB2312" w:hAnsi="宋体" w:eastAsia="仿宋_GB2312"/>
        <w:b w:val="0"/>
        <w:i w:val="0"/>
        <w:sz w:val="24"/>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4">
    <w:nsid w:val="0000000F"/>
    <w:multiLevelType w:val="multilevel"/>
    <w:tmpl w:val="0000000F"/>
    <w:lvl w:ilvl="0" w:tentative="0">
      <w:start w:val="1"/>
      <w:numFmt w:val="decimal"/>
      <w:pStyle w:val="15"/>
      <w:lvlText w:val="%1."/>
      <w:lvlJc w:val="left"/>
      <w:pPr>
        <w:tabs>
          <w:tab w:val="left" w:pos="0"/>
        </w:tabs>
        <w:ind w:left="0" w:firstLine="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0000011"/>
    <w:multiLevelType w:val="multilevel"/>
    <w:tmpl w:val="00000011"/>
    <w:lvl w:ilvl="0" w:tentative="0">
      <w:start w:val="1"/>
      <w:numFmt w:val="decimal"/>
      <w:lvlText w:val="（%1）"/>
      <w:lvlJc w:val="left"/>
      <w:pPr>
        <w:tabs>
          <w:tab w:val="left" w:pos="420"/>
        </w:tabs>
        <w:ind w:left="42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pStyle w:val="236"/>
      <w:lvlText w:val="%5)"/>
      <w:lvlJc w:val="left"/>
      <w:pPr>
        <w:tabs>
          <w:tab w:val="left" w:pos="2100"/>
        </w:tabs>
        <w:ind w:left="2100" w:hanging="420"/>
      </w:pPr>
    </w:lvl>
    <w:lvl w:ilvl="5" w:tentative="0">
      <w:start w:val="1"/>
      <w:numFmt w:val="lowerRoman"/>
      <w:pStyle w:val="239"/>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0000013"/>
    <w:multiLevelType w:val="multilevel"/>
    <w:tmpl w:val="00000013"/>
    <w:lvl w:ilvl="0" w:tentative="0">
      <w:start w:val="1"/>
      <w:numFmt w:val="chineseCountingThousand"/>
      <w:pStyle w:val="307"/>
      <w:lvlText w:val="%1"/>
      <w:lvlJc w:val="left"/>
      <w:pPr>
        <w:tabs>
          <w:tab w:val="left" w:pos="4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0000001D"/>
    <w:multiLevelType w:val="multilevel"/>
    <w:tmpl w:val="0000001D"/>
    <w:lvl w:ilvl="0" w:tentative="0">
      <w:start w:val="1"/>
      <w:numFmt w:val="decimal"/>
      <w:pStyle w:val="334"/>
      <w:lvlText w:val="10.1.%1"/>
      <w:lvlJc w:val="left"/>
      <w:pPr>
        <w:tabs>
          <w:tab w:val="left" w:pos="425"/>
        </w:tabs>
        <w:ind w:left="425" w:hanging="425"/>
      </w:pPr>
      <w:rPr>
        <w:rFonts w:hint="eastAsia"/>
      </w:rPr>
    </w:lvl>
    <w:lvl w:ilvl="1" w:tentative="0">
      <w:start w:val="1"/>
      <w:numFmt w:val="decimal"/>
      <w:lvlText w:val="10.%2."/>
      <w:lvlJc w:val="left"/>
      <w:pPr>
        <w:tabs>
          <w:tab w:val="left" w:pos="567"/>
        </w:tabs>
        <w:ind w:left="567" w:hanging="567"/>
      </w:pPr>
      <w:rPr>
        <w:rFonts w:hint="eastAsia" w:eastAsia="仿宋_GB2312"/>
        <w:sz w:val="24"/>
      </w:rPr>
    </w:lvl>
    <w:lvl w:ilvl="2" w:tentative="0">
      <w:start w:val="1"/>
      <w:numFmt w:val="decimal"/>
      <w:lvlText w:val="%1.%2.%3."/>
      <w:lvlJc w:val="left"/>
      <w:pPr>
        <w:tabs>
          <w:tab w:val="left" w:pos="709"/>
        </w:tabs>
        <w:ind w:left="709" w:hanging="709"/>
      </w:pPr>
      <w:rPr>
        <w:rFonts w:hint="eastAsia"/>
      </w:rPr>
    </w:lvl>
    <w:lvl w:ilvl="3" w:tentative="0">
      <w:start w:val="1"/>
      <w:numFmt w:val="decimal"/>
      <w:lvlText w:val="12.%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8">
    <w:nsid w:val="00000020"/>
    <w:multiLevelType w:val="multilevel"/>
    <w:tmpl w:val="00000020"/>
    <w:lvl w:ilvl="0" w:tentative="0">
      <w:start w:val="1"/>
      <w:numFmt w:val="decimal"/>
      <w:lvlText w:val="10.2.%1"/>
      <w:lvlJc w:val="left"/>
      <w:pPr>
        <w:tabs>
          <w:tab w:val="left" w:pos="425"/>
        </w:tabs>
        <w:ind w:left="425" w:hanging="425"/>
      </w:pPr>
      <w:rPr>
        <w:rFonts w:hint="eastAsia"/>
      </w:rPr>
    </w:lvl>
    <w:lvl w:ilvl="1" w:tentative="0">
      <w:start w:val="1"/>
      <w:numFmt w:val="decimal"/>
      <w:pStyle w:val="211"/>
      <w:lvlText w:val="10.%2."/>
      <w:lvlJc w:val="left"/>
      <w:pPr>
        <w:tabs>
          <w:tab w:val="left" w:pos="567"/>
        </w:tabs>
        <w:ind w:left="567" w:hanging="567"/>
      </w:pPr>
      <w:rPr>
        <w:rFonts w:hint="eastAsia" w:eastAsia="仿宋_GB2312"/>
        <w:sz w:val="24"/>
      </w:rPr>
    </w:lvl>
    <w:lvl w:ilvl="2" w:tentative="0">
      <w:start w:val="1"/>
      <w:numFmt w:val="decimal"/>
      <w:lvlText w:val="%1.%2.%3."/>
      <w:lvlJc w:val="left"/>
      <w:pPr>
        <w:tabs>
          <w:tab w:val="left" w:pos="709"/>
        </w:tabs>
        <w:ind w:left="709" w:hanging="709"/>
      </w:pPr>
      <w:rPr>
        <w:rFonts w:hint="eastAsia"/>
      </w:rPr>
    </w:lvl>
    <w:lvl w:ilvl="3" w:tentative="0">
      <w:start w:val="1"/>
      <w:numFmt w:val="decimal"/>
      <w:lvlText w:val="12.%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9">
    <w:nsid w:val="00000022"/>
    <w:multiLevelType w:val="multilevel"/>
    <w:tmpl w:val="00000022"/>
    <w:lvl w:ilvl="0" w:tentative="0">
      <w:start w:val="1"/>
      <w:numFmt w:val="decimal"/>
      <w:pStyle w:val="284"/>
      <w:lvlText w:val="1.3.%1."/>
      <w:lvlJc w:val="left"/>
      <w:pPr>
        <w:tabs>
          <w:tab w:val="left" w:pos="425"/>
        </w:tabs>
        <w:ind w:left="425" w:hanging="425"/>
      </w:pPr>
      <w:rPr>
        <w:rFonts w:hint="eastAsia"/>
      </w:rPr>
    </w:lvl>
    <w:lvl w:ilvl="1" w:tentative="0">
      <w:start w:val="1"/>
      <w:numFmt w:val="decimal"/>
      <w:lvlText w:val="10.%2."/>
      <w:lvlJc w:val="left"/>
      <w:pPr>
        <w:tabs>
          <w:tab w:val="left" w:pos="567"/>
        </w:tabs>
        <w:ind w:left="567" w:hanging="567"/>
      </w:pPr>
      <w:rPr>
        <w:rFonts w:hint="eastAsia" w:eastAsia="仿宋_GB2312"/>
        <w:b/>
        <w:sz w:val="24"/>
      </w:rPr>
    </w:lvl>
    <w:lvl w:ilvl="2" w:tentative="0">
      <w:start w:val="1"/>
      <w:numFmt w:val="decimal"/>
      <w:lvlText w:val="%1.%2.%3."/>
      <w:lvlJc w:val="left"/>
      <w:pPr>
        <w:tabs>
          <w:tab w:val="left" w:pos="709"/>
        </w:tabs>
        <w:ind w:left="709" w:hanging="709"/>
      </w:pPr>
      <w:rPr>
        <w:rFonts w:hint="eastAsia"/>
      </w:rPr>
    </w:lvl>
    <w:lvl w:ilvl="3" w:tentative="0">
      <w:start w:val="1"/>
      <w:numFmt w:val="decimal"/>
      <w:lvlText w:val="12.%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0">
    <w:nsid w:val="00000025"/>
    <w:multiLevelType w:val="multilevel"/>
    <w:tmpl w:val="00000025"/>
    <w:lvl w:ilvl="0" w:tentative="0">
      <w:start w:val="1"/>
      <w:numFmt w:val="decimal"/>
      <w:pStyle w:val="332"/>
      <w:lvlText w:val="%1."/>
      <w:lvlJc w:val="left"/>
      <w:pPr>
        <w:tabs>
          <w:tab w:val="left" w:pos="1320"/>
        </w:tabs>
        <w:ind w:left="1320" w:hanging="420"/>
      </w:pPr>
    </w:lvl>
    <w:lvl w:ilvl="1" w:tentative="0">
      <w:start w:val="1"/>
      <w:numFmt w:val="lowerLetter"/>
      <w:lvlText w:val="%2)"/>
      <w:lvlJc w:val="left"/>
      <w:pPr>
        <w:tabs>
          <w:tab w:val="left" w:pos="1740"/>
        </w:tabs>
        <w:ind w:left="1740" w:hanging="420"/>
      </w:pPr>
    </w:lvl>
    <w:lvl w:ilvl="2" w:tentative="0">
      <w:start w:val="1"/>
      <w:numFmt w:val="lowerRoman"/>
      <w:lvlText w:val="%3."/>
      <w:lvlJc w:val="right"/>
      <w:pPr>
        <w:tabs>
          <w:tab w:val="left" w:pos="2160"/>
        </w:tabs>
        <w:ind w:left="2160" w:hanging="420"/>
      </w:pPr>
    </w:lvl>
    <w:lvl w:ilvl="3" w:tentative="0">
      <w:start w:val="1"/>
      <w:numFmt w:val="decimal"/>
      <w:lvlText w:val="%4."/>
      <w:lvlJc w:val="left"/>
      <w:pPr>
        <w:tabs>
          <w:tab w:val="left" w:pos="2580"/>
        </w:tabs>
        <w:ind w:left="2580" w:hanging="420"/>
      </w:pPr>
    </w:lvl>
    <w:lvl w:ilvl="4" w:tentative="0">
      <w:start w:val="1"/>
      <w:numFmt w:val="lowerLetter"/>
      <w:lvlText w:val="%5)"/>
      <w:lvlJc w:val="left"/>
      <w:pPr>
        <w:tabs>
          <w:tab w:val="left" w:pos="3000"/>
        </w:tabs>
        <w:ind w:left="3000" w:hanging="420"/>
      </w:pPr>
    </w:lvl>
    <w:lvl w:ilvl="5" w:tentative="0">
      <w:start w:val="1"/>
      <w:numFmt w:val="lowerRoman"/>
      <w:lvlText w:val="%6."/>
      <w:lvlJc w:val="right"/>
      <w:pPr>
        <w:tabs>
          <w:tab w:val="left" w:pos="3420"/>
        </w:tabs>
        <w:ind w:left="3420" w:hanging="420"/>
      </w:pPr>
    </w:lvl>
    <w:lvl w:ilvl="6" w:tentative="0">
      <w:start w:val="1"/>
      <w:numFmt w:val="decimal"/>
      <w:lvlText w:val="%7."/>
      <w:lvlJc w:val="left"/>
      <w:pPr>
        <w:tabs>
          <w:tab w:val="left" w:pos="3840"/>
        </w:tabs>
        <w:ind w:left="3840" w:hanging="420"/>
      </w:pPr>
    </w:lvl>
    <w:lvl w:ilvl="7" w:tentative="0">
      <w:start w:val="1"/>
      <w:numFmt w:val="lowerLetter"/>
      <w:lvlText w:val="%8)"/>
      <w:lvlJc w:val="left"/>
      <w:pPr>
        <w:tabs>
          <w:tab w:val="left" w:pos="4260"/>
        </w:tabs>
        <w:ind w:left="4260" w:hanging="420"/>
      </w:pPr>
    </w:lvl>
    <w:lvl w:ilvl="8" w:tentative="0">
      <w:start w:val="1"/>
      <w:numFmt w:val="lowerRoman"/>
      <w:lvlText w:val="%9."/>
      <w:lvlJc w:val="right"/>
      <w:pPr>
        <w:tabs>
          <w:tab w:val="left" w:pos="4680"/>
        </w:tabs>
        <w:ind w:left="4680" w:hanging="420"/>
      </w:pPr>
    </w:lvl>
  </w:abstractNum>
  <w:abstractNum w:abstractNumId="11">
    <w:nsid w:val="04084ACD"/>
    <w:multiLevelType w:val="multilevel"/>
    <w:tmpl w:val="04084ACD"/>
    <w:lvl w:ilvl="0" w:tentative="0">
      <w:start w:val="7"/>
      <w:numFmt w:val="japaneseCounting"/>
      <w:pStyle w:val="275"/>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2">
    <w:nsid w:val="05205101"/>
    <w:multiLevelType w:val="multilevel"/>
    <w:tmpl w:val="05205101"/>
    <w:lvl w:ilvl="0" w:tentative="0">
      <w:start w:val="1"/>
      <w:numFmt w:val="decimal"/>
      <w:pStyle w:val="319"/>
      <w:lvlText w:val="%1)"/>
      <w:lvlJc w:val="left"/>
      <w:pPr>
        <w:tabs>
          <w:tab w:val="left" w:pos="315"/>
        </w:tabs>
        <w:ind w:left="315" w:hanging="420"/>
      </w:pPr>
      <w:rPr>
        <w:rFonts w:hint="default"/>
      </w:rPr>
    </w:lvl>
    <w:lvl w:ilvl="1" w:tentative="0">
      <w:start w:val="1"/>
      <w:numFmt w:val="lowerLetter"/>
      <w:lvlText w:val="%2)"/>
      <w:lvlJc w:val="left"/>
      <w:pPr>
        <w:tabs>
          <w:tab w:val="left" w:pos="735"/>
        </w:tabs>
        <w:ind w:left="735" w:hanging="420"/>
      </w:pPr>
    </w:lvl>
    <w:lvl w:ilvl="2" w:tentative="0">
      <w:start w:val="1"/>
      <w:numFmt w:val="lowerRoman"/>
      <w:lvlText w:val="%3."/>
      <w:lvlJc w:val="right"/>
      <w:pPr>
        <w:tabs>
          <w:tab w:val="left" w:pos="1155"/>
        </w:tabs>
        <w:ind w:left="1155" w:hanging="420"/>
      </w:pPr>
    </w:lvl>
    <w:lvl w:ilvl="3" w:tentative="0">
      <w:start w:val="1"/>
      <w:numFmt w:val="decimal"/>
      <w:lvlText w:val="%4."/>
      <w:lvlJc w:val="left"/>
      <w:pPr>
        <w:tabs>
          <w:tab w:val="left" w:pos="1575"/>
        </w:tabs>
        <w:ind w:left="1575" w:hanging="420"/>
      </w:pPr>
    </w:lvl>
    <w:lvl w:ilvl="4" w:tentative="0">
      <w:start w:val="1"/>
      <w:numFmt w:val="lowerLetter"/>
      <w:lvlText w:val="%5)"/>
      <w:lvlJc w:val="left"/>
      <w:pPr>
        <w:tabs>
          <w:tab w:val="left" w:pos="1995"/>
        </w:tabs>
        <w:ind w:left="1995" w:hanging="420"/>
      </w:pPr>
    </w:lvl>
    <w:lvl w:ilvl="5" w:tentative="0">
      <w:start w:val="1"/>
      <w:numFmt w:val="lowerRoman"/>
      <w:lvlText w:val="%6."/>
      <w:lvlJc w:val="right"/>
      <w:pPr>
        <w:tabs>
          <w:tab w:val="left" w:pos="2415"/>
        </w:tabs>
        <w:ind w:left="2415" w:hanging="420"/>
      </w:pPr>
    </w:lvl>
    <w:lvl w:ilvl="6" w:tentative="0">
      <w:start w:val="1"/>
      <w:numFmt w:val="decimal"/>
      <w:lvlText w:val="%7."/>
      <w:lvlJc w:val="left"/>
      <w:pPr>
        <w:tabs>
          <w:tab w:val="left" w:pos="2835"/>
        </w:tabs>
        <w:ind w:left="2835" w:hanging="420"/>
      </w:pPr>
    </w:lvl>
    <w:lvl w:ilvl="7" w:tentative="0">
      <w:start w:val="1"/>
      <w:numFmt w:val="lowerLetter"/>
      <w:lvlText w:val="%8)"/>
      <w:lvlJc w:val="left"/>
      <w:pPr>
        <w:tabs>
          <w:tab w:val="left" w:pos="3255"/>
        </w:tabs>
        <w:ind w:left="3255" w:hanging="420"/>
      </w:pPr>
    </w:lvl>
    <w:lvl w:ilvl="8" w:tentative="0">
      <w:start w:val="1"/>
      <w:numFmt w:val="lowerRoman"/>
      <w:lvlText w:val="%9."/>
      <w:lvlJc w:val="right"/>
      <w:pPr>
        <w:tabs>
          <w:tab w:val="left" w:pos="3675"/>
        </w:tabs>
        <w:ind w:left="3675" w:hanging="420"/>
      </w:pPr>
    </w:lvl>
  </w:abstractNum>
  <w:abstractNum w:abstractNumId="13">
    <w:nsid w:val="1D0511B5"/>
    <w:multiLevelType w:val="multilevel"/>
    <w:tmpl w:val="1D0511B5"/>
    <w:lvl w:ilvl="0" w:tentative="0">
      <w:start w:val="1"/>
      <w:numFmt w:val="decimal"/>
      <w:pStyle w:val="276"/>
      <w:lvlText w:val="%1."/>
      <w:lvlJc w:val="left"/>
      <w:pPr>
        <w:tabs>
          <w:tab w:val="left" w:pos="0"/>
        </w:tabs>
        <w:ind w:left="0" w:firstLine="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4">
    <w:nsid w:val="2BD5B070"/>
    <w:multiLevelType w:val="singleLevel"/>
    <w:tmpl w:val="2BD5B070"/>
    <w:lvl w:ilvl="0" w:tentative="0">
      <w:start w:val="3"/>
      <w:numFmt w:val="chineseCounting"/>
      <w:suff w:val="space"/>
      <w:lvlText w:val="第%1章"/>
      <w:lvlJc w:val="left"/>
      <w:rPr>
        <w:rFonts w:hint="eastAsia"/>
      </w:rPr>
    </w:lvl>
  </w:abstractNum>
  <w:abstractNum w:abstractNumId="15">
    <w:nsid w:val="52512AC2"/>
    <w:multiLevelType w:val="multilevel"/>
    <w:tmpl w:val="52512AC2"/>
    <w:lvl w:ilvl="0" w:tentative="0">
      <w:start w:val="1"/>
      <w:numFmt w:val="decimal"/>
      <w:lvlText w:val="%1、"/>
      <w:lvlJc w:val="left"/>
      <w:pPr>
        <w:tabs>
          <w:tab w:val="left" w:pos="420"/>
        </w:tabs>
        <w:ind w:left="420" w:hanging="420"/>
      </w:pPr>
      <w:rPr>
        <w:rFonts w:hint="eastAsia"/>
      </w:rPr>
    </w:lvl>
    <w:lvl w:ilvl="1" w:tentative="0">
      <w:start w:val="1"/>
      <w:numFmt w:val="bullet"/>
      <w:lvlText w:val=""/>
      <w:lvlPicBulletId w:val="2"/>
      <w:lvlJc w:val="left"/>
      <w:pPr>
        <w:tabs>
          <w:tab w:val="left" w:pos="840"/>
        </w:tabs>
        <w:ind w:left="840" w:hanging="420"/>
      </w:pPr>
      <w:rPr>
        <w:rFonts w:hint="default" w:ascii="Wingdings" w:hAnsi="Wingdings"/>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16">
    <w:nsid w:val="525D71F4"/>
    <w:multiLevelType w:val="multilevel"/>
    <w:tmpl w:val="525D71F4"/>
    <w:lvl w:ilvl="0" w:tentative="0">
      <w:start w:val="1"/>
      <w:numFmt w:val="decimal"/>
      <w:pStyle w:val="235"/>
      <w:lvlText w:val="%1"/>
      <w:lvlJc w:val="left"/>
      <w:pPr>
        <w:tabs>
          <w:tab w:val="left" w:pos="420"/>
        </w:tabs>
        <w:ind w:left="420" w:hanging="420"/>
      </w:pPr>
      <w:rPr>
        <w:rFonts w:hint="eastAsia"/>
      </w:rPr>
    </w:lvl>
    <w:lvl w:ilvl="1" w:tentative="0">
      <w:start w:val="1"/>
      <w:numFmt w:val="bullet"/>
      <w:lvlText w:val=""/>
      <w:lvlPicBulletId w:val="0"/>
      <w:lvlJc w:val="left"/>
      <w:pPr>
        <w:tabs>
          <w:tab w:val="left" w:pos="840"/>
        </w:tabs>
        <w:ind w:left="840" w:hanging="420"/>
      </w:pPr>
      <w:rPr>
        <w:rFonts w:hint="default" w:ascii="Wingdings" w:hAnsi="Wingdings"/>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630E5AB2"/>
    <w:multiLevelType w:val="multilevel"/>
    <w:tmpl w:val="630E5AB2"/>
    <w:lvl w:ilvl="0" w:tentative="0">
      <w:start w:val="1"/>
      <w:numFmt w:val="decimal"/>
      <w:pStyle w:val="174"/>
      <w:lvlText w:val="(%1)"/>
      <w:lvlJc w:val="left"/>
      <w:pPr>
        <w:tabs>
          <w:tab w:val="left" w:pos="4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8">
    <w:nsid w:val="64A8405B"/>
    <w:multiLevelType w:val="multilevel"/>
    <w:tmpl w:val="64A8405B"/>
    <w:lvl w:ilvl="0" w:tentative="0">
      <w:start w:val="1"/>
      <w:numFmt w:val="chineseCountingThousand"/>
      <w:pStyle w:val="254"/>
      <w:lvlText w:val="(%1)"/>
      <w:lvlJc w:val="left"/>
      <w:pPr>
        <w:tabs>
          <w:tab w:val="left" w:pos="420"/>
        </w:tabs>
        <w:ind w:left="420" w:hanging="420"/>
      </w:pPr>
      <w:rPr>
        <w:rFonts w:hint="eastAsia" w:ascii="仿宋_GB2312" w:eastAsia="仿宋_GB2312"/>
        <w:b w:val="0"/>
        <w:i w:val="0"/>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9">
    <w:nsid w:val="65693B96"/>
    <w:multiLevelType w:val="multilevel"/>
    <w:tmpl w:val="65693B96"/>
    <w:lvl w:ilvl="0" w:tentative="0">
      <w:start w:val="1"/>
      <w:numFmt w:val="decimal"/>
      <w:pStyle w:val="290"/>
      <w:lvlText w:val="（%1）"/>
      <w:lvlJc w:val="left"/>
      <w:pPr>
        <w:tabs>
          <w:tab w:val="left" w:pos="420"/>
        </w:tabs>
        <w:ind w:left="42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72079C8"/>
    <w:multiLevelType w:val="multilevel"/>
    <w:tmpl w:val="672079C8"/>
    <w:lvl w:ilvl="0" w:tentative="0">
      <w:start w:val="1"/>
      <w:numFmt w:val="chineseCountingThousand"/>
      <w:pStyle w:val="188"/>
      <w:lvlText w:val="(%1)"/>
      <w:lvlJc w:val="left"/>
      <w:pPr>
        <w:tabs>
          <w:tab w:val="left" w:pos="420"/>
        </w:tabs>
        <w:ind w:left="420" w:hanging="420"/>
      </w:pPr>
      <w:rPr>
        <w:rFonts w:hint="eastAsia" w:ascii="仿宋_GB2312" w:eastAsia="仿宋_GB2312"/>
        <w:b w:val="0"/>
        <w:i w:val="0"/>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1">
    <w:nsid w:val="6889C112"/>
    <w:multiLevelType w:val="singleLevel"/>
    <w:tmpl w:val="6889C112"/>
    <w:lvl w:ilvl="0" w:tentative="0">
      <w:start w:val="1"/>
      <w:numFmt w:val="chineseCounting"/>
      <w:suff w:val="nothing"/>
      <w:lvlText w:val="%1、"/>
      <w:lvlJc w:val="left"/>
      <w:rPr>
        <w:rFonts w:hint="eastAsia"/>
      </w:rPr>
    </w:lvl>
  </w:abstractNum>
  <w:abstractNum w:abstractNumId="22">
    <w:nsid w:val="72167FA5"/>
    <w:multiLevelType w:val="multilevel"/>
    <w:tmpl w:val="72167FA5"/>
    <w:lvl w:ilvl="0" w:tentative="0">
      <w:start w:val="5"/>
      <w:numFmt w:val="japaneseCounting"/>
      <w:pStyle w:val="179"/>
      <w:lvlText w:val="第%1章"/>
      <w:lvlJc w:val="left"/>
      <w:pPr>
        <w:tabs>
          <w:tab w:val="left" w:pos="1815"/>
        </w:tabs>
        <w:ind w:left="1815" w:hanging="1815"/>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4"/>
  </w:num>
  <w:num w:numId="2">
    <w:abstractNumId w:val="17"/>
  </w:num>
  <w:num w:numId="3">
    <w:abstractNumId w:val="22"/>
  </w:num>
  <w:num w:numId="4">
    <w:abstractNumId w:val="20"/>
  </w:num>
  <w:num w:numId="5">
    <w:abstractNumId w:val="8"/>
  </w:num>
  <w:num w:numId="6">
    <w:abstractNumId w:val="16"/>
  </w:num>
  <w:num w:numId="7">
    <w:abstractNumId w:val="5"/>
  </w:num>
  <w:num w:numId="8">
    <w:abstractNumId w:val="3"/>
  </w:num>
  <w:num w:numId="9">
    <w:abstractNumId w:val="2"/>
  </w:num>
  <w:num w:numId="10">
    <w:abstractNumId w:val="18"/>
  </w:num>
  <w:num w:numId="11">
    <w:abstractNumId w:val="11"/>
  </w:num>
  <w:num w:numId="12">
    <w:abstractNumId w:val="13"/>
  </w:num>
  <w:num w:numId="13">
    <w:abstractNumId w:val="9"/>
  </w:num>
  <w:num w:numId="14">
    <w:abstractNumId w:val="19"/>
  </w:num>
  <w:num w:numId="15">
    <w:abstractNumId w:val="6"/>
  </w:num>
  <w:num w:numId="16">
    <w:abstractNumId w:val="12"/>
  </w:num>
  <w:num w:numId="17">
    <w:abstractNumId w:val="10"/>
  </w:num>
  <w:num w:numId="18">
    <w:abstractNumId w:val="7"/>
  </w:num>
  <w:num w:numId="19">
    <w:abstractNumId w:val="14"/>
  </w:num>
  <w:num w:numId="20">
    <w:abstractNumId w:val="21"/>
  </w:num>
  <w:num w:numId="21">
    <w:abstractNumId w:val="1"/>
  </w:num>
  <w:num w:numId="22">
    <w:abstractNumId w:val="15"/>
  </w:num>
  <w:num w:numId="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trackRevisions w:val="1"/>
  <w:documentProtection w:enforcement="0"/>
  <w:defaultTabStop w:val="315"/>
  <w:drawingGridHorizontalSpacing w:val="0"/>
  <w:drawingGridVerticalSpacing w:val="156"/>
  <w:displayHorizontalDrawingGridEvery w:val="1"/>
  <w:displayVerticalDrawingGridEvery w:val="1"/>
  <w:doNotShadeFormData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doNotExpandShiftReturn/>
    <w:adjustLineHeightInTable/>
    <w:doNotWrapTextWithPunct/>
    <w:doNotUseEastAsianBreakRules/>
    <w:useFELayout/>
    <w:compatSetting w:name="compatibilityMode" w:uri="http://schemas.microsoft.com/office/word" w:val="12"/>
  </w:compat>
  <w:docVars>
    <w:docVar w:name="commondata" w:val="eyJoZGlkIjoiMjk4N2Q2ZjQxMDY3YzAxY2I4OGQ1NWI4MjljZmM2Y2YifQ=="/>
  </w:docVars>
  <w:rsids>
    <w:rsidRoot w:val="00172A27"/>
    <w:rsid w:val="00000382"/>
    <w:rsid w:val="0000072A"/>
    <w:rsid w:val="00000C00"/>
    <w:rsid w:val="00000CA0"/>
    <w:rsid w:val="000013DC"/>
    <w:rsid w:val="00001C01"/>
    <w:rsid w:val="0000204D"/>
    <w:rsid w:val="0000269E"/>
    <w:rsid w:val="000036C4"/>
    <w:rsid w:val="0000383F"/>
    <w:rsid w:val="00003C7B"/>
    <w:rsid w:val="00004114"/>
    <w:rsid w:val="000042BB"/>
    <w:rsid w:val="00004DC2"/>
    <w:rsid w:val="00004EC5"/>
    <w:rsid w:val="000051EF"/>
    <w:rsid w:val="0000530F"/>
    <w:rsid w:val="00005377"/>
    <w:rsid w:val="00005B87"/>
    <w:rsid w:val="00005BFF"/>
    <w:rsid w:val="0000624C"/>
    <w:rsid w:val="00006D4D"/>
    <w:rsid w:val="00010121"/>
    <w:rsid w:val="00010323"/>
    <w:rsid w:val="00010F08"/>
    <w:rsid w:val="00011A9D"/>
    <w:rsid w:val="00011C22"/>
    <w:rsid w:val="00011FCC"/>
    <w:rsid w:val="000122FC"/>
    <w:rsid w:val="000124CA"/>
    <w:rsid w:val="00012809"/>
    <w:rsid w:val="00012AA5"/>
    <w:rsid w:val="00012BF5"/>
    <w:rsid w:val="0001310E"/>
    <w:rsid w:val="000137C0"/>
    <w:rsid w:val="00013C4B"/>
    <w:rsid w:val="00013C4C"/>
    <w:rsid w:val="00014190"/>
    <w:rsid w:val="0001438A"/>
    <w:rsid w:val="00014901"/>
    <w:rsid w:val="000149E3"/>
    <w:rsid w:val="0001566F"/>
    <w:rsid w:val="00015BC5"/>
    <w:rsid w:val="00015C58"/>
    <w:rsid w:val="00015EBC"/>
    <w:rsid w:val="00016693"/>
    <w:rsid w:val="00016860"/>
    <w:rsid w:val="00016D9E"/>
    <w:rsid w:val="00016F01"/>
    <w:rsid w:val="000178DC"/>
    <w:rsid w:val="00017BD1"/>
    <w:rsid w:val="00017CEE"/>
    <w:rsid w:val="0002017D"/>
    <w:rsid w:val="000201CF"/>
    <w:rsid w:val="0002023A"/>
    <w:rsid w:val="0002043F"/>
    <w:rsid w:val="00020D7D"/>
    <w:rsid w:val="0002256E"/>
    <w:rsid w:val="000226E7"/>
    <w:rsid w:val="00022915"/>
    <w:rsid w:val="00022A0F"/>
    <w:rsid w:val="00022C17"/>
    <w:rsid w:val="0002330C"/>
    <w:rsid w:val="00023B8A"/>
    <w:rsid w:val="0002408E"/>
    <w:rsid w:val="00024297"/>
    <w:rsid w:val="00024324"/>
    <w:rsid w:val="000244FF"/>
    <w:rsid w:val="00024C38"/>
    <w:rsid w:val="0002573E"/>
    <w:rsid w:val="0002603E"/>
    <w:rsid w:val="0002617E"/>
    <w:rsid w:val="0002667D"/>
    <w:rsid w:val="000266F6"/>
    <w:rsid w:val="000268C8"/>
    <w:rsid w:val="000277A4"/>
    <w:rsid w:val="00030A6E"/>
    <w:rsid w:val="000313E5"/>
    <w:rsid w:val="000314AD"/>
    <w:rsid w:val="000315C2"/>
    <w:rsid w:val="00031786"/>
    <w:rsid w:val="0003240C"/>
    <w:rsid w:val="0003394F"/>
    <w:rsid w:val="00033E31"/>
    <w:rsid w:val="0003400F"/>
    <w:rsid w:val="000348DA"/>
    <w:rsid w:val="00034BAA"/>
    <w:rsid w:val="00034D0B"/>
    <w:rsid w:val="00035293"/>
    <w:rsid w:val="00035800"/>
    <w:rsid w:val="000364EB"/>
    <w:rsid w:val="00036C81"/>
    <w:rsid w:val="000378EB"/>
    <w:rsid w:val="00037ED5"/>
    <w:rsid w:val="000406D3"/>
    <w:rsid w:val="000406F9"/>
    <w:rsid w:val="00040D6A"/>
    <w:rsid w:val="0004105B"/>
    <w:rsid w:val="0004161C"/>
    <w:rsid w:val="0004163F"/>
    <w:rsid w:val="0004184D"/>
    <w:rsid w:val="00041DF5"/>
    <w:rsid w:val="00042AB3"/>
    <w:rsid w:val="00042E00"/>
    <w:rsid w:val="0004325D"/>
    <w:rsid w:val="000432F6"/>
    <w:rsid w:val="00043665"/>
    <w:rsid w:val="000439FB"/>
    <w:rsid w:val="00043C34"/>
    <w:rsid w:val="00043CC0"/>
    <w:rsid w:val="00044155"/>
    <w:rsid w:val="000449CD"/>
    <w:rsid w:val="00044A27"/>
    <w:rsid w:val="0004501B"/>
    <w:rsid w:val="000452AA"/>
    <w:rsid w:val="00045563"/>
    <w:rsid w:val="00045DD6"/>
    <w:rsid w:val="00046275"/>
    <w:rsid w:val="000464D8"/>
    <w:rsid w:val="00046604"/>
    <w:rsid w:val="00046613"/>
    <w:rsid w:val="000478CE"/>
    <w:rsid w:val="00047E47"/>
    <w:rsid w:val="0005022C"/>
    <w:rsid w:val="000505F7"/>
    <w:rsid w:val="000508AB"/>
    <w:rsid w:val="000508F1"/>
    <w:rsid w:val="00050B8C"/>
    <w:rsid w:val="00050C69"/>
    <w:rsid w:val="00050E1E"/>
    <w:rsid w:val="00050FE6"/>
    <w:rsid w:val="0005141D"/>
    <w:rsid w:val="00051465"/>
    <w:rsid w:val="0005177C"/>
    <w:rsid w:val="000518CE"/>
    <w:rsid w:val="000518DF"/>
    <w:rsid w:val="00051DEA"/>
    <w:rsid w:val="00051E36"/>
    <w:rsid w:val="00051F84"/>
    <w:rsid w:val="00052586"/>
    <w:rsid w:val="000525DC"/>
    <w:rsid w:val="00053061"/>
    <w:rsid w:val="000536E8"/>
    <w:rsid w:val="000538DA"/>
    <w:rsid w:val="00053944"/>
    <w:rsid w:val="00054077"/>
    <w:rsid w:val="00054DE2"/>
    <w:rsid w:val="00055233"/>
    <w:rsid w:val="00055734"/>
    <w:rsid w:val="00055D36"/>
    <w:rsid w:val="00055E19"/>
    <w:rsid w:val="000561DD"/>
    <w:rsid w:val="00056376"/>
    <w:rsid w:val="000564FE"/>
    <w:rsid w:val="00056B91"/>
    <w:rsid w:val="00056CA8"/>
    <w:rsid w:val="00056E39"/>
    <w:rsid w:val="000570C5"/>
    <w:rsid w:val="00057D0A"/>
    <w:rsid w:val="00057E50"/>
    <w:rsid w:val="000606CC"/>
    <w:rsid w:val="000611B4"/>
    <w:rsid w:val="0006172D"/>
    <w:rsid w:val="0006190B"/>
    <w:rsid w:val="00062DF0"/>
    <w:rsid w:val="0006394D"/>
    <w:rsid w:val="00063984"/>
    <w:rsid w:val="000648A5"/>
    <w:rsid w:val="00064CB9"/>
    <w:rsid w:val="00064F8E"/>
    <w:rsid w:val="00065188"/>
    <w:rsid w:val="0006543A"/>
    <w:rsid w:val="000658DB"/>
    <w:rsid w:val="00065C27"/>
    <w:rsid w:val="00065E01"/>
    <w:rsid w:val="000661E0"/>
    <w:rsid w:val="000664EF"/>
    <w:rsid w:val="00066A09"/>
    <w:rsid w:val="000677F0"/>
    <w:rsid w:val="00067AE0"/>
    <w:rsid w:val="00067C63"/>
    <w:rsid w:val="00070163"/>
    <w:rsid w:val="00070207"/>
    <w:rsid w:val="0007030F"/>
    <w:rsid w:val="00070343"/>
    <w:rsid w:val="000704E8"/>
    <w:rsid w:val="000706EF"/>
    <w:rsid w:val="00070AF4"/>
    <w:rsid w:val="00070E53"/>
    <w:rsid w:val="0007131F"/>
    <w:rsid w:val="0007143B"/>
    <w:rsid w:val="0007145F"/>
    <w:rsid w:val="00072194"/>
    <w:rsid w:val="000722D2"/>
    <w:rsid w:val="00072479"/>
    <w:rsid w:val="00072483"/>
    <w:rsid w:val="00072C08"/>
    <w:rsid w:val="00072D1B"/>
    <w:rsid w:val="00072EFA"/>
    <w:rsid w:val="00073032"/>
    <w:rsid w:val="00073402"/>
    <w:rsid w:val="00073718"/>
    <w:rsid w:val="00073D22"/>
    <w:rsid w:val="00074159"/>
    <w:rsid w:val="00074668"/>
    <w:rsid w:val="000751F7"/>
    <w:rsid w:val="00075333"/>
    <w:rsid w:val="00075444"/>
    <w:rsid w:val="000754A3"/>
    <w:rsid w:val="00075700"/>
    <w:rsid w:val="00075A02"/>
    <w:rsid w:val="00075D6D"/>
    <w:rsid w:val="00075EBF"/>
    <w:rsid w:val="0007621C"/>
    <w:rsid w:val="00076B88"/>
    <w:rsid w:val="000770F8"/>
    <w:rsid w:val="000777C9"/>
    <w:rsid w:val="00077B38"/>
    <w:rsid w:val="00077DA5"/>
    <w:rsid w:val="00077FBD"/>
    <w:rsid w:val="000803B9"/>
    <w:rsid w:val="000805E7"/>
    <w:rsid w:val="0008069F"/>
    <w:rsid w:val="00080901"/>
    <w:rsid w:val="00081F91"/>
    <w:rsid w:val="00082552"/>
    <w:rsid w:val="00082895"/>
    <w:rsid w:val="00082E55"/>
    <w:rsid w:val="000831BD"/>
    <w:rsid w:val="0008353A"/>
    <w:rsid w:val="00083678"/>
    <w:rsid w:val="000837A4"/>
    <w:rsid w:val="00083B67"/>
    <w:rsid w:val="000842DD"/>
    <w:rsid w:val="00084A44"/>
    <w:rsid w:val="00084BDF"/>
    <w:rsid w:val="00085FC2"/>
    <w:rsid w:val="000860AE"/>
    <w:rsid w:val="00086402"/>
    <w:rsid w:val="0008711F"/>
    <w:rsid w:val="0008774D"/>
    <w:rsid w:val="00087D95"/>
    <w:rsid w:val="00087EAA"/>
    <w:rsid w:val="000900DC"/>
    <w:rsid w:val="00090705"/>
    <w:rsid w:val="000911DD"/>
    <w:rsid w:val="000914A9"/>
    <w:rsid w:val="00091EDD"/>
    <w:rsid w:val="0009240A"/>
    <w:rsid w:val="0009251B"/>
    <w:rsid w:val="00092981"/>
    <w:rsid w:val="000937A7"/>
    <w:rsid w:val="00093978"/>
    <w:rsid w:val="0009435F"/>
    <w:rsid w:val="0009448C"/>
    <w:rsid w:val="000947AC"/>
    <w:rsid w:val="00094F49"/>
    <w:rsid w:val="00094F5C"/>
    <w:rsid w:val="000963B1"/>
    <w:rsid w:val="0009654D"/>
    <w:rsid w:val="00096986"/>
    <w:rsid w:val="00096A66"/>
    <w:rsid w:val="00096B4E"/>
    <w:rsid w:val="00097889"/>
    <w:rsid w:val="00097AFF"/>
    <w:rsid w:val="00097CBC"/>
    <w:rsid w:val="00097F0B"/>
    <w:rsid w:val="000A002F"/>
    <w:rsid w:val="000A0317"/>
    <w:rsid w:val="000A0B78"/>
    <w:rsid w:val="000A0BD1"/>
    <w:rsid w:val="000A22B6"/>
    <w:rsid w:val="000A2DB9"/>
    <w:rsid w:val="000A2DF8"/>
    <w:rsid w:val="000A2ED1"/>
    <w:rsid w:val="000A2EF6"/>
    <w:rsid w:val="000A306E"/>
    <w:rsid w:val="000A31CA"/>
    <w:rsid w:val="000A3393"/>
    <w:rsid w:val="000A3A6D"/>
    <w:rsid w:val="000A43AC"/>
    <w:rsid w:val="000A474D"/>
    <w:rsid w:val="000A5951"/>
    <w:rsid w:val="000A5A9B"/>
    <w:rsid w:val="000A5E98"/>
    <w:rsid w:val="000A6906"/>
    <w:rsid w:val="000A7327"/>
    <w:rsid w:val="000A73F0"/>
    <w:rsid w:val="000A74A5"/>
    <w:rsid w:val="000A74C8"/>
    <w:rsid w:val="000B015D"/>
    <w:rsid w:val="000B0BE5"/>
    <w:rsid w:val="000B0C27"/>
    <w:rsid w:val="000B0D64"/>
    <w:rsid w:val="000B105C"/>
    <w:rsid w:val="000B10A8"/>
    <w:rsid w:val="000B10D9"/>
    <w:rsid w:val="000B119C"/>
    <w:rsid w:val="000B14AA"/>
    <w:rsid w:val="000B166E"/>
    <w:rsid w:val="000B171F"/>
    <w:rsid w:val="000B181F"/>
    <w:rsid w:val="000B1889"/>
    <w:rsid w:val="000B1FA8"/>
    <w:rsid w:val="000B282E"/>
    <w:rsid w:val="000B28CD"/>
    <w:rsid w:val="000B290F"/>
    <w:rsid w:val="000B2962"/>
    <w:rsid w:val="000B2BCC"/>
    <w:rsid w:val="000B2CE4"/>
    <w:rsid w:val="000B35A0"/>
    <w:rsid w:val="000B4433"/>
    <w:rsid w:val="000B462D"/>
    <w:rsid w:val="000B47E5"/>
    <w:rsid w:val="000B4960"/>
    <w:rsid w:val="000B4E7C"/>
    <w:rsid w:val="000B5274"/>
    <w:rsid w:val="000B5382"/>
    <w:rsid w:val="000B5A30"/>
    <w:rsid w:val="000B6747"/>
    <w:rsid w:val="000B67F3"/>
    <w:rsid w:val="000B6880"/>
    <w:rsid w:val="000B6A0F"/>
    <w:rsid w:val="000B6E4C"/>
    <w:rsid w:val="000B769F"/>
    <w:rsid w:val="000B7821"/>
    <w:rsid w:val="000B7AA3"/>
    <w:rsid w:val="000C0EDA"/>
    <w:rsid w:val="000C1002"/>
    <w:rsid w:val="000C108E"/>
    <w:rsid w:val="000C10EB"/>
    <w:rsid w:val="000C2043"/>
    <w:rsid w:val="000C2208"/>
    <w:rsid w:val="000C227C"/>
    <w:rsid w:val="000C23BB"/>
    <w:rsid w:val="000C26D1"/>
    <w:rsid w:val="000C27A0"/>
    <w:rsid w:val="000C2C51"/>
    <w:rsid w:val="000C38A5"/>
    <w:rsid w:val="000C44E5"/>
    <w:rsid w:val="000C490C"/>
    <w:rsid w:val="000C5856"/>
    <w:rsid w:val="000C58CE"/>
    <w:rsid w:val="000C5A59"/>
    <w:rsid w:val="000C5D8E"/>
    <w:rsid w:val="000C6261"/>
    <w:rsid w:val="000C67E0"/>
    <w:rsid w:val="000C6A55"/>
    <w:rsid w:val="000C6ABF"/>
    <w:rsid w:val="000C72E3"/>
    <w:rsid w:val="000C79D9"/>
    <w:rsid w:val="000D005B"/>
    <w:rsid w:val="000D03DB"/>
    <w:rsid w:val="000D0AC3"/>
    <w:rsid w:val="000D1429"/>
    <w:rsid w:val="000D1491"/>
    <w:rsid w:val="000D16DE"/>
    <w:rsid w:val="000D1D91"/>
    <w:rsid w:val="000D2549"/>
    <w:rsid w:val="000D2C29"/>
    <w:rsid w:val="000D34EE"/>
    <w:rsid w:val="000D3523"/>
    <w:rsid w:val="000D3696"/>
    <w:rsid w:val="000D3B0D"/>
    <w:rsid w:val="000D3E56"/>
    <w:rsid w:val="000D3EB4"/>
    <w:rsid w:val="000D3F96"/>
    <w:rsid w:val="000D40F6"/>
    <w:rsid w:val="000D4425"/>
    <w:rsid w:val="000D481D"/>
    <w:rsid w:val="000D4956"/>
    <w:rsid w:val="000D5955"/>
    <w:rsid w:val="000D597A"/>
    <w:rsid w:val="000D5B43"/>
    <w:rsid w:val="000D5D71"/>
    <w:rsid w:val="000D6394"/>
    <w:rsid w:val="000D6744"/>
    <w:rsid w:val="000D67D9"/>
    <w:rsid w:val="000D68DD"/>
    <w:rsid w:val="000D69DE"/>
    <w:rsid w:val="000D78A9"/>
    <w:rsid w:val="000D791B"/>
    <w:rsid w:val="000D7F46"/>
    <w:rsid w:val="000E005F"/>
    <w:rsid w:val="000E094E"/>
    <w:rsid w:val="000E096E"/>
    <w:rsid w:val="000E09BC"/>
    <w:rsid w:val="000E09DF"/>
    <w:rsid w:val="000E0AD2"/>
    <w:rsid w:val="000E0FDF"/>
    <w:rsid w:val="000E1024"/>
    <w:rsid w:val="000E12BB"/>
    <w:rsid w:val="000E1B57"/>
    <w:rsid w:val="000E1BA7"/>
    <w:rsid w:val="000E248E"/>
    <w:rsid w:val="000E257F"/>
    <w:rsid w:val="000E261D"/>
    <w:rsid w:val="000E2718"/>
    <w:rsid w:val="000E2C53"/>
    <w:rsid w:val="000E2FB5"/>
    <w:rsid w:val="000E35A4"/>
    <w:rsid w:val="000E3FD9"/>
    <w:rsid w:val="000E4280"/>
    <w:rsid w:val="000E4344"/>
    <w:rsid w:val="000E46FE"/>
    <w:rsid w:val="000E4A38"/>
    <w:rsid w:val="000E4C01"/>
    <w:rsid w:val="000E4CAA"/>
    <w:rsid w:val="000E52D2"/>
    <w:rsid w:val="000E5885"/>
    <w:rsid w:val="000E58B9"/>
    <w:rsid w:val="000E5A0E"/>
    <w:rsid w:val="000E6937"/>
    <w:rsid w:val="000E69FE"/>
    <w:rsid w:val="000E6D74"/>
    <w:rsid w:val="000E6DB6"/>
    <w:rsid w:val="000E752D"/>
    <w:rsid w:val="000E7CDE"/>
    <w:rsid w:val="000E7D15"/>
    <w:rsid w:val="000F018E"/>
    <w:rsid w:val="000F027C"/>
    <w:rsid w:val="000F0327"/>
    <w:rsid w:val="000F04EC"/>
    <w:rsid w:val="000F05EF"/>
    <w:rsid w:val="000F07CF"/>
    <w:rsid w:val="000F0AE9"/>
    <w:rsid w:val="000F0B38"/>
    <w:rsid w:val="000F1327"/>
    <w:rsid w:val="000F2EA9"/>
    <w:rsid w:val="000F2EFA"/>
    <w:rsid w:val="000F32E0"/>
    <w:rsid w:val="000F3980"/>
    <w:rsid w:val="000F41BD"/>
    <w:rsid w:val="000F433C"/>
    <w:rsid w:val="000F4486"/>
    <w:rsid w:val="000F46AB"/>
    <w:rsid w:val="000F46B7"/>
    <w:rsid w:val="000F4D07"/>
    <w:rsid w:val="000F5908"/>
    <w:rsid w:val="000F5CC8"/>
    <w:rsid w:val="000F610B"/>
    <w:rsid w:val="000F612E"/>
    <w:rsid w:val="000F6864"/>
    <w:rsid w:val="000F6A80"/>
    <w:rsid w:val="000F6F65"/>
    <w:rsid w:val="000F74FA"/>
    <w:rsid w:val="000F7644"/>
    <w:rsid w:val="000F7F3F"/>
    <w:rsid w:val="00100033"/>
    <w:rsid w:val="00100A3C"/>
    <w:rsid w:val="00100A44"/>
    <w:rsid w:val="00100A6A"/>
    <w:rsid w:val="00100EEA"/>
    <w:rsid w:val="001014FD"/>
    <w:rsid w:val="00101BF0"/>
    <w:rsid w:val="00101CA7"/>
    <w:rsid w:val="00102205"/>
    <w:rsid w:val="00102EC6"/>
    <w:rsid w:val="00103259"/>
    <w:rsid w:val="001034B7"/>
    <w:rsid w:val="00103684"/>
    <w:rsid w:val="00103C08"/>
    <w:rsid w:val="001042CC"/>
    <w:rsid w:val="0010449E"/>
    <w:rsid w:val="001044B2"/>
    <w:rsid w:val="001045E8"/>
    <w:rsid w:val="001056D3"/>
    <w:rsid w:val="0010575A"/>
    <w:rsid w:val="001058A1"/>
    <w:rsid w:val="0010604C"/>
    <w:rsid w:val="001067A4"/>
    <w:rsid w:val="0010696F"/>
    <w:rsid w:val="00106AFF"/>
    <w:rsid w:val="00106C76"/>
    <w:rsid w:val="001075A9"/>
    <w:rsid w:val="00107653"/>
    <w:rsid w:val="00107A2C"/>
    <w:rsid w:val="00107A50"/>
    <w:rsid w:val="00107B95"/>
    <w:rsid w:val="00107C79"/>
    <w:rsid w:val="00107F4A"/>
    <w:rsid w:val="00107F56"/>
    <w:rsid w:val="00110379"/>
    <w:rsid w:val="00110DD2"/>
    <w:rsid w:val="00110F05"/>
    <w:rsid w:val="001111E7"/>
    <w:rsid w:val="00111814"/>
    <w:rsid w:val="0011199E"/>
    <w:rsid w:val="00111C04"/>
    <w:rsid w:val="00111D6D"/>
    <w:rsid w:val="0011207B"/>
    <w:rsid w:val="0011226D"/>
    <w:rsid w:val="00112323"/>
    <w:rsid w:val="00112546"/>
    <w:rsid w:val="00112B06"/>
    <w:rsid w:val="0011352F"/>
    <w:rsid w:val="001136DE"/>
    <w:rsid w:val="00113723"/>
    <w:rsid w:val="00113B3A"/>
    <w:rsid w:val="001142D6"/>
    <w:rsid w:val="0011455D"/>
    <w:rsid w:val="0011493F"/>
    <w:rsid w:val="00114CE0"/>
    <w:rsid w:val="00114D70"/>
    <w:rsid w:val="00115AEC"/>
    <w:rsid w:val="00115E13"/>
    <w:rsid w:val="00115F90"/>
    <w:rsid w:val="00116055"/>
    <w:rsid w:val="00116526"/>
    <w:rsid w:val="00116A1C"/>
    <w:rsid w:val="00117593"/>
    <w:rsid w:val="00117B1F"/>
    <w:rsid w:val="001201A5"/>
    <w:rsid w:val="00120AF9"/>
    <w:rsid w:val="00120CFA"/>
    <w:rsid w:val="001210E3"/>
    <w:rsid w:val="00121615"/>
    <w:rsid w:val="001216C1"/>
    <w:rsid w:val="001217C9"/>
    <w:rsid w:val="00121D41"/>
    <w:rsid w:val="00122378"/>
    <w:rsid w:val="00122445"/>
    <w:rsid w:val="0012268A"/>
    <w:rsid w:val="001229E1"/>
    <w:rsid w:val="00122CC3"/>
    <w:rsid w:val="00124054"/>
    <w:rsid w:val="001243D8"/>
    <w:rsid w:val="00124811"/>
    <w:rsid w:val="00125160"/>
    <w:rsid w:val="001253BC"/>
    <w:rsid w:val="0012624D"/>
    <w:rsid w:val="001265D8"/>
    <w:rsid w:val="00126670"/>
    <w:rsid w:val="001267AA"/>
    <w:rsid w:val="00126C3C"/>
    <w:rsid w:val="00126F0E"/>
    <w:rsid w:val="00127395"/>
    <w:rsid w:val="00127632"/>
    <w:rsid w:val="001276CC"/>
    <w:rsid w:val="001278FC"/>
    <w:rsid w:val="00127A12"/>
    <w:rsid w:val="00127A44"/>
    <w:rsid w:val="00127F85"/>
    <w:rsid w:val="00130310"/>
    <w:rsid w:val="001311AA"/>
    <w:rsid w:val="0013168F"/>
    <w:rsid w:val="00131803"/>
    <w:rsid w:val="001319E1"/>
    <w:rsid w:val="00131AF9"/>
    <w:rsid w:val="00131D38"/>
    <w:rsid w:val="00131D64"/>
    <w:rsid w:val="0013233E"/>
    <w:rsid w:val="0013259B"/>
    <w:rsid w:val="0013269D"/>
    <w:rsid w:val="001326F8"/>
    <w:rsid w:val="00132A5C"/>
    <w:rsid w:val="00132D1C"/>
    <w:rsid w:val="00132EF6"/>
    <w:rsid w:val="00132F5D"/>
    <w:rsid w:val="00133401"/>
    <w:rsid w:val="00133876"/>
    <w:rsid w:val="00133966"/>
    <w:rsid w:val="00133AA8"/>
    <w:rsid w:val="00133DD9"/>
    <w:rsid w:val="00134990"/>
    <w:rsid w:val="001349BE"/>
    <w:rsid w:val="001349E8"/>
    <w:rsid w:val="00134F4D"/>
    <w:rsid w:val="00134FD2"/>
    <w:rsid w:val="00135E11"/>
    <w:rsid w:val="00135FD2"/>
    <w:rsid w:val="00136205"/>
    <w:rsid w:val="00136923"/>
    <w:rsid w:val="00136CA3"/>
    <w:rsid w:val="001375E8"/>
    <w:rsid w:val="00137EDE"/>
    <w:rsid w:val="0014079D"/>
    <w:rsid w:val="00140925"/>
    <w:rsid w:val="0014093A"/>
    <w:rsid w:val="0014200C"/>
    <w:rsid w:val="0014373D"/>
    <w:rsid w:val="00143902"/>
    <w:rsid w:val="00143A3C"/>
    <w:rsid w:val="00143EF7"/>
    <w:rsid w:val="00144085"/>
    <w:rsid w:val="001443D9"/>
    <w:rsid w:val="001444DF"/>
    <w:rsid w:val="00144804"/>
    <w:rsid w:val="00144C19"/>
    <w:rsid w:val="00145B2E"/>
    <w:rsid w:val="00145E30"/>
    <w:rsid w:val="00146060"/>
    <w:rsid w:val="0014610F"/>
    <w:rsid w:val="00146236"/>
    <w:rsid w:val="00146805"/>
    <w:rsid w:val="001469EA"/>
    <w:rsid w:val="00146A16"/>
    <w:rsid w:val="0014708E"/>
    <w:rsid w:val="00147736"/>
    <w:rsid w:val="00150174"/>
    <w:rsid w:val="001501C2"/>
    <w:rsid w:val="001502D9"/>
    <w:rsid w:val="001506CC"/>
    <w:rsid w:val="00150790"/>
    <w:rsid w:val="00150C5C"/>
    <w:rsid w:val="001512E6"/>
    <w:rsid w:val="001522CC"/>
    <w:rsid w:val="001524BB"/>
    <w:rsid w:val="001526EC"/>
    <w:rsid w:val="00152891"/>
    <w:rsid w:val="0015330E"/>
    <w:rsid w:val="0015399E"/>
    <w:rsid w:val="00154001"/>
    <w:rsid w:val="00154381"/>
    <w:rsid w:val="0015470D"/>
    <w:rsid w:val="0015473B"/>
    <w:rsid w:val="00154F4B"/>
    <w:rsid w:val="00154FBE"/>
    <w:rsid w:val="00155116"/>
    <w:rsid w:val="00155267"/>
    <w:rsid w:val="0015588B"/>
    <w:rsid w:val="00155C67"/>
    <w:rsid w:val="0015643B"/>
    <w:rsid w:val="001565BA"/>
    <w:rsid w:val="001565DB"/>
    <w:rsid w:val="00156B8B"/>
    <w:rsid w:val="00156DB3"/>
    <w:rsid w:val="001570A6"/>
    <w:rsid w:val="0015780F"/>
    <w:rsid w:val="00160123"/>
    <w:rsid w:val="001613EC"/>
    <w:rsid w:val="0016143D"/>
    <w:rsid w:val="001618F0"/>
    <w:rsid w:val="00161CC4"/>
    <w:rsid w:val="00161F1A"/>
    <w:rsid w:val="00162470"/>
    <w:rsid w:val="00162490"/>
    <w:rsid w:val="00162790"/>
    <w:rsid w:val="00162EB9"/>
    <w:rsid w:val="00162FF5"/>
    <w:rsid w:val="001636D9"/>
    <w:rsid w:val="001639D8"/>
    <w:rsid w:val="00164E3A"/>
    <w:rsid w:val="00164FDA"/>
    <w:rsid w:val="00165169"/>
    <w:rsid w:val="001652C7"/>
    <w:rsid w:val="00165574"/>
    <w:rsid w:val="00165BD7"/>
    <w:rsid w:val="001660BE"/>
    <w:rsid w:val="00166CFC"/>
    <w:rsid w:val="00167F6C"/>
    <w:rsid w:val="00170361"/>
    <w:rsid w:val="001703FA"/>
    <w:rsid w:val="0017042B"/>
    <w:rsid w:val="001704AD"/>
    <w:rsid w:val="001708BC"/>
    <w:rsid w:val="00171AC6"/>
    <w:rsid w:val="001720B4"/>
    <w:rsid w:val="0017213F"/>
    <w:rsid w:val="001723EF"/>
    <w:rsid w:val="001725EC"/>
    <w:rsid w:val="00172A27"/>
    <w:rsid w:val="00172A63"/>
    <w:rsid w:val="00172E90"/>
    <w:rsid w:val="00173C32"/>
    <w:rsid w:val="00174455"/>
    <w:rsid w:val="00174AC2"/>
    <w:rsid w:val="00175841"/>
    <w:rsid w:val="00175CF5"/>
    <w:rsid w:val="001763B4"/>
    <w:rsid w:val="0017640E"/>
    <w:rsid w:val="00177132"/>
    <w:rsid w:val="0017751F"/>
    <w:rsid w:val="00177888"/>
    <w:rsid w:val="001778A6"/>
    <w:rsid w:val="00177C79"/>
    <w:rsid w:val="00177E16"/>
    <w:rsid w:val="00177F8B"/>
    <w:rsid w:val="00180EF8"/>
    <w:rsid w:val="00181D6E"/>
    <w:rsid w:val="00182944"/>
    <w:rsid w:val="00182D6E"/>
    <w:rsid w:val="00182E3B"/>
    <w:rsid w:val="00182F4C"/>
    <w:rsid w:val="001835CA"/>
    <w:rsid w:val="00183673"/>
    <w:rsid w:val="00183A12"/>
    <w:rsid w:val="00184066"/>
    <w:rsid w:val="001841CD"/>
    <w:rsid w:val="00184274"/>
    <w:rsid w:val="00184FB6"/>
    <w:rsid w:val="0018510B"/>
    <w:rsid w:val="00185642"/>
    <w:rsid w:val="001858FF"/>
    <w:rsid w:val="001860AC"/>
    <w:rsid w:val="001868B5"/>
    <w:rsid w:val="00186BAD"/>
    <w:rsid w:val="00186D25"/>
    <w:rsid w:val="00186F51"/>
    <w:rsid w:val="00186FE0"/>
    <w:rsid w:val="00187060"/>
    <w:rsid w:val="0018737F"/>
    <w:rsid w:val="00187449"/>
    <w:rsid w:val="001879D8"/>
    <w:rsid w:val="00187B08"/>
    <w:rsid w:val="00190304"/>
    <w:rsid w:val="00190B51"/>
    <w:rsid w:val="00191A8D"/>
    <w:rsid w:val="00192606"/>
    <w:rsid w:val="001929AE"/>
    <w:rsid w:val="001929F8"/>
    <w:rsid w:val="00192BA2"/>
    <w:rsid w:val="00193506"/>
    <w:rsid w:val="001936A1"/>
    <w:rsid w:val="00193B95"/>
    <w:rsid w:val="00193F24"/>
    <w:rsid w:val="001940D6"/>
    <w:rsid w:val="00194691"/>
    <w:rsid w:val="00194B6F"/>
    <w:rsid w:val="00195669"/>
    <w:rsid w:val="001957C6"/>
    <w:rsid w:val="00195A2C"/>
    <w:rsid w:val="00195DE4"/>
    <w:rsid w:val="001960AD"/>
    <w:rsid w:val="0019671B"/>
    <w:rsid w:val="00196CDD"/>
    <w:rsid w:val="00196D55"/>
    <w:rsid w:val="001A052C"/>
    <w:rsid w:val="001A0554"/>
    <w:rsid w:val="001A055A"/>
    <w:rsid w:val="001A06E0"/>
    <w:rsid w:val="001A096C"/>
    <w:rsid w:val="001A09F1"/>
    <w:rsid w:val="001A1744"/>
    <w:rsid w:val="001A18E6"/>
    <w:rsid w:val="001A1905"/>
    <w:rsid w:val="001A1906"/>
    <w:rsid w:val="001A1962"/>
    <w:rsid w:val="001A21D1"/>
    <w:rsid w:val="001A250D"/>
    <w:rsid w:val="001A2524"/>
    <w:rsid w:val="001A26B2"/>
    <w:rsid w:val="001A2742"/>
    <w:rsid w:val="001A2FEE"/>
    <w:rsid w:val="001A328A"/>
    <w:rsid w:val="001A32CF"/>
    <w:rsid w:val="001A4238"/>
    <w:rsid w:val="001A47FA"/>
    <w:rsid w:val="001A4E89"/>
    <w:rsid w:val="001A5457"/>
    <w:rsid w:val="001A558F"/>
    <w:rsid w:val="001A56AC"/>
    <w:rsid w:val="001A5A47"/>
    <w:rsid w:val="001A5F90"/>
    <w:rsid w:val="001A623B"/>
    <w:rsid w:val="001A625D"/>
    <w:rsid w:val="001A6740"/>
    <w:rsid w:val="001A6744"/>
    <w:rsid w:val="001A7098"/>
    <w:rsid w:val="001A72A0"/>
    <w:rsid w:val="001A7860"/>
    <w:rsid w:val="001A7ACB"/>
    <w:rsid w:val="001A7D42"/>
    <w:rsid w:val="001B03EF"/>
    <w:rsid w:val="001B0F14"/>
    <w:rsid w:val="001B1388"/>
    <w:rsid w:val="001B139A"/>
    <w:rsid w:val="001B16EF"/>
    <w:rsid w:val="001B1B58"/>
    <w:rsid w:val="001B281A"/>
    <w:rsid w:val="001B2B7F"/>
    <w:rsid w:val="001B2F53"/>
    <w:rsid w:val="001B3187"/>
    <w:rsid w:val="001B3311"/>
    <w:rsid w:val="001B366B"/>
    <w:rsid w:val="001B3765"/>
    <w:rsid w:val="001B3A3E"/>
    <w:rsid w:val="001B3EBC"/>
    <w:rsid w:val="001B409E"/>
    <w:rsid w:val="001B439D"/>
    <w:rsid w:val="001B4516"/>
    <w:rsid w:val="001B4642"/>
    <w:rsid w:val="001B4649"/>
    <w:rsid w:val="001B4728"/>
    <w:rsid w:val="001B49E4"/>
    <w:rsid w:val="001B4BAD"/>
    <w:rsid w:val="001B4EE3"/>
    <w:rsid w:val="001B4EE6"/>
    <w:rsid w:val="001B4F9F"/>
    <w:rsid w:val="001B5079"/>
    <w:rsid w:val="001B5260"/>
    <w:rsid w:val="001B5AF8"/>
    <w:rsid w:val="001B5BA3"/>
    <w:rsid w:val="001B5CF2"/>
    <w:rsid w:val="001B63AD"/>
    <w:rsid w:val="001B6463"/>
    <w:rsid w:val="001B673E"/>
    <w:rsid w:val="001B67B6"/>
    <w:rsid w:val="001B6A6F"/>
    <w:rsid w:val="001B6BD5"/>
    <w:rsid w:val="001B6C73"/>
    <w:rsid w:val="001B79BD"/>
    <w:rsid w:val="001B7D66"/>
    <w:rsid w:val="001B7F3A"/>
    <w:rsid w:val="001C000A"/>
    <w:rsid w:val="001C042D"/>
    <w:rsid w:val="001C0B9B"/>
    <w:rsid w:val="001C0CA6"/>
    <w:rsid w:val="001C0F92"/>
    <w:rsid w:val="001C1230"/>
    <w:rsid w:val="001C1456"/>
    <w:rsid w:val="001C1D50"/>
    <w:rsid w:val="001C1DB4"/>
    <w:rsid w:val="001C1E5E"/>
    <w:rsid w:val="001C23B3"/>
    <w:rsid w:val="001C2546"/>
    <w:rsid w:val="001C2705"/>
    <w:rsid w:val="001C2885"/>
    <w:rsid w:val="001C2A80"/>
    <w:rsid w:val="001C2F66"/>
    <w:rsid w:val="001C3316"/>
    <w:rsid w:val="001C354D"/>
    <w:rsid w:val="001C3BF0"/>
    <w:rsid w:val="001C3C1A"/>
    <w:rsid w:val="001C3ED3"/>
    <w:rsid w:val="001C4297"/>
    <w:rsid w:val="001C5306"/>
    <w:rsid w:val="001C54C9"/>
    <w:rsid w:val="001C5827"/>
    <w:rsid w:val="001C6235"/>
    <w:rsid w:val="001C6910"/>
    <w:rsid w:val="001C6970"/>
    <w:rsid w:val="001C6D20"/>
    <w:rsid w:val="001D0012"/>
    <w:rsid w:val="001D0157"/>
    <w:rsid w:val="001D056C"/>
    <w:rsid w:val="001D0872"/>
    <w:rsid w:val="001D0AA5"/>
    <w:rsid w:val="001D0AF5"/>
    <w:rsid w:val="001D182A"/>
    <w:rsid w:val="001D1EF6"/>
    <w:rsid w:val="001D2092"/>
    <w:rsid w:val="001D2418"/>
    <w:rsid w:val="001D26FD"/>
    <w:rsid w:val="001D26FF"/>
    <w:rsid w:val="001D297C"/>
    <w:rsid w:val="001D2F87"/>
    <w:rsid w:val="001D3152"/>
    <w:rsid w:val="001D325A"/>
    <w:rsid w:val="001D3BBF"/>
    <w:rsid w:val="001D3D7B"/>
    <w:rsid w:val="001D4457"/>
    <w:rsid w:val="001D4A26"/>
    <w:rsid w:val="001D4E33"/>
    <w:rsid w:val="001D53FB"/>
    <w:rsid w:val="001D58C9"/>
    <w:rsid w:val="001D5B54"/>
    <w:rsid w:val="001D6E61"/>
    <w:rsid w:val="001D7550"/>
    <w:rsid w:val="001D78A5"/>
    <w:rsid w:val="001D7F37"/>
    <w:rsid w:val="001D7FF1"/>
    <w:rsid w:val="001E05B9"/>
    <w:rsid w:val="001E0A14"/>
    <w:rsid w:val="001E0FEA"/>
    <w:rsid w:val="001E134E"/>
    <w:rsid w:val="001E14C2"/>
    <w:rsid w:val="001E181D"/>
    <w:rsid w:val="001E19F7"/>
    <w:rsid w:val="001E236C"/>
    <w:rsid w:val="001E275C"/>
    <w:rsid w:val="001E2DC1"/>
    <w:rsid w:val="001E30BB"/>
    <w:rsid w:val="001E330D"/>
    <w:rsid w:val="001E3410"/>
    <w:rsid w:val="001E38E0"/>
    <w:rsid w:val="001E3CC3"/>
    <w:rsid w:val="001E4373"/>
    <w:rsid w:val="001E4C8A"/>
    <w:rsid w:val="001E4D57"/>
    <w:rsid w:val="001E4F3E"/>
    <w:rsid w:val="001E56AC"/>
    <w:rsid w:val="001E5F9E"/>
    <w:rsid w:val="001E6328"/>
    <w:rsid w:val="001E6649"/>
    <w:rsid w:val="001E6D85"/>
    <w:rsid w:val="001E6FD5"/>
    <w:rsid w:val="001E7211"/>
    <w:rsid w:val="001E7380"/>
    <w:rsid w:val="001E73DD"/>
    <w:rsid w:val="001E79C6"/>
    <w:rsid w:val="001E7A8F"/>
    <w:rsid w:val="001E7BB2"/>
    <w:rsid w:val="001E7C7F"/>
    <w:rsid w:val="001F0016"/>
    <w:rsid w:val="001F0703"/>
    <w:rsid w:val="001F0F0E"/>
    <w:rsid w:val="001F1DBA"/>
    <w:rsid w:val="001F2D9D"/>
    <w:rsid w:val="001F317E"/>
    <w:rsid w:val="001F3785"/>
    <w:rsid w:val="001F3FB9"/>
    <w:rsid w:val="001F40DD"/>
    <w:rsid w:val="001F4283"/>
    <w:rsid w:val="001F44E9"/>
    <w:rsid w:val="001F4507"/>
    <w:rsid w:val="001F46F8"/>
    <w:rsid w:val="001F4820"/>
    <w:rsid w:val="001F51A8"/>
    <w:rsid w:val="001F5D72"/>
    <w:rsid w:val="001F641B"/>
    <w:rsid w:val="001F74F6"/>
    <w:rsid w:val="001F7D0C"/>
    <w:rsid w:val="001F7FB2"/>
    <w:rsid w:val="00200350"/>
    <w:rsid w:val="00200677"/>
    <w:rsid w:val="00200ACD"/>
    <w:rsid w:val="00201AE3"/>
    <w:rsid w:val="00201BCA"/>
    <w:rsid w:val="00201F7B"/>
    <w:rsid w:val="00202A2A"/>
    <w:rsid w:val="00202F40"/>
    <w:rsid w:val="0020303D"/>
    <w:rsid w:val="00203257"/>
    <w:rsid w:val="0020392F"/>
    <w:rsid w:val="00203C8D"/>
    <w:rsid w:val="00203DE5"/>
    <w:rsid w:val="0020409F"/>
    <w:rsid w:val="0020411D"/>
    <w:rsid w:val="002041C8"/>
    <w:rsid w:val="002047A8"/>
    <w:rsid w:val="0020511B"/>
    <w:rsid w:val="0020533C"/>
    <w:rsid w:val="00205C6F"/>
    <w:rsid w:val="002060DD"/>
    <w:rsid w:val="00206775"/>
    <w:rsid w:val="002069CB"/>
    <w:rsid w:val="00206AEA"/>
    <w:rsid w:val="0020729E"/>
    <w:rsid w:val="002074EA"/>
    <w:rsid w:val="002079B2"/>
    <w:rsid w:val="002079CF"/>
    <w:rsid w:val="002104F0"/>
    <w:rsid w:val="0021060F"/>
    <w:rsid w:val="00210823"/>
    <w:rsid w:val="002108DB"/>
    <w:rsid w:val="00210AC3"/>
    <w:rsid w:val="002111B7"/>
    <w:rsid w:val="002116A2"/>
    <w:rsid w:val="0021190D"/>
    <w:rsid w:val="002121F5"/>
    <w:rsid w:val="00212216"/>
    <w:rsid w:val="00212827"/>
    <w:rsid w:val="002129B0"/>
    <w:rsid w:val="00212F03"/>
    <w:rsid w:val="0021328C"/>
    <w:rsid w:val="002138F1"/>
    <w:rsid w:val="00213EAC"/>
    <w:rsid w:val="00214EBD"/>
    <w:rsid w:val="002153A3"/>
    <w:rsid w:val="0021564E"/>
    <w:rsid w:val="0021683D"/>
    <w:rsid w:val="00216AB8"/>
    <w:rsid w:val="00216B44"/>
    <w:rsid w:val="00220374"/>
    <w:rsid w:val="00220867"/>
    <w:rsid w:val="00220FE0"/>
    <w:rsid w:val="0022116A"/>
    <w:rsid w:val="002211B0"/>
    <w:rsid w:val="00221445"/>
    <w:rsid w:val="00221846"/>
    <w:rsid w:val="00221879"/>
    <w:rsid w:val="002221CD"/>
    <w:rsid w:val="00222A85"/>
    <w:rsid w:val="00224499"/>
    <w:rsid w:val="00224837"/>
    <w:rsid w:val="00225A3A"/>
    <w:rsid w:val="00225BE0"/>
    <w:rsid w:val="00225F9A"/>
    <w:rsid w:val="002261ED"/>
    <w:rsid w:val="002264C6"/>
    <w:rsid w:val="002266B2"/>
    <w:rsid w:val="00227666"/>
    <w:rsid w:val="00227B05"/>
    <w:rsid w:val="00227D7A"/>
    <w:rsid w:val="0023059A"/>
    <w:rsid w:val="002307B0"/>
    <w:rsid w:val="002308A6"/>
    <w:rsid w:val="0023096F"/>
    <w:rsid w:val="00231441"/>
    <w:rsid w:val="002314D0"/>
    <w:rsid w:val="002318EE"/>
    <w:rsid w:val="0023235E"/>
    <w:rsid w:val="00232572"/>
    <w:rsid w:val="00232EE7"/>
    <w:rsid w:val="002330F8"/>
    <w:rsid w:val="00233413"/>
    <w:rsid w:val="00233829"/>
    <w:rsid w:val="00234519"/>
    <w:rsid w:val="0023542C"/>
    <w:rsid w:val="00235B16"/>
    <w:rsid w:val="00236006"/>
    <w:rsid w:val="0023604A"/>
    <w:rsid w:val="00236259"/>
    <w:rsid w:val="002367BC"/>
    <w:rsid w:val="002369ED"/>
    <w:rsid w:val="00236A05"/>
    <w:rsid w:val="00237400"/>
    <w:rsid w:val="0023745E"/>
    <w:rsid w:val="00237663"/>
    <w:rsid w:val="00237B1C"/>
    <w:rsid w:val="002402CD"/>
    <w:rsid w:val="0024062B"/>
    <w:rsid w:val="00240F2C"/>
    <w:rsid w:val="0024102A"/>
    <w:rsid w:val="002412F0"/>
    <w:rsid w:val="00241B43"/>
    <w:rsid w:val="00241E6B"/>
    <w:rsid w:val="00241F6F"/>
    <w:rsid w:val="002426B2"/>
    <w:rsid w:val="002431D5"/>
    <w:rsid w:val="00243236"/>
    <w:rsid w:val="00243785"/>
    <w:rsid w:val="00244142"/>
    <w:rsid w:val="00244238"/>
    <w:rsid w:val="00244D22"/>
    <w:rsid w:val="002459EB"/>
    <w:rsid w:val="00245AEA"/>
    <w:rsid w:val="00245B61"/>
    <w:rsid w:val="00245D85"/>
    <w:rsid w:val="00246171"/>
    <w:rsid w:val="00247408"/>
    <w:rsid w:val="002478EC"/>
    <w:rsid w:val="00250588"/>
    <w:rsid w:val="00250E2B"/>
    <w:rsid w:val="002512DB"/>
    <w:rsid w:val="00251335"/>
    <w:rsid w:val="00251432"/>
    <w:rsid w:val="0025149F"/>
    <w:rsid w:val="00251534"/>
    <w:rsid w:val="002516C7"/>
    <w:rsid w:val="00251B57"/>
    <w:rsid w:val="00251FF6"/>
    <w:rsid w:val="0025211A"/>
    <w:rsid w:val="00252295"/>
    <w:rsid w:val="0025267D"/>
    <w:rsid w:val="002529E0"/>
    <w:rsid w:val="00252A15"/>
    <w:rsid w:val="00252BA3"/>
    <w:rsid w:val="00252DCD"/>
    <w:rsid w:val="00253376"/>
    <w:rsid w:val="002534D9"/>
    <w:rsid w:val="00253524"/>
    <w:rsid w:val="002536AD"/>
    <w:rsid w:val="002538B4"/>
    <w:rsid w:val="00253CAB"/>
    <w:rsid w:val="00253D7C"/>
    <w:rsid w:val="00253E0B"/>
    <w:rsid w:val="00253EAD"/>
    <w:rsid w:val="00254D7C"/>
    <w:rsid w:val="00254FE8"/>
    <w:rsid w:val="0025566C"/>
    <w:rsid w:val="002556C1"/>
    <w:rsid w:val="002559D8"/>
    <w:rsid w:val="00255B2C"/>
    <w:rsid w:val="00255B61"/>
    <w:rsid w:val="00255F3C"/>
    <w:rsid w:val="00256127"/>
    <w:rsid w:val="00256295"/>
    <w:rsid w:val="002564C8"/>
    <w:rsid w:val="00256FCA"/>
    <w:rsid w:val="00256FE6"/>
    <w:rsid w:val="00257183"/>
    <w:rsid w:val="002575DA"/>
    <w:rsid w:val="0025791A"/>
    <w:rsid w:val="00257CAA"/>
    <w:rsid w:val="002605C0"/>
    <w:rsid w:val="00260BFF"/>
    <w:rsid w:val="0026116E"/>
    <w:rsid w:val="0026219A"/>
    <w:rsid w:val="002623EC"/>
    <w:rsid w:val="002627EA"/>
    <w:rsid w:val="00262DCD"/>
    <w:rsid w:val="0026325C"/>
    <w:rsid w:val="002632B5"/>
    <w:rsid w:val="00263A5C"/>
    <w:rsid w:val="00263DC6"/>
    <w:rsid w:val="00264059"/>
    <w:rsid w:val="002640F1"/>
    <w:rsid w:val="00264758"/>
    <w:rsid w:val="00264B5B"/>
    <w:rsid w:val="00264D17"/>
    <w:rsid w:val="00264F44"/>
    <w:rsid w:val="0026579B"/>
    <w:rsid w:val="00265D3A"/>
    <w:rsid w:val="00266287"/>
    <w:rsid w:val="00266341"/>
    <w:rsid w:val="002665E8"/>
    <w:rsid w:val="00266DFB"/>
    <w:rsid w:val="00267272"/>
    <w:rsid w:val="00267446"/>
    <w:rsid w:val="0026752A"/>
    <w:rsid w:val="002679EC"/>
    <w:rsid w:val="00267DA2"/>
    <w:rsid w:val="00267FE7"/>
    <w:rsid w:val="0027063B"/>
    <w:rsid w:val="00270779"/>
    <w:rsid w:val="00270F61"/>
    <w:rsid w:val="002711ED"/>
    <w:rsid w:val="00271877"/>
    <w:rsid w:val="00271F40"/>
    <w:rsid w:val="00271F68"/>
    <w:rsid w:val="002723C6"/>
    <w:rsid w:val="00272679"/>
    <w:rsid w:val="0027283F"/>
    <w:rsid w:val="002729A8"/>
    <w:rsid w:val="00272BB2"/>
    <w:rsid w:val="00272E34"/>
    <w:rsid w:val="00272FCA"/>
    <w:rsid w:val="002736FD"/>
    <w:rsid w:val="002738C4"/>
    <w:rsid w:val="00273F81"/>
    <w:rsid w:val="00274749"/>
    <w:rsid w:val="00274860"/>
    <w:rsid w:val="00274912"/>
    <w:rsid w:val="00274A05"/>
    <w:rsid w:val="00274B8B"/>
    <w:rsid w:val="00274C66"/>
    <w:rsid w:val="00275333"/>
    <w:rsid w:val="00275B1B"/>
    <w:rsid w:val="00275CBE"/>
    <w:rsid w:val="0027604A"/>
    <w:rsid w:val="00276B9B"/>
    <w:rsid w:val="00276BA2"/>
    <w:rsid w:val="00276BFD"/>
    <w:rsid w:val="00276DE8"/>
    <w:rsid w:val="0027715C"/>
    <w:rsid w:val="002773BA"/>
    <w:rsid w:val="0027782C"/>
    <w:rsid w:val="00277D6A"/>
    <w:rsid w:val="00277DE4"/>
    <w:rsid w:val="00277DFF"/>
    <w:rsid w:val="0028008C"/>
    <w:rsid w:val="002808F2"/>
    <w:rsid w:val="00280971"/>
    <w:rsid w:val="002814F3"/>
    <w:rsid w:val="00281717"/>
    <w:rsid w:val="00281E89"/>
    <w:rsid w:val="0028227E"/>
    <w:rsid w:val="00282898"/>
    <w:rsid w:val="002828B0"/>
    <w:rsid w:val="00282A3C"/>
    <w:rsid w:val="00282DAA"/>
    <w:rsid w:val="00282FC8"/>
    <w:rsid w:val="00283056"/>
    <w:rsid w:val="00283460"/>
    <w:rsid w:val="002840F7"/>
    <w:rsid w:val="00284B42"/>
    <w:rsid w:val="00284D4F"/>
    <w:rsid w:val="002858E2"/>
    <w:rsid w:val="002861B0"/>
    <w:rsid w:val="0028632D"/>
    <w:rsid w:val="002869B3"/>
    <w:rsid w:val="00286A02"/>
    <w:rsid w:val="00287392"/>
    <w:rsid w:val="002876E2"/>
    <w:rsid w:val="00287B67"/>
    <w:rsid w:val="00287BB7"/>
    <w:rsid w:val="00287C4F"/>
    <w:rsid w:val="00290408"/>
    <w:rsid w:val="00290886"/>
    <w:rsid w:val="00290DAB"/>
    <w:rsid w:val="00290E77"/>
    <w:rsid w:val="0029209A"/>
    <w:rsid w:val="0029267F"/>
    <w:rsid w:val="0029283D"/>
    <w:rsid w:val="00293CC6"/>
    <w:rsid w:val="00293CE2"/>
    <w:rsid w:val="0029409E"/>
    <w:rsid w:val="00294419"/>
    <w:rsid w:val="002948B6"/>
    <w:rsid w:val="00294A17"/>
    <w:rsid w:val="00294A48"/>
    <w:rsid w:val="00294DDC"/>
    <w:rsid w:val="00294FEB"/>
    <w:rsid w:val="00296695"/>
    <w:rsid w:val="0029679B"/>
    <w:rsid w:val="00296E8A"/>
    <w:rsid w:val="002970E1"/>
    <w:rsid w:val="002A005D"/>
    <w:rsid w:val="002A0412"/>
    <w:rsid w:val="002A0467"/>
    <w:rsid w:val="002A0A7E"/>
    <w:rsid w:val="002A0B19"/>
    <w:rsid w:val="002A0CD2"/>
    <w:rsid w:val="002A0E04"/>
    <w:rsid w:val="002A13A6"/>
    <w:rsid w:val="002A149F"/>
    <w:rsid w:val="002A14E2"/>
    <w:rsid w:val="002A1DF1"/>
    <w:rsid w:val="002A21B9"/>
    <w:rsid w:val="002A2F33"/>
    <w:rsid w:val="002A3473"/>
    <w:rsid w:val="002A3716"/>
    <w:rsid w:val="002A3A11"/>
    <w:rsid w:val="002A3A78"/>
    <w:rsid w:val="002A3C3F"/>
    <w:rsid w:val="002A4354"/>
    <w:rsid w:val="002A4904"/>
    <w:rsid w:val="002A4B4B"/>
    <w:rsid w:val="002A5044"/>
    <w:rsid w:val="002A5C11"/>
    <w:rsid w:val="002A5D00"/>
    <w:rsid w:val="002A5D8D"/>
    <w:rsid w:val="002A5FAC"/>
    <w:rsid w:val="002A6314"/>
    <w:rsid w:val="002A6502"/>
    <w:rsid w:val="002A6530"/>
    <w:rsid w:val="002A67EA"/>
    <w:rsid w:val="002A7966"/>
    <w:rsid w:val="002B00E9"/>
    <w:rsid w:val="002B0208"/>
    <w:rsid w:val="002B0274"/>
    <w:rsid w:val="002B041C"/>
    <w:rsid w:val="002B0533"/>
    <w:rsid w:val="002B0743"/>
    <w:rsid w:val="002B08BC"/>
    <w:rsid w:val="002B0947"/>
    <w:rsid w:val="002B0A8D"/>
    <w:rsid w:val="002B13BC"/>
    <w:rsid w:val="002B151C"/>
    <w:rsid w:val="002B1B89"/>
    <w:rsid w:val="002B1BB8"/>
    <w:rsid w:val="002B1C34"/>
    <w:rsid w:val="002B1E54"/>
    <w:rsid w:val="002B1FFF"/>
    <w:rsid w:val="002B2734"/>
    <w:rsid w:val="002B27B1"/>
    <w:rsid w:val="002B2C5E"/>
    <w:rsid w:val="002B2D41"/>
    <w:rsid w:val="002B2F83"/>
    <w:rsid w:val="002B3557"/>
    <w:rsid w:val="002B44AB"/>
    <w:rsid w:val="002B4B64"/>
    <w:rsid w:val="002B4D0B"/>
    <w:rsid w:val="002B4DDF"/>
    <w:rsid w:val="002B4E9F"/>
    <w:rsid w:val="002B5404"/>
    <w:rsid w:val="002B61CF"/>
    <w:rsid w:val="002B6811"/>
    <w:rsid w:val="002B73FA"/>
    <w:rsid w:val="002B767D"/>
    <w:rsid w:val="002B7CE5"/>
    <w:rsid w:val="002B7F5E"/>
    <w:rsid w:val="002C1A04"/>
    <w:rsid w:val="002C1DCA"/>
    <w:rsid w:val="002C2147"/>
    <w:rsid w:val="002C225C"/>
    <w:rsid w:val="002C33FE"/>
    <w:rsid w:val="002C36EB"/>
    <w:rsid w:val="002C4127"/>
    <w:rsid w:val="002C41BA"/>
    <w:rsid w:val="002C4201"/>
    <w:rsid w:val="002C478C"/>
    <w:rsid w:val="002C4A21"/>
    <w:rsid w:val="002C502E"/>
    <w:rsid w:val="002C53FA"/>
    <w:rsid w:val="002C5465"/>
    <w:rsid w:val="002C6AF2"/>
    <w:rsid w:val="002C7E21"/>
    <w:rsid w:val="002D0296"/>
    <w:rsid w:val="002D191D"/>
    <w:rsid w:val="002D19C3"/>
    <w:rsid w:val="002D1A64"/>
    <w:rsid w:val="002D248B"/>
    <w:rsid w:val="002D26FC"/>
    <w:rsid w:val="002D28BD"/>
    <w:rsid w:val="002D33BD"/>
    <w:rsid w:val="002D37A7"/>
    <w:rsid w:val="002D3807"/>
    <w:rsid w:val="002D3CAF"/>
    <w:rsid w:val="002D4117"/>
    <w:rsid w:val="002D4537"/>
    <w:rsid w:val="002D516A"/>
    <w:rsid w:val="002D6107"/>
    <w:rsid w:val="002D641D"/>
    <w:rsid w:val="002D64E5"/>
    <w:rsid w:val="002D6AAA"/>
    <w:rsid w:val="002D758E"/>
    <w:rsid w:val="002D7A67"/>
    <w:rsid w:val="002D7D4F"/>
    <w:rsid w:val="002D7E24"/>
    <w:rsid w:val="002E0D52"/>
    <w:rsid w:val="002E0D58"/>
    <w:rsid w:val="002E1493"/>
    <w:rsid w:val="002E184C"/>
    <w:rsid w:val="002E18DC"/>
    <w:rsid w:val="002E23EF"/>
    <w:rsid w:val="002E2477"/>
    <w:rsid w:val="002E2A4D"/>
    <w:rsid w:val="002E2E9F"/>
    <w:rsid w:val="002E36E9"/>
    <w:rsid w:val="002E4725"/>
    <w:rsid w:val="002E4A33"/>
    <w:rsid w:val="002E4B1A"/>
    <w:rsid w:val="002E4BA4"/>
    <w:rsid w:val="002E4EA5"/>
    <w:rsid w:val="002E51E6"/>
    <w:rsid w:val="002E521A"/>
    <w:rsid w:val="002E547D"/>
    <w:rsid w:val="002E55D4"/>
    <w:rsid w:val="002E579E"/>
    <w:rsid w:val="002E5A35"/>
    <w:rsid w:val="002E60D9"/>
    <w:rsid w:val="002E64D9"/>
    <w:rsid w:val="002E6B43"/>
    <w:rsid w:val="002E6C78"/>
    <w:rsid w:val="002E6EDC"/>
    <w:rsid w:val="002E7210"/>
    <w:rsid w:val="002E72C3"/>
    <w:rsid w:val="002E7A5D"/>
    <w:rsid w:val="002F0B96"/>
    <w:rsid w:val="002F0ED6"/>
    <w:rsid w:val="002F181A"/>
    <w:rsid w:val="002F1C22"/>
    <w:rsid w:val="002F2014"/>
    <w:rsid w:val="002F312E"/>
    <w:rsid w:val="002F33AE"/>
    <w:rsid w:val="002F3797"/>
    <w:rsid w:val="002F3DA6"/>
    <w:rsid w:val="002F4791"/>
    <w:rsid w:val="002F4F49"/>
    <w:rsid w:val="002F5535"/>
    <w:rsid w:val="002F657D"/>
    <w:rsid w:val="002F6791"/>
    <w:rsid w:val="002F686B"/>
    <w:rsid w:val="002F73F9"/>
    <w:rsid w:val="002F74A8"/>
    <w:rsid w:val="002F76BF"/>
    <w:rsid w:val="002F7A22"/>
    <w:rsid w:val="002F7DE7"/>
    <w:rsid w:val="0030002C"/>
    <w:rsid w:val="003005EA"/>
    <w:rsid w:val="003005FF"/>
    <w:rsid w:val="00300CE5"/>
    <w:rsid w:val="00300ED1"/>
    <w:rsid w:val="0030120C"/>
    <w:rsid w:val="003013A8"/>
    <w:rsid w:val="0030141C"/>
    <w:rsid w:val="0030176F"/>
    <w:rsid w:val="00301D72"/>
    <w:rsid w:val="003023F8"/>
    <w:rsid w:val="00302DA4"/>
    <w:rsid w:val="00302F3C"/>
    <w:rsid w:val="00302F82"/>
    <w:rsid w:val="003031E3"/>
    <w:rsid w:val="00303905"/>
    <w:rsid w:val="00303CFF"/>
    <w:rsid w:val="00303E3C"/>
    <w:rsid w:val="00303F8A"/>
    <w:rsid w:val="003042F1"/>
    <w:rsid w:val="00304610"/>
    <w:rsid w:val="0030465E"/>
    <w:rsid w:val="00304702"/>
    <w:rsid w:val="00304B93"/>
    <w:rsid w:val="00304CCA"/>
    <w:rsid w:val="00304DEF"/>
    <w:rsid w:val="0030502E"/>
    <w:rsid w:val="00305051"/>
    <w:rsid w:val="00305133"/>
    <w:rsid w:val="0030540A"/>
    <w:rsid w:val="00305853"/>
    <w:rsid w:val="0030600B"/>
    <w:rsid w:val="00306135"/>
    <w:rsid w:val="003061CD"/>
    <w:rsid w:val="00306806"/>
    <w:rsid w:val="003070B8"/>
    <w:rsid w:val="0030734B"/>
    <w:rsid w:val="00307BED"/>
    <w:rsid w:val="00310965"/>
    <w:rsid w:val="00310F1E"/>
    <w:rsid w:val="003110A1"/>
    <w:rsid w:val="00311502"/>
    <w:rsid w:val="00311AD5"/>
    <w:rsid w:val="00311F68"/>
    <w:rsid w:val="0031231B"/>
    <w:rsid w:val="00313059"/>
    <w:rsid w:val="00313199"/>
    <w:rsid w:val="00313781"/>
    <w:rsid w:val="0031378F"/>
    <w:rsid w:val="00313A20"/>
    <w:rsid w:val="00313BC5"/>
    <w:rsid w:val="00313C2C"/>
    <w:rsid w:val="00313E30"/>
    <w:rsid w:val="0031418E"/>
    <w:rsid w:val="00314CC8"/>
    <w:rsid w:val="00314CF6"/>
    <w:rsid w:val="00314EE7"/>
    <w:rsid w:val="00315283"/>
    <w:rsid w:val="003155E0"/>
    <w:rsid w:val="003158E2"/>
    <w:rsid w:val="00315E8C"/>
    <w:rsid w:val="00316607"/>
    <w:rsid w:val="0031663F"/>
    <w:rsid w:val="00316AFE"/>
    <w:rsid w:val="003171FA"/>
    <w:rsid w:val="00317474"/>
    <w:rsid w:val="003176A6"/>
    <w:rsid w:val="00317FBF"/>
    <w:rsid w:val="00320473"/>
    <w:rsid w:val="003208B7"/>
    <w:rsid w:val="00320B01"/>
    <w:rsid w:val="003211FC"/>
    <w:rsid w:val="00322976"/>
    <w:rsid w:val="003230F1"/>
    <w:rsid w:val="0032329B"/>
    <w:rsid w:val="00323412"/>
    <w:rsid w:val="0032447D"/>
    <w:rsid w:val="003247E3"/>
    <w:rsid w:val="00324853"/>
    <w:rsid w:val="00324A7D"/>
    <w:rsid w:val="00324AB5"/>
    <w:rsid w:val="00324BBE"/>
    <w:rsid w:val="003251CB"/>
    <w:rsid w:val="00325493"/>
    <w:rsid w:val="00325939"/>
    <w:rsid w:val="0032594F"/>
    <w:rsid w:val="00325A6B"/>
    <w:rsid w:val="0032657E"/>
    <w:rsid w:val="00326710"/>
    <w:rsid w:val="00326B3C"/>
    <w:rsid w:val="00327179"/>
    <w:rsid w:val="003279D0"/>
    <w:rsid w:val="0033002C"/>
    <w:rsid w:val="003308CD"/>
    <w:rsid w:val="00331004"/>
    <w:rsid w:val="003314C7"/>
    <w:rsid w:val="00331BCD"/>
    <w:rsid w:val="00331FBB"/>
    <w:rsid w:val="0033215B"/>
    <w:rsid w:val="00332366"/>
    <w:rsid w:val="00332677"/>
    <w:rsid w:val="00332F29"/>
    <w:rsid w:val="0033329A"/>
    <w:rsid w:val="0033384A"/>
    <w:rsid w:val="00333960"/>
    <w:rsid w:val="00333CD3"/>
    <w:rsid w:val="00334337"/>
    <w:rsid w:val="003349B8"/>
    <w:rsid w:val="00334F09"/>
    <w:rsid w:val="00334FCD"/>
    <w:rsid w:val="00336531"/>
    <w:rsid w:val="003369E9"/>
    <w:rsid w:val="00336B1B"/>
    <w:rsid w:val="00336F20"/>
    <w:rsid w:val="00336FA0"/>
    <w:rsid w:val="003375DF"/>
    <w:rsid w:val="00337784"/>
    <w:rsid w:val="00337A89"/>
    <w:rsid w:val="00337CB1"/>
    <w:rsid w:val="0034049C"/>
    <w:rsid w:val="0034098E"/>
    <w:rsid w:val="003412F5"/>
    <w:rsid w:val="00341851"/>
    <w:rsid w:val="00341E69"/>
    <w:rsid w:val="0034230E"/>
    <w:rsid w:val="003428E2"/>
    <w:rsid w:val="00342AFF"/>
    <w:rsid w:val="003431FD"/>
    <w:rsid w:val="00343731"/>
    <w:rsid w:val="00343D50"/>
    <w:rsid w:val="0034402D"/>
    <w:rsid w:val="003440B9"/>
    <w:rsid w:val="003442BD"/>
    <w:rsid w:val="003445A4"/>
    <w:rsid w:val="00344CCB"/>
    <w:rsid w:val="00345757"/>
    <w:rsid w:val="00345B14"/>
    <w:rsid w:val="00345FF4"/>
    <w:rsid w:val="003464F2"/>
    <w:rsid w:val="00346578"/>
    <w:rsid w:val="00346A45"/>
    <w:rsid w:val="003472C1"/>
    <w:rsid w:val="00347A94"/>
    <w:rsid w:val="00347B2A"/>
    <w:rsid w:val="00350F79"/>
    <w:rsid w:val="003511A3"/>
    <w:rsid w:val="00351238"/>
    <w:rsid w:val="00351479"/>
    <w:rsid w:val="00351B4E"/>
    <w:rsid w:val="003520EC"/>
    <w:rsid w:val="00352C0F"/>
    <w:rsid w:val="003532A7"/>
    <w:rsid w:val="0035479D"/>
    <w:rsid w:val="003549C0"/>
    <w:rsid w:val="00354F30"/>
    <w:rsid w:val="003558EB"/>
    <w:rsid w:val="00355CA5"/>
    <w:rsid w:val="0035633F"/>
    <w:rsid w:val="00356CEA"/>
    <w:rsid w:val="00357208"/>
    <w:rsid w:val="0035727D"/>
    <w:rsid w:val="003606A9"/>
    <w:rsid w:val="00360B5C"/>
    <w:rsid w:val="00360CAA"/>
    <w:rsid w:val="00360F2A"/>
    <w:rsid w:val="003610D2"/>
    <w:rsid w:val="0036119C"/>
    <w:rsid w:val="003614FE"/>
    <w:rsid w:val="00361709"/>
    <w:rsid w:val="0036192C"/>
    <w:rsid w:val="003622A3"/>
    <w:rsid w:val="00362411"/>
    <w:rsid w:val="003624B6"/>
    <w:rsid w:val="00362836"/>
    <w:rsid w:val="00362E9D"/>
    <w:rsid w:val="003638D2"/>
    <w:rsid w:val="00363A7A"/>
    <w:rsid w:val="00363D8A"/>
    <w:rsid w:val="003645EC"/>
    <w:rsid w:val="00364909"/>
    <w:rsid w:val="0036524C"/>
    <w:rsid w:val="00365AAE"/>
    <w:rsid w:val="00365D63"/>
    <w:rsid w:val="00365ECF"/>
    <w:rsid w:val="003669F1"/>
    <w:rsid w:val="00366DC4"/>
    <w:rsid w:val="00366F05"/>
    <w:rsid w:val="00366FD7"/>
    <w:rsid w:val="00366FD8"/>
    <w:rsid w:val="0036757A"/>
    <w:rsid w:val="00367974"/>
    <w:rsid w:val="00367A3C"/>
    <w:rsid w:val="00367F73"/>
    <w:rsid w:val="00370041"/>
    <w:rsid w:val="003702F7"/>
    <w:rsid w:val="00370316"/>
    <w:rsid w:val="0037053F"/>
    <w:rsid w:val="00370647"/>
    <w:rsid w:val="00370BED"/>
    <w:rsid w:val="003715B1"/>
    <w:rsid w:val="00371B38"/>
    <w:rsid w:val="003722E7"/>
    <w:rsid w:val="00373048"/>
    <w:rsid w:val="003735B5"/>
    <w:rsid w:val="00373C15"/>
    <w:rsid w:val="00373CF5"/>
    <w:rsid w:val="00373EF6"/>
    <w:rsid w:val="0037420B"/>
    <w:rsid w:val="00374529"/>
    <w:rsid w:val="0037493A"/>
    <w:rsid w:val="00374B2C"/>
    <w:rsid w:val="00374B44"/>
    <w:rsid w:val="00374F39"/>
    <w:rsid w:val="00374F9B"/>
    <w:rsid w:val="003756A9"/>
    <w:rsid w:val="00375977"/>
    <w:rsid w:val="0037613E"/>
    <w:rsid w:val="00376234"/>
    <w:rsid w:val="00376486"/>
    <w:rsid w:val="00376C0C"/>
    <w:rsid w:val="00376CF9"/>
    <w:rsid w:val="00376D05"/>
    <w:rsid w:val="003770D8"/>
    <w:rsid w:val="003770FF"/>
    <w:rsid w:val="003773D9"/>
    <w:rsid w:val="00377811"/>
    <w:rsid w:val="00377E5D"/>
    <w:rsid w:val="00380772"/>
    <w:rsid w:val="00380A07"/>
    <w:rsid w:val="00380AC7"/>
    <w:rsid w:val="00380BCF"/>
    <w:rsid w:val="00380C97"/>
    <w:rsid w:val="00380FA3"/>
    <w:rsid w:val="00381033"/>
    <w:rsid w:val="00381B4F"/>
    <w:rsid w:val="003820B5"/>
    <w:rsid w:val="00382173"/>
    <w:rsid w:val="003825B3"/>
    <w:rsid w:val="0038271E"/>
    <w:rsid w:val="00382C16"/>
    <w:rsid w:val="00382F2C"/>
    <w:rsid w:val="00383675"/>
    <w:rsid w:val="0038373F"/>
    <w:rsid w:val="00383A23"/>
    <w:rsid w:val="00383EC4"/>
    <w:rsid w:val="00384614"/>
    <w:rsid w:val="00384918"/>
    <w:rsid w:val="0038509A"/>
    <w:rsid w:val="003851FC"/>
    <w:rsid w:val="0038531D"/>
    <w:rsid w:val="00385376"/>
    <w:rsid w:val="003853C2"/>
    <w:rsid w:val="00385854"/>
    <w:rsid w:val="0038650E"/>
    <w:rsid w:val="003875F4"/>
    <w:rsid w:val="00387FE4"/>
    <w:rsid w:val="003900F9"/>
    <w:rsid w:val="00390806"/>
    <w:rsid w:val="00390B51"/>
    <w:rsid w:val="003911D7"/>
    <w:rsid w:val="00391478"/>
    <w:rsid w:val="00391DC1"/>
    <w:rsid w:val="00391F63"/>
    <w:rsid w:val="00392365"/>
    <w:rsid w:val="00392B4A"/>
    <w:rsid w:val="0039310A"/>
    <w:rsid w:val="003933CC"/>
    <w:rsid w:val="0039384B"/>
    <w:rsid w:val="0039384F"/>
    <w:rsid w:val="0039395D"/>
    <w:rsid w:val="00393C6D"/>
    <w:rsid w:val="00393C74"/>
    <w:rsid w:val="00393DA6"/>
    <w:rsid w:val="00394092"/>
    <w:rsid w:val="003941C6"/>
    <w:rsid w:val="0039427C"/>
    <w:rsid w:val="00394345"/>
    <w:rsid w:val="003944A0"/>
    <w:rsid w:val="003945F9"/>
    <w:rsid w:val="00394765"/>
    <w:rsid w:val="0039505B"/>
    <w:rsid w:val="003962C3"/>
    <w:rsid w:val="003962E2"/>
    <w:rsid w:val="00396465"/>
    <w:rsid w:val="003965B7"/>
    <w:rsid w:val="0039662E"/>
    <w:rsid w:val="00396E1B"/>
    <w:rsid w:val="00396F14"/>
    <w:rsid w:val="00397F1D"/>
    <w:rsid w:val="003A010C"/>
    <w:rsid w:val="003A10F1"/>
    <w:rsid w:val="003A176B"/>
    <w:rsid w:val="003A1C67"/>
    <w:rsid w:val="003A2024"/>
    <w:rsid w:val="003A20C3"/>
    <w:rsid w:val="003A21C1"/>
    <w:rsid w:val="003A24BE"/>
    <w:rsid w:val="003A2BF5"/>
    <w:rsid w:val="003A30CD"/>
    <w:rsid w:val="003A3810"/>
    <w:rsid w:val="003A3BCC"/>
    <w:rsid w:val="003A433A"/>
    <w:rsid w:val="003A4983"/>
    <w:rsid w:val="003A4C19"/>
    <w:rsid w:val="003A4CBB"/>
    <w:rsid w:val="003A4FA2"/>
    <w:rsid w:val="003A503F"/>
    <w:rsid w:val="003A545A"/>
    <w:rsid w:val="003A5DFA"/>
    <w:rsid w:val="003A5E56"/>
    <w:rsid w:val="003A63D1"/>
    <w:rsid w:val="003A67CF"/>
    <w:rsid w:val="003A6B37"/>
    <w:rsid w:val="003A6C20"/>
    <w:rsid w:val="003A6C68"/>
    <w:rsid w:val="003A6F3B"/>
    <w:rsid w:val="003A73C7"/>
    <w:rsid w:val="003A7460"/>
    <w:rsid w:val="003A7779"/>
    <w:rsid w:val="003A7803"/>
    <w:rsid w:val="003A7861"/>
    <w:rsid w:val="003A78CF"/>
    <w:rsid w:val="003B12D2"/>
    <w:rsid w:val="003B14AA"/>
    <w:rsid w:val="003B166F"/>
    <w:rsid w:val="003B1720"/>
    <w:rsid w:val="003B1D5D"/>
    <w:rsid w:val="003B301A"/>
    <w:rsid w:val="003B36CB"/>
    <w:rsid w:val="003B3920"/>
    <w:rsid w:val="003B3AD1"/>
    <w:rsid w:val="003B443C"/>
    <w:rsid w:val="003B4C13"/>
    <w:rsid w:val="003B4C9B"/>
    <w:rsid w:val="003B566A"/>
    <w:rsid w:val="003B59CC"/>
    <w:rsid w:val="003B59F5"/>
    <w:rsid w:val="003B6A41"/>
    <w:rsid w:val="003B6E6B"/>
    <w:rsid w:val="003B6FFA"/>
    <w:rsid w:val="003B71F0"/>
    <w:rsid w:val="003B78C1"/>
    <w:rsid w:val="003B794F"/>
    <w:rsid w:val="003C04D9"/>
    <w:rsid w:val="003C0868"/>
    <w:rsid w:val="003C0C00"/>
    <w:rsid w:val="003C10BD"/>
    <w:rsid w:val="003C1172"/>
    <w:rsid w:val="003C228F"/>
    <w:rsid w:val="003C229E"/>
    <w:rsid w:val="003C246C"/>
    <w:rsid w:val="003C2B78"/>
    <w:rsid w:val="003C2FEA"/>
    <w:rsid w:val="003C30B3"/>
    <w:rsid w:val="003C3737"/>
    <w:rsid w:val="003C403D"/>
    <w:rsid w:val="003C4C8D"/>
    <w:rsid w:val="003C51F8"/>
    <w:rsid w:val="003C56A8"/>
    <w:rsid w:val="003C5BCF"/>
    <w:rsid w:val="003C5CE6"/>
    <w:rsid w:val="003C688F"/>
    <w:rsid w:val="003C7370"/>
    <w:rsid w:val="003C7864"/>
    <w:rsid w:val="003C7D48"/>
    <w:rsid w:val="003D0648"/>
    <w:rsid w:val="003D0A48"/>
    <w:rsid w:val="003D0DB4"/>
    <w:rsid w:val="003D118D"/>
    <w:rsid w:val="003D1319"/>
    <w:rsid w:val="003D1684"/>
    <w:rsid w:val="003D2F89"/>
    <w:rsid w:val="003D2FEC"/>
    <w:rsid w:val="003D3123"/>
    <w:rsid w:val="003D3632"/>
    <w:rsid w:val="003D3906"/>
    <w:rsid w:val="003D3DB6"/>
    <w:rsid w:val="003D43E4"/>
    <w:rsid w:val="003D4476"/>
    <w:rsid w:val="003D4A42"/>
    <w:rsid w:val="003D4B2E"/>
    <w:rsid w:val="003D4EE0"/>
    <w:rsid w:val="003D5500"/>
    <w:rsid w:val="003D5619"/>
    <w:rsid w:val="003D56C1"/>
    <w:rsid w:val="003D5E24"/>
    <w:rsid w:val="003D5EC1"/>
    <w:rsid w:val="003D5FD4"/>
    <w:rsid w:val="003D665C"/>
    <w:rsid w:val="003D6A93"/>
    <w:rsid w:val="003D71BD"/>
    <w:rsid w:val="003D7203"/>
    <w:rsid w:val="003D7A87"/>
    <w:rsid w:val="003E0335"/>
    <w:rsid w:val="003E068C"/>
    <w:rsid w:val="003E079E"/>
    <w:rsid w:val="003E0BD3"/>
    <w:rsid w:val="003E139F"/>
    <w:rsid w:val="003E1582"/>
    <w:rsid w:val="003E1B54"/>
    <w:rsid w:val="003E1C1F"/>
    <w:rsid w:val="003E1CE2"/>
    <w:rsid w:val="003E237F"/>
    <w:rsid w:val="003E295E"/>
    <w:rsid w:val="003E2E73"/>
    <w:rsid w:val="003E32BF"/>
    <w:rsid w:val="003E33F4"/>
    <w:rsid w:val="003E37B6"/>
    <w:rsid w:val="003E3FBE"/>
    <w:rsid w:val="003E43F1"/>
    <w:rsid w:val="003E4CBD"/>
    <w:rsid w:val="003E5904"/>
    <w:rsid w:val="003E6248"/>
    <w:rsid w:val="003E645E"/>
    <w:rsid w:val="003E6687"/>
    <w:rsid w:val="003E66D4"/>
    <w:rsid w:val="003E6998"/>
    <w:rsid w:val="003E6F75"/>
    <w:rsid w:val="003E7073"/>
    <w:rsid w:val="003E71A3"/>
    <w:rsid w:val="003E7C89"/>
    <w:rsid w:val="003E7D8D"/>
    <w:rsid w:val="003E7F59"/>
    <w:rsid w:val="003F062D"/>
    <w:rsid w:val="003F0AA1"/>
    <w:rsid w:val="003F0DFD"/>
    <w:rsid w:val="003F1084"/>
    <w:rsid w:val="003F1222"/>
    <w:rsid w:val="003F151F"/>
    <w:rsid w:val="003F17C2"/>
    <w:rsid w:val="003F1B8B"/>
    <w:rsid w:val="003F1D56"/>
    <w:rsid w:val="003F2128"/>
    <w:rsid w:val="003F2661"/>
    <w:rsid w:val="003F28A8"/>
    <w:rsid w:val="003F2A72"/>
    <w:rsid w:val="003F42BC"/>
    <w:rsid w:val="003F4B4B"/>
    <w:rsid w:val="003F50F4"/>
    <w:rsid w:val="003F55D2"/>
    <w:rsid w:val="003F597C"/>
    <w:rsid w:val="003F5D15"/>
    <w:rsid w:val="003F5E2C"/>
    <w:rsid w:val="003F5E38"/>
    <w:rsid w:val="003F655C"/>
    <w:rsid w:val="003F6A31"/>
    <w:rsid w:val="003F6B27"/>
    <w:rsid w:val="003F6F4B"/>
    <w:rsid w:val="003F72CC"/>
    <w:rsid w:val="003F7328"/>
    <w:rsid w:val="003F7681"/>
    <w:rsid w:val="00400162"/>
    <w:rsid w:val="00400E8C"/>
    <w:rsid w:val="004011BA"/>
    <w:rsid w:val="004013A4"/>
    <w:rsid w:val="00401428"/>
    <w:rsid w:val="00401864"/>
    <w:rsid w:val="00401E6B"/>
    <w:rsid w:val="004021F3"/>
    <w:rsid w:val="004029CB"/>
    <w:rsid w:val="00402A3B"/>
    <w:rsid w:val="00402C47"/>
    <w:rsid w:val="00402E83"/>
    <w:rsid w:val="004033FE"/>
    <w:rsid w:val="00403FA5"/>
    <w:rsid w:val="00405508"/>
    <w:rsid w:val="004055D9"/>
    <w:rsid w:val="00405D64"/>
    <w:rsid w:val="004061C5"/>
    <w:rsid w:val="004062BD"/>
    <w:rsid w:val="004063FB"/>
    <w:rsid w:val="00406E73"/>
    <w:rsid w:val="00407BD7"/>
    <w:rsid w:val="00410A1D"/>
    <w:rsid w:val="00410AC9"/>
    <w:rsid w:val="0041170E"/>
    <w:rsid w:val="00411B79"/>
    <w:rsid w:val="00411F14"/>
    <w:rsid w:val="004121A3"/>
    <w:rsid w:val="004122BB"/>
    <w:rsid w:val="00412436"/>
    <w:rsid w:val="0041350B"/>
    <w:rsid w:val="00413DCA"/>
    <w:rsid w:val="004145F5"/>
    <w:rsid w:val="00415162"/>
    <w:rsid w:val="0041518E"/>
    <w:rsid w:val="0041570E"/>
    <w:rsid w:val="00415DBC"/>
    <w:rsid w:val="00416384"/>
    <w:rsid w:val="00417CBC"/>
    <w:rsid w:val="00417F41"/>
    <w:rsid w:val="00420AA1"/>
    <w:rsid w:val="00420DB6"/>
    <w:rsid w:val="00420FB4"/>
    <w:rsid w:val="00421B13"/>
    <w:rsid w:val="00421E49"/>
    <w:rsid w:val="00421EFD"/>
    <w:rsid w:val="00422597"/>
    <w:rsid w:val="0042295A"/>
    <w:rsid w:val="0042315F"/>
    <w:rsid w:val="00423732"/>
    <w:rsid w:val="00423D25"/>
    <w:rsid w:val="0042453F"/>
    <w:rsid w:val="004247BF"/>
    <w:rsid w:val="0042492A"/>
    <w:rsid w:val="00424B37"/>
    <w:rsid w:val="00424C6A"/>
    <w:rsid w:val="00424FAB"/>
    <w:rsid w:val="00425112"/>
    <w:rsid w:val="00425213"/>
    <w:rsid w:val="004257BB"/>
    <w:rsid w:val="0042609C"/>
    <w:rsid w:val="00426386"/>
    <w:rsid w:val="004268DD"/>
    <w:rsid w:val="00426A34"/>
    <w:rsid w:val="00426A91"/>
    <w:rsid w:val="00426AA5"/>
    <w:rsid w:val="00427536"/>
    <w:rsid w:val="00427E47"/>
    <w:rsid w:val="004302C9"/>
    <w:rsid w:val="0043096B"/>
    <w:rsid w:val="00431DDC"/>
    <w:rsid w:val="0043285D"/>
    <w:rsid w:val="00433908"/>
    <w:rsid w:val="00433AB4"/>
    <w:rsid w:val="00434B1F"/>
    <w:rsid w:val="00434B42"/>
    <w:rsid w:val="004352A1"/>
    <w:rsid w:val="00435DA1"/>
    <w:rsid w:val="00435E69"/>
    <w:rsid w:val="00436162"/>
    <w:rsid w:val="0043680C"/>
    <w:rsid w:val="00436BF3"/>
    <w:rsid w:val="0043790D"/>
    <w:rsid w:val="00437933"/>
    <w:rsid w:val="00437EAC"/>
    <w:rsid w:val="004400ED"/>
    <w:rsid w:val="004405D1"/>
    <w:rsid w:val="004409FD"/>
    <w:rsid w:val="00441A27"/>
    <w:rsid w:val="00441F12"/>
    <w:rsid w:val="00442121"/>
    <w:rsid w:val="00442964"/>
    <w:rsid w:val="00442DA7"/>
    <w:rsid w:val="004437D2"/>
    <w:rsid w:val="004437FA"/>
    <w:rsid w:val="0044482F"/>
    <w:rsid w:val="00445384"/>
    <w:rsid w:val="00445D98"/>
    <w:rsid w:val="00445DF3"/>
    <w:rsid w:val="00446008"/>
    <w:rsid w:val="004502B3"/>
    <w:rsid w:val="0045081C"/>
    <w:rsid w:val="00450985"/>
    <w:rsid w:val="00450C6F"/>
    <w:rsid w:val="00450FCE"/>
    <w:rsid w:val="0045108E"/>
    <w:rsid w:val="00451801"/>
    <w:rsid w:val="0045180D"/>
    <w:rsid w:val="00451D45"/>
    <w:rsid w:val="00451EFF"/>
    <w:rsid w:val="0045230B"/>
    <w:rsid w:val="00452846"/>
    <w:rsid w:val="00453338"/>
    <w:rsid w:val="00453818"/>
    <w:rsid w:val="00453A9E"/>
    <w:rsid w:val="0045426F"/>
    <w:rsid w:val="00454B2F"/>
    <w:rsid w:val="00454C8A"/>
    <w:rsid w:val="00454DB1"/>
    <w:rsid w:val="00454FAC"/>
    <w:rsid w:val="00455142"/>
    <w:rsid w:val="004553C4"/>
    <w:rsid w:val="004554F5"/>
    <w:rsid w:val="00455C0A"/>
    <w:rsid w:val="00456389"/>
    <w:rsid w:val="004564D4"/>
    <w:rsid w:val="00456618"/>
    <w:rsid w:val="00456733"/>
    <w:rsid w:val="00456751"/>
    <w:rsid w:val="0045692C"/>
    <w:rsid w:val="00456A45"/>
    <w:rsid w:val="00457A73"/>
    <w:rsid w:val="004600C7"/>
    <w:rsid w:val="00460437"/>
    <w:rsid w:val="00460517"/>
    <w:rsid w:val="00460993"/>
    <w:rsid w:val="00460D28"/>
    <w:rsid w:val="00460E1F"/>
    <w:rsid w:val="00461593"/>
    <w:rsid w:val="00461A8E"/>
    <w:rsid w:val="00461EC0"/>
    <w:rsid w:val="00462032"/>
    <w:rsid w:val="00462113"/>
    <w:rsid w:val="00462245"/>
    <w:rsid w:val="0046248F"/>
    <w:rsid w:val="004625C6"/>
    <w:rsid w:val="0046261C"/>
    <w:rsid w:val="00462BDC"/>
    <w:rsid w:val="00462F91"/>
    <w:rsid w:val="004631CD"/>
    <w:rsid w:val="00463202"/>
    <w:rsid w:val="004638C3"/>
    <w:rsid w:val="00463D51"/>
    <w:rsid w:val="00463D62"/>
    <w:rsid w:val="00463E32"/>
    <w:rsid w:val="00463F5D"/>
    <w:rsid w:val="00464DE4"/>
    <w:rsid w:val="00465690"/>
    <w:rsid w:val="004656E0"/>
    <w:rsid w:val="00465BA5"/>
    <w:rsid w:val="004664F0"/>
    <w:rsid w:val="0046682C"/>
    <w:rsid w:val="00466940"/>
    <w:rsid w:val="00466A16"/>
    <w:rsid w:val="00466FD8"/>
    <w:rsid w:val="00467116"/>
    <w:rsid w:val="00467411"/>
    <w:rsid w:val="004674C7"/>
    <w:rsid w:val="00467C9F"/>
    <w:rsid w:val="004707B3"/>
    <w:rsid w:val="004713D0"/>
    <w:rsid w:val="00471622"/>
    <w:rsid w:val="00471626"/>
    <w:rsid w:val="004716F9"/>
    <w:rsid w:val="00471EA5"/>
    <w:rsid w:val="00472000"/>
    <w:rsid w:val="004720FE"/>
    <w:rsid w:val="004722F0"/>
    <w:rsid w:val="004728AB"/>
    <w:rsid w:val="00472D23"/>
    <w:rsid w:val="004734F4"/>
    <w:rsid w:val="004738D3"/>
    <w:rsid w:val="0047417A"/>
    <w:rsid w:val="004741D2"/>
    <w:rsid w:val="004747B0"/>
    <w:rsid w:val="00474B4C"/>
    <w:rsid w:val="00474FC3"/>
    <w:rsid w:val="00475061"/>
    <w:rsid w:val="004756E5"/>
    <w:rsid w:val="00475F37"/>
    <w:rsid w:val="00475F8A"/>
    <w:rsid w:val="0047611C"/>
    <w:rsid w:val="00476B63"/>
    <w:rsid w:val="00477190"/>
    <w:rsid w:val="004779E5"/>
    <w:rsid w:val="00477E49"/>
    <w:rsid w:val="00477F42"/>
    <w:rsid w:val="004801BC"/>
    <w:rsid w:val="00480260"/>
    <w:rsid w:val="004804A5"/>
    <w:rsid w:val="0048070C"/>
    <w:rsid w:val="00480DC3"/>
    <w:rsid w:val="00480F33"/>
    <w:rsid w:val="004812F8"/>
    <w:rsid w:val="0048140C"/>
    <w:rsid w:val="00481413"/>
    <w:rsid w:val="00481F79"/>
    <w:rsid w:val="004829BD"/>
    <w:rsid w:val="00482C63"/>
    <w:rsid w:val="00482DD7"/>
    <w:rsid w:val="004830EF"/>
    <w:rsid w:val="00483244"/>
    <w:rsid w:val="004834C0"/>
    <w:rsid w:val="0048381B"/>
    <w:rsid w:val="00483C54"/>
    <w:rsid w:val="0048552C"/>
    <w:rsid w:val="004857D6"/>
    <w:rsid w:val="0048653F"/>
    <w:rsid w:val="00486A19"/>
    <w:rsid w:val="00487EE6"/>
    <w:rsid w:val="004906C5"/>
    <w:rsid w:val="00490DBB"/>
    <w:rsid w:val="004913F9"/>
    <w:rsid w:val="00491CE6"/>
    <w:rsid w:val="00492431"/>
    <w:rsid w:val="00492A43"/>
    <w:rsid w:val="00492AD6"/>
    <w:rsid w:val="00493792"/>
    <w:rsid w:val="004937D6"/>
    <w:rsid w:val="004939FF"/>
    <w:rsid w:val="00493C3D"/>
    <w:rsid w:val="0049424F"/>
    <w:rsid w:val="00494CD2"/>
    <w:rsid w:val="00494CF6"/>
    <w:rsid w:val="0049506C"/>
    <w:rsid w:val="00495A12"/>
    <w:rsid w:val="00495C14"/>
    <w:rsid w:val="004960E0"/>
    <w:rsid w:val="00496365"/>
    <w:rsid w:val="00496450"/>
    <w:rsid w:val="004964B9"/>
    <w:rsid w:val="0049679F"/>
    <w:rsid w:val="004970F6"/>
    <w:rsid w:val="0049791C"/>
    <w:rsid w:val="00497E27"/>
    <w:rsid w:val="00497F5C"/>
    <w:rsid w:val="004A0CA1"/>
    <w:rsid w:val="004A0D6D"/>
    <w:rsid w:val="004A103A"/>
    <w:rsid w:val="004A11BA"/>
    <w:rsid w:val="004A1A7B"/>
    <w:rsid w:val="004A1D86"/>
    <w:rsid w:val="004A1EB1"/>
    <w:rsid w:val="004A2471"/>
    <w:rsid w:val="004A330F"/>
    <w:rsid w:val="004A3837"/>
    <w:rsid w:val="004A38EF"/>
    <w:rsid w:val="004A4C4D"/>
    <w:rsid w:val="004A4C6D"/>
    <w:rsid w:val="004A4E12"/>
    <w:rsid w:val="004A4FD1"/>
    <w:rsid w:val="004A5401"/>
    <w:rsid w:val="004A55A9"/>
    <w:rsid w:val="004A56C1"/>
    <w:rsid w:val="004A593B"/>
    <w:rsid w:val="004A5D34"/>
    <w:rsid w:val="004A5D62"/>
    <w:rsid w:val="004A60D7"/>
    <w:rsid w:val="004A6429"/>
    <w:rsid w:val="004A656A"/>
    <w:rsid w:val="004A6938"/>
    <w:rsid w:val="004A7B39"/>
    <w:rsid w:val="004A7E21"/>
    <w:rsid w:val="004B0357"/>
    <w:rsid w:val="004B069A"/>
    <w:rsid w:val="004B079B"/>
    <w:rsid w:val="004B08E9"/>
    <w:rsid w:val="004B0BC8"/>
    <w:rsid w:val="004B1005"/>
    <w:rsid w:val="004B1063"/>
    <w:rsid w:val="004B1580"/>
    <w:rsid w:val="004B1EBE"/>
    <w:rsid w:val="004B1ECE"/>
    <w:rsid w:val="004B223E"/>
    <w:rsid w:val="004B23BE"/>
    <w:rsid w:val="004B2442"/>
    <w:rsid w:val="004B24F6"/>
    <w:rsid w:val="004B2554"/>
    <w:rsid w:val="004B2896"/>
    <w:rsid w:val="004B2A07"/>
    <w:rsid w:val="004B2A46"/>
    <w:rsid w:val="004B2A74"/>
    <w:rsid w:val="004B3386"/>
    <w:rsid w:val="004B39C8"/>
    <w:rsid w:val="004B4054"/>
    <w:rsid w:val="004B5286"/>
    <w:rsid w:val="004B54D4"/>
    <w:rsid w:val="004B5E9B"/>
    <w:rsid w:val="004B617A"/>
    <w:rsid w:val="004B6A79"/>
    <w:rsid w:val="004B6F78"/>
    <w:rsid w:val="004B6FB8"/>
    <w:rsid w:val="004B754A"/>
    <w:rsid w:val="004B765F"/>
    <w:rsid w:val="004C039C"/>
    <w:rsid w:val="004C04A5"/>
    <w:rsid w:val="004C04E5"/>
    <w:rsid w:val="004C0B62"/>
    <w:rsid w:val="004C0D80"/>
    <w:rsid w:val="004C0E40"/>
    <w:rsid w:val="004C108C"/>
    <w:rsid w:val="004C2538"/>
    <w:rsid w:val="004C27DC"/>
    <w:rsid w:val="004C2A39"/>
    <w:rsid w:val="004C2B6D"/>
    <w:rsid w:val="004C2C08"/>
    <w:rsid w:val="004C2F4E"/>
    <w:rsid w:val="004C34D8"/>
    <w:rsid w:val="004C367A"/>
    <w:rsid w:val="004C3933"/>
    <w:rsid w:val="004C3E02"/>
    <w:rsid w:val="004C40C5"/>
    <w:rsid w:val="004C4255"/>
    <w:rsid w:val="004C4688"/>
    <w:rsid w:val="004C4E32"/>
    <w:rsid w:val="004C4EC6"/>
    <w:rsid w:val="004C5397"/>
    <w:rsid w:val="004C5DE7"/>
    <w:rsid w:val="004C64B8"/>
    <w:rsid w:val="004C6AE2"/>
    <w:rsid w:val="004C738B"/>
    <w:rsid w:val="004C73F7"/>
    <w:rsid w:val="004C742F"/>
    <w:rsid w:val="004C784E"/>
    <w:rsid w:val="004C7D78"/>
    <w:rsid w:val="004C7F33"/>
    <w:rsid w:val="004D05E5"/>
    <w:rsid w:val="004D0852"/>
    <w:rsid w:val="004D08E6"/>
    <w:rsid w:val="004D0B7B"/>
    <w:rsid w:val="004D16E6"/>
    <w:rsid w:val="004D17FD"/>
    <w:rsid w:val="004D1EFA"/>
    <w:rsid w:val="004D2219"/>
    <w:rsid w:val="004D24B0"/>
    <w:rsid w:val="004D2B4D"/>
    <w:rsid w:val="004D2BA2"/>
    <w:rsid w:val="004D33E6"/>
    <w:rsid w:val="004D3BBD"/>
    <w:rsid w:val="004D3CC7"/>
    <w:rsid w:val="004D431F"/>
    <w:rsid w:val="004D4632"/>
    <w:rsid w:val="004D4CBE"/>
    <w:rsid w:val="004D4CFD"/>
    <w:rsid w:val="004D4D28"/>
    <w:rsid w:val="004D539F"/>
    <w:rsid w:val="004D580C"/>
    <w:rsid w:val="004D59C2"/>
    <w:rsid w:val="004D6487"/>
    <w:rsid w:val="004D683A"/>
    <w:rsid w:val="004D690C"/>
    <w:rsid w:val="004D6BCA"/>
    <w:rsid w:val="004D6BDA"/>
    <w:rsid w:val="004D7BE7"/>
    <w:rsid w:val="004E0210"/>
    <w:rsid w:val="004E0471"/>
    <w:rsid w:val="004E0BE6"/>
    <w:rsid w:val="004E0F66"/>
    <w:rsid w:val="004E132A"/>
    <w:rsid w:val="004E14BE"/>
    <w:rsid w:val="004E19F6"/>
    <w:rsid w:val="004E1CEC"/>
    <w:rsid w:val="004E1F21"/>
    <w:rsid w:val="004E2304"/>
    <w:rsid w:val="004E23F0"/>
    <w:rsid w:val="004E26DF"/>
    <w:rsid w:val="004E2C05"/>
    <w:rsid w:val="004E34C1"/>
    <w:rsid w:val="004E34F7"/>
    <w:rsid w:val="004E3748"/>
    <w:rsid w:val="004E391B"/>
    <w:rsid w:val="004E394A"/>
    <w:rsid w:val="004E3CC7"/>
    <w:rsid w:val="004E3F04"/>
    <w:rsid w:val="004E41A3"/>
    <w:rsid w:val="004E4556"/>
    <w:rsid w:val="004E4614"/>
    <w:rsid w:val="004E47C2"/>
    <w:rsid w:val="004E4921"/>
    <w:rsid w:val="004E4A7A"/>
    <w:rsid w:val="004E5BE2"/>
    <w:rsid w:val="004E5D35"/>
    <w:rsid w:val="004E5F9E"/>
    <w:rsid w:val="004E6309"/>
    <w:rsid w:val="004E64B0"/>
    <w:rsid w:val="004E6B65"/>
    <w:rsid w:val="004E7FF0"/>
    <w:rsid w:val="004F0132"/>
    <w:rsid w:val="004F03D9"/>
    <w:rsid w:val="004F115E"/>
    <w:rsid w:val="004F12B7"/>
    <w:rsid w:val="004F147E"/>
    <w:rsid w:val="004F14D8"/>
    <w:rsid w:val="004F17EF"/>
    <w:rsid w:val="004F17F3"/>
    <w:rsid w:val="004F1ED1"/>
    <w:rsid w:val="004F2147"/>
    <w:rsid w:val="004F30E7"/>
    <w:rsid w:val="004F30EE"/>
    <w:rsid w:val="004F332A"/>
    <w:rsid w:val="004F3995"/>
    <w:rsid w:val="004F3E1D"/>
    <w:rsid w:val="004F3EE9"/>
    <w:rsid w:val="004F4725"/>
    <w:rsid w:val="004F5002"/>
    <w:rsid w:val="004F5E16"/>
    <w:rsid w:val="004F6097"/>
    <w:rsid w:val="004F67F0"/>
    <w:rsid w:val="004F7319"/>
    <w:rsid w:val="004F791E"/>
    <w:rsid w:val="004F79EF"/>
    <w:rsid w:val="004F7C7A"/>
    <w:rsid w:val="00501124"/>
    <w:rsid w:val="005017BA"/>
    <w:rsid w:val="00501D97"/>
    <w:rsid w:val="00501DDC"/>
    <w:rsid w:val="00501E84"/>
    <w:rsid w:val="00501F63"/>
    <w:rsid w:val="005021F5"/>
    <w:rsid w:val="00502815"/>
    <w:rsid w:val="00502B8B"/>
    <w:rsid w:val="00502CF7"/>
    <w:rsid w:val="005030C6"/>
    <w:rsid w:val="00504F2A"/>
    <w:rsid w:val="0050513E"/>
    <w:rsid w:val="00505D93"/>
    <w:rsid w:val="00506195"/>
    <w:rsid w:val="00506B2E"/>
    <w:rsid w:val="00507100"/>
    <w:rsid w:val="00507244"/>
    <w:rsid w:val="00507503"/>
    <w:rsid w:val="00507C30"/>
    <w:rsid w:val="0051054E"/>
    <w:rsid w:val="00510583"/>
    <w:rsid w:val="005105D8"/>
    <w:rsid w:val="00511149"/>
    <w:rsid w:val="00511579"/>
    <w:rsid w:val="00512152"/>
    <w:rsid w:val="0051266B"/>
    <w:rsid w:val="005126C2"/>
    <w:rsid w:val="00512C94"/>
    <w:rsid w:val="0051329E"/>
    <w:rsid w:val="0051394D"/>
    <w:rsid w:val="00513BE9"/>
    <w:rsid w:val="005140E3"/>
    <w:rsid w:val="005146C2"/>
    <w:rsid w:val="00514824"/>
    <w:rsid w:val="0051502E"/>
    <w:rsid w:val="005159A8"/>
    <w:rsid w:val="00515FEB"/>
    <w:rsid w:val="00515FFC"/>
    <w:rsid w:val="00516694"/>
    <w:rsid w:val="00516803"/>
    <w:rsid w:val="00516BB5"/>
    <w:rsid w:val="00516C6C"/>
    <w:rsid w:val="005170C5"/>
    <w:rsid w:val="005202F3"/>
    <w:rsid w:val="00520587"/>
    <w:rsid w:val="00520A93"/>
    <w:rsid w:val="00521C76"/>
    <w:rsid w:val="00522D67"/>
    <w:rsid w:val="005235A6"/>
    <w:rsid w:val="005236C7"/>
    <w:rsid w:val="005239C0"/>
    <w:rsid w:val="005246A6"/>
    <w:rsid w:val="0052472F"/>
    <w:rsid w:val="005250AC"/>
    <w:rsid w:val="00525287"/>
    <w:rsid w:val="00525ACE"/>
    <w:rsid w:val="0052605A"/>
    <w:rsid w:val="0052668A"/>
    <w:rsid w:val="00526716"/>
    <w:rsid w:val="00526905"/>
    <w:rsid w:val="00526E44"/>
    <w:rsid w:val="005271B7"/>
    <w:rsid w:val="0052741A"/>
    <w:rsid w:val="0053011B"/>
    <w:rsid w:val="00530B60"/>
    <w:rsid w:val="00530D52"/>
    <w:rsid w:val="00530F1E"/>
    <w:rsid w:val="00531003"/>
    <w:rsid w:val="005313B6"/>
    <w:rsid w:val="005315A0"/>
    <w:rsid w:val="005315F7"/>
    <w:rsid w:val="00532390"/>
    <w:rsid w:val="00532AE3"/>
    <w:rsid w:val="00532EBD"/>
    <w:rsid w:val="00532F0C"/>
    <w:rsid w:val="00533EA4"/>
    <w:rsid w:val="005348C7"/>
    <w:rsid w:val="00535840"/>
    <w:rsid w:val="005358E0"/>
    <w:rsid w:val="00535A72"/>
    <w:rsid w:val="00535F6A"/>
    <w:rsid w:val="00536330"/>
    <w:rsid w:val="00536A6D"/>
    <w:rsid w:val="00536A89"/>
    <w:rsid w:val="00536BE4"/>
    <w:rsid w:val="00537066"/>
    <w:rsid w:val="00537071"/>
    <w:rsid w:val="00537612"/>
    <w:rsid w:val="00540801"/>
    <w:rsid w:val="00540982"/>
    <w:rsid w:val="005409E6"/>
    <w:rsid w:val="0054191A"/>
    <w:rsid w:val="00541A5E"/>
    <w:rsid w:val="005423D0"/>
    <w:rsid w:val="005426F4"/>
    <w:rsid w:val="00542936"/>
    <w:rsid w:val="005429B6"/>
    <w:rsid w:val="00542DD7"/>
    <w:rsid w:val="00543021"/>
    <w:rsid w:val="005438BD"/>
    <w:rsid w:val="00544608"/>
    <w:rsid w:val="00544688"/>
    <w:rsid w:val="005447FD"/>
    <w:rsid w:val="005448F0"/>
    <w:rsid w:val="00544C84"/>
    <w:rsid w:val="00545966"/>
    <w:rsid w:val="00546245"/>
    <w:rsid w:val="00546550"/>
    <w:rsid w:val="005468E1"/>
    <w:rsid w:val="005469A9"/>
    <w:rsid w:val="00546B8E"/>
    <w:rsid w:val="00547172"/>
    <w:rsid w:val="005500B9"/>
    <w:rsid w:val="00550831"/>
    <w:rsid w:val="00550A66"/>
    <w:rsid w:val="00550C83"/>
    <w:rsid w:val="005527B9"/>
    <w:rsid w:val="00552D40"/>
    <w:rsid w:val="00553493"/>
    <w:rsid w:val="00553AD0"/>
    <w:rsid w:val="00553C13"/>
    <w:rsid w:val="00554EA0"/>
    <w:rsid w:val="005556C8"/>
    <w:rsid w:val="005559AC"/>
    <w:rsid w:val="005569C4"/>
    <w:rsid w:val="00556BF7"/>
    <w:rsid w:val="00557442"/>
    <w:rsid w:val="0055791B"/>
    <w:rsid w:val="00557C1D"/>
    <w:rsid w:val="00560105"/>
    <w:rsid w:val="00560E76"/>
    <w:rsid w:val="00561932"/>
    <w:rsid w:val="00562283"/>
    <w:rsid w:val="00562305"/>
    <w:rsid w:val="0056238E"/>
    <w:rsid w:val="005633C4"/>
    <w:rsid w:val="005638D2"/>
    <w:rsid w:val="005642D7"/>
    <w:rsid w:val="005643E6"/>
    <w:rsid w:val="00564462"/>
    <w:rsid w:val="00564CC4"/>
    <w:rsid w:val="00564FD7"/>
    <w:rsid w:val="00565F32"/>
    <w:rsid w:val="00565F54"/>
    <w:rsid w:val="00566121"/>
    <w:rsid w:val="00566285"/>
    <w:rsid w:val="005662E9"/>
    <w:rsid w:val="0056725A"/>
    <w:rsid w:val="00567335"/>
    <w:rsid w:val="005677FD"/>
    <w:rsid w:val="00570418"/>
    <w:rsid w:val="00570E14"/>
    <w:rsid w:val="00570E2E"/>
    <w:rsid w:val="005716F4"/>
    <w:rsid w:val="005717BB"/>
    <w:rsid w:val="00571D99"/>
    <w:rsid w:val="00571E1B"/>
    <w:rsid w:val="0057223C"/>
    <w:rsid w:val="00572369"/>
    <w:rsid w:val="00572896"/>
    <w:rsid w:val="00572AD3"/>
    <w:rsid w:val="0057337D"/>
    <w:rsid w:val="0057339A"/>
    <w:rsid w:val="005734E3"/>
    <w:rsid w:val="005735BD"/>
    <w:rsid w:val="0057370A"/>
    <w:rsid w:val="005741C7"/>
    <w:rsid w:val="005742A0"/>
    <w:rsid w:val="00574634"/>
    <w:rsid w:val="00574C10"/>
    <w:rsid w:val="00574C76"/>
    <w:rsid w:val="00574CF3"/>
    <w:rsid w:val="00575133"/>
    <w:rsid w:val="00575238"/>
    <w:rsid w:val="005754F2"/>
    <w:rsid w:val="00575971"/>
    <w:rsid w:val="00575AE5"/>
    <w:rsid w:val="00575D99"/>
    <w:rsid w:val="005762D4"/>
    <w:rsid w:val="00576890"/>
    <w:rsid w:val="00576B3E"/>
    <w:rsid w:val="00576D30"/>
    <w:rsid w:val="00576DEA"/>
    <w:rsid w:val="0057722C"/>
    <w:rsid w:val="00577466"/>
    <w:rsid w:val="00577469"/>
    <w:rsid w:val="00580043"/>
    <w:rsid w:val="00580D60"/>
    <w:rsid w:val="005812CE"/>
    <w:rsid w:val="0058194A"/>
    <w:rsid w:val="00581978"/>
    <w:rsid w:val="00581F94"/>
    <w:rsid w:val="00582D0F"/>
    <w:rsid w:val="005839BF"/>
    <w:rsid w:val="00583CE6"/>
    <w:rsid w:val="00583D5D"/>
    <w:rsid w:val="00583EE3"/>
    <w:rsid w:val="0058406A"/>
    <w:rsid w:val="00584E9B"/>
    <w:rsid w:val="0058508B"/>
    <w:rsid w:val="005859F6"/>
    <w:rsid w:val="00585ACA"/>
    <w:rsid w:val="00585D3D"/>
    <w:rsid w:val="00586157"/>
    <w:rsid w:val="00586C78"/>
    <w:rsid w:val="00586F48"/>
    <w:rsid w:val="00587074"/>
    <w:rsid w:val="0058708C"/>
    <w:rsid w:val="00587391"/>
    <w:rsid w:val="00587532"/>
    <w:rsid w:val="0058757D"/>
    <w:rsid w:val="005876BD"/>
    <w:rsid w:val="0059163C"/>
    <w:rsid w:val="005916A3"/>
    <w:rsid w:val="00591D01"/>
    <w:rsid w:val="00592016"/>
    <w:rsid w:val="00592095"/>
    <w:rsid w:val="00592248"/>
    <w:rsid w:val="00592C04"/>
    <w:rsid w:val="00592C2B"/>
    <w:rsid w:val="00593587"/>
    <w:rsid w:val="005936C3"/>
    <w:rsid w:val="00593926"/>
    <w:rsid w:val="00593E07"/>
    <w:rsid w:val="005944D0"/>
    <w:rsid w:val="005945E2"/>
    <w:rsid w:val="00594F4E"/>
    <w:rsid w:val="005952CB"/>
    <w:rsid w:val="00595376"/>
    <w:rsid w:val="00595562"/>
    <w:rsid w:val="005956F0"/>
    <w:rsid w:val="00595716"/>
    <w:rsid w:val="00595731"/>
    <w:rsid w:val="0059581D"/>
    <w:rsid w:val="00595B17"/>
    <w:rsid w:val="00595D65"/>
    <w:rsid w:val="00595E23"/>
    <w:rsid w:val="005960E0"/>
    <w:rsid w:val="00596710"/>
    <w:rsid w:val="00596A40"/>
    <w:rsid w:val="0059710B"/>
    <w:rsid w:val="005974C0"/>
    <w:rsid w:val="00597ABE"/>
    <w:rsid w:val="00597AC5"/>
    <w:rsid w:val="00597B0C"/>
    <w:rsid w:val="00597C9B"/>
    <w:rsid w:val="005A08E7"/>
    <w:rsid w:val="005A126E"/>
    <w:rsid w:val="005A139E"/>
    <w:rsid w:val="005A1FC7"/>
    <w:rsid w:val="005A2630"/>
    <w:rsid w:val="005A289A"/>
    <w:rsid w:val="005A2A5C"/>
    <w:rsid w:val="005A345F"/>
    <w:rsid w:val="005A38E0"/>
    <w:rsid w:val="005A3D9B"/>
    <w:rsid w:val="005A40DC"/>
    <w:rsid w:val="005A4C7F"/>
    <w:rsid w:val="005A4CB9"/>
    <w:rsid w:val="005A4EA1"/>
    <w:rsid w:val="005A4FA0"/>
    <w:rsid w:val="005A5804"/>
    <w:rsid w:val="005A5AE2"/>
    <w:rsid w:val="005A5C47"/>
    <w:rsid w:val="005A5E4B"/>
    <w:rsid w:val="005A6500"/>
    <w:rsid w:val="005A66EA"/>
    <w:rsid w:val="005A71B6"/>
    <w:rsid w:val="005A734B"/>
    <w:rsid w:val="005A7382"/>
    <w:rsid w:val="005A7793"/>
    <w:rsid w:val="005A789D"/>
    <w:rsid w:val="005B0194"/>
    <w:rsid w:val="005B06A8"/>
    <w:rsid w:val="005B1A7B"/>
    <w:rsid w:val="005B1BDC"/>
    <w:rsid w:val="005B25CB"/>
    <w:rsid w:val="005B2834"/>
    <w:rsid w:val="005B28D0"/>
    <w:rsid w:val="005B3BBD"/>
    <w:rsid w:val="005B3D10"/>
    <w:rsid w:val="005B3FA8"/>
    <w:rsid w:val="005B4014"/>
    <w:rsid w:val="005B40A3"/>
    <w:rsid w:val="005B4156"/>
    <w:rsid w:val="005B4250"/>
    <w:rsid w:val="005B4695"/>
    <w:rsid w:val="005B51DC"/>
    <w:rsid w:val="005B520F"/>
    <w:rsid w:val="005B5565"/>
    <w:rsid w:val="005B57FB"/>
    <w:rsid w:val="005B5F94"/>
    <w:rsid w:val="005B678E"/>
    <w:rsid w:val="005B6AB8"/>
    <w:rsid w:val="005B6AD5"/>
    <w:rsid w:val="005B7101"/>
    <w:rsid w:val="005B72EA"/>
    <w:rsid w:val="005B7F3E"/>
    <w:rsid w:val="005C02AA"/>
    <w:rsid w:val="005C02E0"/>
    <w:rsid w:val="005C08EA"/>
    <w:rsid w:val="005C0B7F"/>
    <w:rsid w:val="005C0DD3"/>
    <w:rsid w:val="005C1267"/>
    <w:rsid w:val="005C2A70"/>
    <w:rsid w:val="005C2EBB"/>
    <w:rsid w:val="005C2FFA"/>
    <w:rsid w:val="005C3527"/>
    <w:rsid w:val="005C399C"/>
    <w:rsid w:val="005C47FF"/>
    <w:rsid w:val="005C49AF"/>
    <w:rsid w:val="005C49C5"/>
    <w:rsid w:val="005C5D2F"/>
    <w:rsid w:val="005C5FF7"/>
    <w:rsid w:val="005C68D0"/>
    <w:rsid w:val="005C7922"/>
    <w:rsid w:val="005D01E7"/>
    <w:rsid w:val="005D0283"/>
    <w:rsid w:val="005D064C"/>
    <w:rsid w:val="005D0870"/>
    <w:rsid w:val="005D1463"/>
    <w:rsid w:val="005D16A2"/>
    <w:rsid w:val="005D1EDF"/>
    <w:rsid w:val="005D2059"/>
    <w:rsid w:val="005D23B2"/>
    <w:rsid w:val="005D28D6"/>
    <w:rsid w:val="005D2F68"/>
    <w:rsid w:val="005D3067"/>
    <w:rsid w:val="005D319C"/>
    <w:rsid w:val="005D3410"/>
    <w:rsid w:val="005D3511"/>
    <w:rsid w:val="005D3B29"/>
    <w:rsid w:val="005D3C67"/>
    <w:rsid w:val="005D3CC9"/>
    <w:rsid w:val="005D47CF"/>
    <w:rsid w:val="005D4B90"/>
    <w:rsid w:val="005D4C74"/>
    <w:rsid w:val="005D5119"/>
    <w:rsid w:val="005D543E"/>
    <w:rsid w:val="005D54E9"/>
    <w:rsid w:val="005D55E1"/>
    <w:rsid w:val="005D5778"/>
    <w:rsid w:val="005D636C"/>
    <w:rsid w:val="005D664F"/>
    <w:rsid w:val="005D6C4A"/>
    <w:rsid w:val="005D6DF7"/>
    <w:rsid w:val="005D7C69"/>
    <w:rsid w:val="005D7CEE"/>
    <w:rsid w:val="005E0509"/>
    <w:rsid w:val="005E0C53"/>
    <w:rsid w:val="005E0E41"/>
    <w:rsid w:val="005E1CEE"/>
    <w:rsid w:val="005E1E83"/>
    <w:rsid w:val="005E234E"/>
    <w:rsid w:val="005E38C0"/>
    <w:rsid w:val="005E3EC1"/>
    <w:rsid w:val="005E3FF9"/>
    <w:rsid w:val="005E4522"/>
    <w:rsid w:val="005E46E3"/>
    <w:rsid w:val="005E4A3D"/>
    <w:rsid w:val="005E4D32"/>
    <w:rsid w:val="005E4ECA"/>
    <w:rsid w:val="005E5488"/>
    <w:rsid w:val="005E5C14"/>
    <w:rsid w:val="005E5D26"/>
    <w:rsid w:val="005E6168"/>
    <w:rsid w:val="005E6BAA"/>
    <w:rsid w:val="005E6FC3"/>
    <w:rsid w:val="005E7599"/>
    <w:rsid w:val="005E7791"/>
    <w:rsid w:val="005E7A20"/>
    <w:rsid w:val="005F0B98"/>
    <w:rsid w:val="005F0C8C"/>
    <w:rsid w:val="005F134F"/>
    <w:rsid w:val="005F1709"/>
    <w:rsid w:val="005F1BAA"/>
    <w:rsid w:val="005F20B4"/>
    <w:rsid w:val="005F210F"/>
    <w:rsid w:val="005F2171"/>
    <w:rsid w:val="005F2622"/>
    <w:rsid w:val="005F2899"/>
    <w:rsid w:val="005F2C33"/>
    <w:rsid w:val="005F3A27"/>
    <w:rsid w:val="005F3A7A"/>
    <w:rsid w:val="005F3B90"/>
    <w:rsid w:val="005F4064"/>
    <w:rsid w:val="005F43E7"/>
    <w:rsid w:val="005F4853"/>
    <w:rsid w:val="005F4C26"/>
    <w:rsid w:val="005F4E15"/>
    <w:rsid w:val="005F4EA0"/>
    <w:rsid w:val="005F503C"/>
    <w:rsid w:val="005F50FD"/>
    <w:rsid w:val="005F58EC"/>
    <w:rsid w:val="005F5D99"/>
    <w:rsid w:val="005F5F21"/>
    <w:rsid w:val="005F6255"/>
    <w:rsid w:val="005F63E5"/>
    <w:rsid w:val="005F65C1"/>
    <w:rsid w:val="005F66B2"/>
    <w:rsid w:val="005F6935"/>
    <w:rsid w:val="005F69D0"/>
    <w:rsid w:val="005F6E46"/>
    <w:rsid w:val="005F706E"/>
    <w:rsid w:val="005F70C9"/>
    <w:rsid w:val="005F70CB"/>
    <w:rsid w:val="005F7AD5"/>
    <w:rsid w:val="005F7D59"/>
    <w:rsid w:val="006000F0"/>
    <w:rsid w:val="0060020B"/>
    <w:rsid w:val="006003DF"/>
    <w:rsid w:val="00600B4E"/>
    <w:rsid w:val="006014A4"/>
    <w:rsid w:val="006016AD"/>
    <w:rsid w:val="006017A6"/>
    <w:rsid w:val="00601BD6"/>
    <w:rsid w:val="006020D3"/>
    <w:rsid w:val="006028B5"/>
    <w:rsid w:val="00602DC0"/>
    <w:rsid w:val="006031A5"/>
    <w:rsid w:val="006037E5"/>
    <w:rsid w:val="006039B4"/>
    <w:rsid w:val="00604318"/>
    <w:rsid w:val="00604898"/>
    <w:rsid w:val="00604C0A"/>
    <w:rsid w:val="00604E93"/>
    <w:rsid w:val="00605081"/>
    <w:rsid w:val="00605399"/>
    <w:rsid w:val="00606A56"/>
    <w:rsid w:val="00606B47"/>
    <w:rsid w:val="00607893"/>
    <w:rsid w:val="00607BD4"/>
    <w:rsid w:val="00607C83"/>
    <w:rsid w:val="00607CA8"/>
    <w:rsid w:val="00607E32"/>
    <w:rsid w:val="006100FB"/>
    <w:rsid w:val="00610114"/>
    <w:rsid w:val="00610545"/>
    <w:rsid w:val="00610D9B"/>
    <w:rsid w:val="00611818"/>
    <w:rsid w:val="00611D6D"/>
    <w:rsid w:val="00611DEE"/>
    <w:rsid w:val="00612D1C"/>
    <w:rsid w:val="00613022"/>
    <w:rsid w:val="0061320B"/>
    <w:rsid w:val="006134FC"/>
    <w:rsid w:val="006139D7"/>
    <w:rsid w:val="00613AE8"/>
    <w:rsid w:val="00613C09"/>
    <w:rsid w:val="00613F3C"/>
    <w:rsid w:val="00614408"/>
    <w:rsid w:val="00614B9E"/>
    <w:rsid w:val="00614DB6"/>
    <w:rsid w:val="00615658"/>
    <w:rsid w:val="00615777"/>
    <w:rsid w:val="00615D74"/>
    <w:rsid w:val="0061604A"/>
    <w:rsid w:val="00616088"/>
    <w:rsid w:val="006160DC"/>
    <w:rsid w:val="006161AD"/>
    <w:rsid w:val="0061674F"/>
    <w:rsid w:val="00616868"/>
    <w:rsid w:val="00616DAE"/>
    <w:rsid w:val="0061709A"/>
    <w:rsid w:val="006170DA"/>
    <w:rsid w:val="00617222"/>
    <w:rsid w:val="00617752"/>
    <w:rsid w:val="006179D5"/>
    <w:rsid w:val="006201A0"/>
    <w:rsid w:val="006207DE"/>
    <w:rsid w:val="006208F8"/>
    <w:rsid w:val="00620914"/>
    <w:rsid w:val="00620DF4"/>
    <w:rsid w:val="00621545"/>
    <w:rsid w:val="00621882"/>
    <w:rsid w:val="006219DE"/>
    <w:rsid w:val="00621EFD"/>
    <w:rsid w:val="0062281E"/>
    <w:rsid w:val="00622DC6"/>
    <w:rsid w:val="00623407"/>
    <w:rsid w:val="006241F8"/>
    <w:rsid w:val="00624DFA"/>
    <w:rsid w:val="00624EC8"/>
    <w:rsid w:val="0062542A"/>
    <w:rsid w:val="006255DB"/>
    <w:rsid w:val="00625644"/>
    <w:rsid w:val="006257FE"/>
    <w:rsid w:val="00625BB1"/>
    <w:rsid w:val="00625C06"/>
    <w:rsid w:val="00626E3C"/>
    <w:rsid w:val="00627298"/>
    <w:rsid w:val="00627384"/>
    <w:rsid w:val="006277DE"/>
    <w:rsid w:val="00627C74"/>
    <w:rsid w:val="00627D25"/>
    <w:rsid w:val="00627F79"/>
    <w:rsid w:val="0063015C"/>
    <w:rsid w:val="006302C9"/>
    <w:rsid w:val="00630547"/>
    <w:rsid w:val="00630708"/>
    <w:rsid w:val="00630AFF"/>
    <w:rsid w:val="00630F00"/>
    <w:rsid w:val="00630FF0"/>
    <w:rsid w:val="00631353"/>
    <w:rsid w:val="00631509"/>
    <w:rsid w:val="0063199D"/>
    <w:rsid w:val="00631A3C"/>
    <w:rsid w:val="00631F97"/>
    <w:rsid w:val="006322B7"/>
    <w:rsid w:val="006327FF"/>
    <w:rsid w:val="006329FD"/>
    <w:rsid w:val="00632B74"/>
    <w:rsid w:val="0063329F"/>
    <w:rsid w:val="006333E4"/>
    <w:rsid w:val="00633D77"/>
    <w:rsid w:val="00633E11"/>
    <w:rsid w:val="00634AF9"/>
    <w:rsid w:val="00635870"/>
    <w:rsid w:val="006358DE"/>
    <w:rsid w:val="00635A7D"/>
    <w:rsid w:val="00635DB3"/>
    <w:rsid w:val="00635FDB"/>
    <w:rsid w:val="00635FE1"/>
    <w:rsid w:val="00636164"/>
    <w:rsid w:val="00636837"/>
    <w:rsid w:val="00636C05"/>
    <w:rsid w:val="0063737E"/>
    <w:rsid w:val="00637688"/>
    <w:rsid w:val="00637875"/>
    <w:rsid w:val="006378E0"/>
    <w:rsid w:val="00637E8D"/>
    <w:rsid w:val="00640373"/>
    <w:rsid w:val="00640709"/>
    <w:rsid w:val="00640A1A"/>
    <w:rsid w:val="00640B98"/>
    <w:rsid w:val="00640F89"/>
    <w:rsid w:val="00640F8E"/>
    <w:rsid w:val="006422BF"/>
    <w:rsid w:val="006425CA"/>
    <w:rsid w:val="00642CF0"/>
    <w:rsid w:val="00642EDD"/>
    <w:rsid w:val="00643448"/>
    <w:rsid w:val="006434D6"/>
    <w:rsid w:val="006439D6"/>
    <w:rsid w:val="00643D35"/>
    <w:rsid w:val="006443D2"/>
    <w:rsid w:val="00644504"/>
    <w:rsid w:val="006447CE"/>
    <w:rsid w:val="00644A4F"/>
    <w:rsid w:val="00644C92"/>
    <w:rsid w:val="00644D35"/>
    <w:rsid w:val="00645060"/>
    <w:rsid w:val="00645706"/>
    <w:rsid w:val="00645771"/>
    <w:rsid w:val="0064625E"/>
    <w:rsid w:val="006467F0"/>
    <w:rsid w:val="00646981"/>
    <w:rsid w:val="006469AC"/>
    <w:rsid w:val="00646FFE"/>
    <w:rsid w:val="006473BD"/>
    <w:rsid w:val="006477B0"/>
    <w:rsid w:val="00647947"/>
    <w:rsid w:val="00647BF4"/>
    <w:rsid w:val="006502CC"/>
    <w:rsid w:val="00650376"/>
    <w:rsid w:val="00650662"/>
    <w:rsid w:val="00650CA6"/>
    <w:rsid w:val="00651338"/>
    <w:rsid w:val="00651386"/>
    <w:rsid w:val="00651CE4"/>
    <w:rsid w:val="00651F16"/>
    <w:rsid w:val="006527ED"/>
    <w:rsid w:val="00652977"/>
    <w:rsid w:val="00652B2C"/>
    <w:rsid w:val="00652CFB"/>
    <w:rsid w:val="00652E5A"/>
    <w:rsid w:val="00653184"/>
    <w:rsid w:val="00653449"/>
    <w:rsid w:val="0065359C"/>
    <w:rsid w:val="00653649"/>
    <w:rsid w:val="0065429B"/>
    <w:rsid w:val="00654552"/>
    <w:rsid w:val="0065460E"/>
    <w:rsid w:val="0065461A"/>
    <w:rsid w:val="0065474D"/>
    <w:rsid w:val="006554C2"/>
    <w:rsid w:val="006554E5"/>
    <w:rsid w:val="00655760"/>
    <w:rsid w:val="00655AF0"/>
    <w:rsid w:val="00655C68"/>
    <w:rsid w:val="0065609F"/>
    <w:rsid w:val="00656102"/>
    <w:rsid w:val="006566B7"/>
    <w:rsid w:val="006567D2"/>
    <w:rsid w:val="00656EF9"/>
    <w:rsid w:val="006573BC"/>
    <w:rsid w:val="006578BE"/>
    <w:rsid w:val="00657992"/>
    <w:rsid w:val="00660349"/>
    <w:rsid w:val="00660470"/>
    <w:rsid w:val="00660982"/>
    <w:rsid w:val="00660E56"/>
    <w:rsid w:val="00661A5C"/>
    <w:rsid w:val="00661DAD"/>
    <w:rsid w:val="006620A1"/>
    <w:rsid w:val="00662136"/>
    <w:rsid w:val="006624FF"/>
    <w:rsid w:val="006628C2"/>
    <w:rsid w:val="00662A36"/>
    <w:rsid w:val="00662D88"/>
    <w:rsid w:val="00662F3D"/>
    <w:rsid w:val="0066316D"/>
    <w:rsid w:val="0066346E"/>
    <w:rsid w:val="006635BD"/>
    <w:rsid w:val="006638B6"/>
    <w:rsid w:val="00663CB4"/>
    <w:rsid w:val="00663F89"/>
    <w:rsid w:val="00664242"/>
    <w:rsid w:val="00664394"/>
    <w:rsid w:val="006649C8"/>
    <w:rsid w:val="00664FD6"/>
    <w:rsid w:val="006654D6"/>
    <w:rsid w:val="006657C0"/>
    <w:rsid w:val="00665968"/>
    <w:rsid w:val="00665C23"/>
    <w:rsid w:val="00665D5B"/>
    <w:rsid w:val="00665F13"/>
    <w:rsid w:val="006663CA"/>
    <w:rsid w:val="00666D5E"/>
    <w:rsid w:val="00666DB6"/>
    <w:rsid w:val="0066713B"/>
    <w:rsid w:val="006671C6"/>
    <w:rsid w:val="0066723E"/>
    <w:rsid w:val="0066744C"/>
    <w:rsid w:val="00667846"/>
    <w:rsid w:val="006700D6"/>
    <w:rsid w:val="006705C4"/>
    <w:rsid w:val="00671306"/>
    <w:rsid w:val="0067134E"/>
    <w:rsid w:val="0067162B"/>
    <w:rsid w:val="006719A1"/>
    <w:rsid w:val="00671E34"/>
    <w:rsid w:val="00671FE6"/>
    <w:rsid w:val="006726CE"/>
    <w:rsid w:val="00672711"/>
    <w:rsid w:val="00673224"/>
    <w:rsid w:val="006734E3"/>
    <w:rsid w:val="00673A2C"/>
    <w:rsid w:val="00673EBF"/>
    <w:rsid w:val="00674138"/>
    <w:rsid w:val="00674809"/>
    <w:rsid w:val="006752F5"/>
    <w:rsid w:val="0067531E"/>
    <w:rsid w:val="006754F5"/>
    <w:rsid w:val="00676194"/>
    <w:rsid w:val="00676E32"/>
    <w:rsid w:val="00677023"/>
    <w:rsid w:val="006771A2"/>
    <w:rsid w:val="0067789A"/>
    <w:rsid w:val="00677F94"/>
    <w:rsid w:val="006803F3"/>
    <w:rsid w:val="0068076A"/>
    <w:rsid w:val="00680CB9"/>
    <w:rsid w:val="00680EF1"/>
    <w:rsid w:val="00681351"/>
    <w:rsid w:val="0068157C"/>
    <w:rsid w:val="00681E7C"/>
    <w:rsid w:val="006825A5"/>
    <w:rsid w:val="00682D60"/>
    <w:rsid w:val="00682ED2"/>
    <w:rsid w:val="006835F9"/>
    <w:rsid w:val="006836E4"/>
    <w:rsid w:val="00683B26"/>
    <w:rsid w:val="00683D78"/>
    <w:rsid w:val="0068455B"/>
    <w:rsid w:val="0068488A"/>
    <w:rsid w:val="0068491F"/>
    <w:rsid w:val="00686382"/>
    <w:rsid w:val="006866A1"/>
    <w:rsid w:val="00686B49"/>
    <w:rsid w:val="006872F8"/>
    <w:rsid w:val="0068736E"/>
    <w:rsid w:val="00687532"/>
    <w:rsid w:val="00687597"/>
    <w:rsid w:val="00690846"/>
    <w:rsid w:val="00690A35"/>
    <w:rsid w:val="0069117C"/>
    <w:rsid w:val="0069155D"/>
    <w:rsid w:val="0069185F"/>
    <w:rsid w:val="00692C43"/>
    <w:rsid w:val="006933D2"/>
    <w:rsid w:val="00694352"/>
    <w:rsid w:val="0069449A"/>
    <w:rsid w:val="00694543"/>
    <w:rsid w:val="0069468A"/>
    <w:rsid w:val="006946F1"/>
    <w:rsid w:val="006949EB"/>
    <w:rsid w:val="0069553B"/>
    <w:rsid w:val="00696007"/>
    <w:rsid w:val="00696BEB"/>
    <w:rsid w:val="00696D29"/>
    <w:rsid w:val="0069714D"/>
    <w:rsid w:val="00697539"/>
    <w:rsid w:val="006975C2"/>
    <w:rsid w:val="00697CFB"/>
    <w:rsid w:val="006A0123"/>
    <w:rsid w:val="006A0A09"/>
    <w:rsid w:val="006A0BE0"/>
    <w:rsid w:val="006A0C88"/>
    <w:rsid w:val="006A0FC2"/>
    <w:rsid w:val="006A1BC2"/>
    <w:rsid w:val="006A24F6"/>
    <w:rsid w:val="006A2647"/>
    <w:rsid w:val="006A2953"/>
    <w:rsid w:val="006A2B9B"/>
    <w:rsid w:val="006A2C74"/>
    <w:rsid w:val="006A3542"/>
    <w:rsid w:val="006A40E1"/>
    <w:rsid w:val="006A422E"/>
    <w:rsid w:val="006A4603"/>
    <w:rsid w:val="006A50F2"/>
    <w:rsid w:val="006A53E4"/>
    <w:rsid w:val="006A560E"/>
    <w:rsid w:val="006A5BAB"/>
    <w:rsid w:val="006A622F"/>
    <w:rsid w:val="006A654B"/>
    <w:rsid w:val="006A665D"/>
    <w:rsid w:val="006A6F1C"/>
    <w:rsid w:val="006A72AE"/>
    <w:rsid w:val="006A737C"/>
    <w:rsid w:val="006A7B87"/>
    <w:rsid w:val="006B03EB"/>
    <w:rsid w:val="006B085E"/>
    <w:rsid w:val="006B0A8C"/>
    <w:rsid w:val="006B0B6B"/>
    <w:rsid w:val="006B0C01"/>
    <w:rsid w:val="006B11DD"/>
    <w:rsid w:val="006B26F5"/>
    <w:rsid w:val="006B2997"/>
    <w:rsid w:val="006B2A2D"/>
    <w:rsid w:val="006B30F1"/>
    <w:rsid w:val="006B34B5"/>
    <w:rsid w:val="006B35CD"/>
    <w:rsid w:val="006B3F63"/>
    <w:rsid w:val="006B540B"/>
    <w:rsid w:val="006B58DE"/>
    <w:rsid w:val="006B62DE"/>
    <w:rsid w:val="006B66AA"/>
    <w:rsid w:val="006B6B69"/>
    <w:rsid w:val="006B703E"/>
    <w:rsid w:val="006B7173"/>
    <w:rsid w:val="006B77A8"/>
    <w:rsid w:val="006B787F"/>
    <w:rsid w:val="006B7BCE"/>
    <w:rsid w:val="006B7FE4"/>
    <w:rsid w:val="006C032B"/>
    <w:rsid w:val="006C04F7"/>
    <w:rsid w:val="006C0A02"/>
    <w:rsid w:val="006C131C"/>
    <w:rsid w:val="006C21BE"/>
    <w:rsid w:val="006C2BC5"/>
    <w:rsid w:val="006C3A97"/>
    <w:rsid w:val="006C4087"/>
    <w:rsid w:val="006C45CC"/>
    <w:rsid w:val="006C4DE5"/>
    <w:rsid w:val="006C5C2B"/>
    <w:rsid w:val="006C6271"/>
    <w:rsid w:val="006C6A86"/>
    <w:rsid w:val="006C6E2B"/>
    <w:rsid w:val="006C6E2C"/>
    <w:rsid w:val="006C6EE5"/>
    <w:rsid w:val="006C7F16"/>
    <w:rsid w:val="006C7F76"/>
    <w:rsid w:val="006D0669"/>
    <w:rsid w:val="006D0AA5"/>
    <w:rsid w:val="006D13C4"/>
    <w:rsid w:val="006D1A89"/>
    <w:rsid w:val="006D27E3"/>
    <w:rsid w:val="006D2BCE"/>
    <w:rsid w:val="006D375F"/>
    <w:rsid w:val="006D380B"/>
    <w:rsid w:val="006D3E3C"/>
    <w:rsid w:val="006D401F"/>
    <w:rsid w:val="006D4B13"/>
    <w:rsid w:val="006D5019"/>
    <w:rsid w:val="006D54FF"/>
    <w:rsid w:val="006D554E"/>
    <w:rsid w:val="006D563C"/>
    <w:rsid w:val="006D59D7"/>
    <w:rsid w:val="006D5B87"/>
    <w:rsid w:val="006D66AD"/>
    <w:rsid w:val="006D6CEF"/>
    <w:rsid w:val="006D7353"/>
    <w:rsid w:val="006D7520"/>
    <w:rsid w:val="006D7AC1"/>
    <w:rsid w:val="006D7F01"/>
    <w:rsid w:val="006E0420"/>
    <w:rsid w:val="006E1113"/>
    <w:rsid w:val="006E16C7"/>
    <w:rsid w:val="006E17F3"/>
    <w:rsid w:val="006E1C05"/>
    <w:rsid w:val="006E2045"/>
    <w:rsid w:val="006E2A8C"/>
    <w:rsid w:val="006E2CF2"/>
    <w:rsid w:val="006E30CF"/>
    <w:rsid w:val="006E33E1"/>
    <w:rsid w:val="006E3893"/>
    <w:rsid w:val="006E3BC0"/>
    <w:rsid w:val="006E3BE0"/>
    <w:rsid w:val="006E3CDE"/>
    <w:rsid w:val="006E4B16"/>
    <w:rsid w:val="006E4DE3"/>
    <w:rsid w:val="006E54A1"/>
    <w:rsid w:val="006E552A"/>
    <w:rsid w:val="006E67D6"/>
    <w:rsid w:val="006E6A8A"/>
    <w:rsid w:val="006E6B58"/>
    <w:rsid w:val="006E7A88"/>
    <w:rsid w:val="006F0424"/>
    <w:rsid w:val="006F0964"/>
    <w:rsid w:val="006F13FC"/>
    <w:rsid w:val="006F18E2"/>
    <w:rsid w:val="006F36BD"/>
    <w:rsid w:val="006F376F"/>
    <w:rsid w:val="006F3931"/>
    <w:rsid w:val="006F3ADF"/>
    <w:rsid w:val="006F4206"/>
    <w:rsid w:val="006F47CE"/>
    <w:rsid w:val="006F4D8B"/>
    <w:rsid w:val="006F4E59"/>
    <w:rsid w:val="006F4FF5"/>
    <w:rsid w:val="006F50DB"/>
    <w:rsid w:val="006F5E28"/>
    <w:rsid w:val="006F5F6B"/>
    <w:rsid w:val="006F6612"/>
    <w:rsid w:val="006F777D"/>
    <w:rsid w:val="00700073"/>
    <w:rsid w:val="007000BB"/>
    <w:rsid w:val="00700461"/>
    <w:rsid w:val="007007DA"/>
    <w:rsid w:val="00700893"/>
    <w:rsid w:val="00700CF0"/>
    <w:rsid w:val="00701079"/>
    <w:rsid w:val="007011CB"/>
    <w:rsid w:val="00701585"/>
    <w:rsid w:val="00701B32"/>
    <w:rsid w:val="00702F8D"/>
    <w:rsid w:val="0070309B"/>
    <w:rsid w:val="007032E8"/>
    <w:rsid w:val="007035DD"/>
    <w:rsid w:val="007037B1"/>
    <w:rsid w:val="00703BC9"/>
    <w:rsid w:val="007040C5"/>
    <w:rsid w:val="00704780"/>
    <w:rsid w:val="00704806"/>
    <w:rsid w:val="00704C84"/>
    <w:rsid w:val="00705169"/>
    <w:rsid w:val="007058A3"/>
    <w:rsid w:val="00706D5F"/>
    <w:rsid w:val="00706D77"/>
    <w:rsid w:val="00706D86"/>
    <w:rsid w:val="00707142"/>
    <w:rsid w:val="00707623"/>
    <w:rsid w:val="00710710"/>
    <w:rsid w:val="00710726"/>
    <w:rsid w:val="00710A79"/>
    <w:rsid w:val="00710AFC"/>
    <w:rsid w:val="00711063"/>
    <w:rsid w:val="007120E3"/>
    <w:rsid w:val="00712210"/>
    <w:rsid w:val="00712378"/>
    <w:rsid w:val="007123D5"/>
    <w:rsid w:val="00713509"/>
    <w:rsid w:val="00713827"/>
    <w:rsid w:val="007139C7"/>
    <w:rsid w:val="007139E5"/>
    <w:rsid w:val="00713A06"/>
    <w:rsid w:val="007142F4"/>
    <w:rsid w:val="00714E70"/>
    <w:rsid w:val="00714F3C"/>
    <w:rsid w:val="00715308"/>
    <w:rsid w:val="007153A7"/>
    <w:rsid w:val="00715DCC"/>
    <w:rsid w:val="00716089"/>
    <w:rsid w:val="00716E4F"/>
    <w:rsid w:val="007171F2"/>
    <w:rsid w:val="0071740B"/>
    <w:rsid w:val="00717B5F"/>
    <w:rsid w:val="00717CCE"/>
    <w:rsid w:val="00720C70"/>
    <w:rsid w:val="00720FA0"/>
    <w:rsid w:val="00721F26"/>
    <w:rsid w:val="007225C5"/>
    <w:rsid w:val="007230B8"/>
    <w:rsid w:val="00723A2E"/>
    <w:rsid w:val="00723AD7"/>
    <w:rsid w:val="00724827"/>
    <w:rsid w:val="00725774"/>
    <w:rsid w:val="00725FB4"/>
    <w:rsid w:val="00727722"/>
    <w:rsid w:val="00727A86"/>
    <w:rsid w:val="00727C62"/>
    <w:rsid w:val="007300FB"/>
    <w:rsid w:val="0073026F"/>
    <w:rsid w:val="007303D1"/>
    <w:rsid w:val="0073045C"/>
    <w:rsid w:val="007315BA"/>
    <w:rsid w:val="00731621"/>
    <w:rsid w:val="00731E2A"/>
    <w:rsid w:val="00732521"/>
    <w:rsid w:val="00732FDA"/>
    <w:rsid w:val="0073307D"/>
    <w:rsid w:val="00733176"/>
    <w:rsid w:val="00733482"/>
    <w:rsid w:val="00733AED"/>
    <w:rsid w:val="00733B4E"/>
    <w:rsid w:val="0073418A"/>
    <w:rsid w:val="00734273"/>
    <w:rsid w:val="007344BD"/>
    <w:rsid w:val="00735569"/>
    <w:rsid w:val="0073559F"/>
    <w:rsid w:val="00735967"/>
    <w:rsid w:val="00735A25"/>
    <w:rsid w:val="00736203"/>
    <w:rsid w:val="007363D3"/>
    <w:rsid w:val="007363DB"/>
    <w:rsid w:val="00736679"/>
    <w:rsid w:val="00736967"/>
    <w:rsid w:val="00736BA5"/>
    <w:rsid w:val="00736FD1"/>
    <w:rsid w:val="00737870"/>
    <w:rsid w:val="007378E6"/>
    <w:rsid w:val="00737A48"/>
    <w:rsid w:val="0074060B"/>
    <w:rsid w:val="0074076E"/>
    <w:rsid w:val="00741295"/>
    <w:rsid w:val="007413D1"/>
    <w:rsid w:val="0074154C"/>
    <w:rsid w:val="0074261C"/>
    <w:rsid w:val="007428C5"/>
    <w:rsid w:val="00742BAD"/>
    <w:rsid w:val="00742CD2"/>
    <w:rsid w:val="00742E59"/>
    <w:rsid w:val="00742F03"/>
    <w:rsid w:val="00743367"/>
    <w:rsid w:val="00743DB3"/>
    <w:rsid w:val="00743FCE"/>
    <w:rsid w:val="0074403A"/>
    <w:rsid w:val="007442EA"/>
    <w:rsid w:val="00744584"/>
    <w:rsid w:val="007445A0"/>
    <w:rsid w:val="007445A5"/>
    <w:rsid w:val="007449BB"/>
    <w:rsid w:val="00744D7E"/>
    <w:rsid w:val="00744EC5"/>
    <w:rsid w:val="0074507E"/>
    <w:rsid w:val="00745222"/>
    <w:rsid w:val="0074567E"/>
    <w:rsid w:val="007457B4"/>
    <w:rsid w:val="007459E2"/>
    <w:rsid w:val="00745C95"/>
    <w:rsid w:val="007460EF"/>
    <w:rsid w:val="007461CC"/>
    <w:rsid w:val="0074641F"/>
    <w:rsid w:val="00746BD8"/>
    <w:rsid w:val="007470D4"/>
    <w:rsid w:val="00747559"/>
    <w:rsid w:val="00747572"/>
    <w:rsid w:val="007475C9"/>
    <w:rsid w:val="00747764"/>
    <w:rsid w:val="00747E51"/>
    <w:rsid w:val="00750509"/>
    <w:rsid w:val="00750EFA"/>
    <w:rsid w:val="00751270"/>
    <w:rsid w:val="00751867"/>
    <w:rsid w:val="007519E4"/>
    <w:rsid w:val="00752031"/>
    <w:rsid w:val="007521BE"/>
    <w:rsid w:val="00752A1F"/>
    <w:rsid w:val="00753055"/>
    <w:rsid w:val="0075311B"/>
    <w:rsid w:val="00753362"/>
    <w:rsid w:val="00753CA3"/>
    <w:rsid w:val="00753EAB"/>
    <w:rsid w:val="007543C6"/>
    <w:rsid w:val="0075490A"/>
    <w:rsid w:val="00755840"/>
    <w:rsid w:val="00755883"/>
    <w:rsid w:val="00755885"/>
    <w:rsid w:val="0075596D"/>
    <w:rsid w:val="00755970"/>
    <w:rsid w:val="00755A4B"/>
    <w:rsid w:val="00755A64"/>
    <w:rsid w:val="00755C20"/>
    <w:rsid w:val="007561B3"/>
    <w:rsid w:val="0075634F"/>
    <w:rsid w:val="0075647E"/>
    <w:rsid w:val="00756F23"/>
    <w:rsid w:val="0075721E"/>
    <w:rsid w:val="007572C8"/>
    <w:rsid w:val="00757810"/>
    <w:rsid w:val="00757E5D"/>
    <w:rsid w:val="00757FCD"/>
    <w:rsid w:val="00760024"/>
    <w:rsid w:val="00760196"/>
    <w:rsid w:val="007601E4"/>
    <w:rsid w:val="00760614"/>
    <w:rsid w:val="00760825"/>
    <w:rsid w:val="00760A22"/>
    <w:rsid w:val="00760FF7"/>
    <w:rsid w:val="00761400"/>
    <w:rsid w:val="00761684"/>
    <w:rsid w:val="00761A2E"/>
    <w:rsid w:val="00761DF0"/>
    <w:rsid w:val="00762D6B"/>
    <w:rsid w:val="007631E5"/>
    <w:rsid w:val="00763A56"/>
    <w:rsid w:val="00763D95"/>
    <w:rsid w:val="00764D0E"/>
    <w:rsid w:val="00764E44"/>
    <w:rsid w:val="007651B8"/>
    <w:rsid w:val="007656A0"/>
    <w:rsid w:val="00765A85"/>
    <w:rsid w:val="00765DDB"/>
    <w:rsid w:val="0076639C"/>
    <w:rsid w:val="007666EA"/>
    <w:rsid w:val="0076699A"/>
    <w:rsid w:val="00766A07"/>
    <w:rsid w:val="00766F70"/>
    <w:rsid w:val="00767097"/>
    <w:rsid w:val="00767826"/>
    <w:rsid w:val="00767A03"/>
    <w:rsid w:val="00770085"/>
    <w:rsid w:val="007702D3"/>
    <w:rsid w:val="00770340"/>
    <w:rsid w:val="00770765"/>
    <w:rsid w:val="00770B09"/>
    <w:rsid w:val="00771570"/>
    <w:rsid w:val="00771B68"/>
    <w:rsid w:val="00771D8E"/>
    <w:rsid w:val="00772C50"/>
    <w:rsid w:val="00772F1D"/>
    <w:rsid w:val="00773440"/>
    <w:rsid w:val="00773854"/>
    <w:rsid w:val="00773908"/>
    <w:rsid w:val="00773D4E"/>
    <w:rsid w:val="00774234"/>
    <w:rsid w:val="00774992"/>
    <w:rsid w:val="00774A92"/>
    <w:rsid w:val="0077561A"/>
    <w:rsid w:val="00775DE8"/>
    <w:rsid w:val="00775F54"/>
    <w:rsid w:val="007762A5"/>
    <w:rsid w:val="007763B4"/>
    <w:rsid w:val="0077671D"/>
    <w:rsid w:val="0077687F"/>
    <w:rsid w:val="00776AA6"/>
    <w:rsid w:val="00776C0F"/>
    <w:rsid w:val="00776DD9"/>
    <w:rsid w:val="0077703A"/>
    <w:rsid w:val="00777068"/>
    <w:rsid w:val="0077717E"/>
    <w:rsid w:val="00777418"/>
    <w:rsid w:val="0077792F"/>
    <w:rsid w:val="00777BEF"/>
    <w:rsid w:val="00777D4D"/>
    <w:rsid w:val="00780310"/>
    <w:rsid w:val="007808E4"/>
    <w:rsid w:val="00780924"/>
    <w:rsid w:val="00780DA3"/>
    <w:rsid w:val="00781175"/>
    <w:rsid w:val="0078125E"/>
    <w:rsid w:val="00781426"/>
    <w:rsid w:val="007815C6"/>
    <w:rsid w:val="00781B63"/>
    <w:rsid w:val="00782201"/>
    <w:rsid w:val="0078244D"/>
    <w:rsid w:val="0078286A"/>
    <w:rsid w:val="0078297B"/>
    <w:rsid w:val="00782A57"/>
    <w:rsid w:val="0078302E"/>
    <w:rsid w:val="00783202"/>
    <w:rsid w:val="00783D70"/>
    <w:rsid w:val="00783F9D"/>
    <w:rsid w:val="007842DF"/>
    <w:rsid w:val="00784642"/>
    <w:rsid w:val="00784F78"/>
    <w:rsid w:val="00784F88"/>
    <w:rsid w:val="00784FA1"/>
    <w:rsid w:val="00785323"/>
    <w:rsid w:val="00785778"/>
    <w:rsid w:val="007857E3"/>
    <w:rsid w:val="00785958"/>
    <w:rsid w:val="007867A8"/>
    <w:rsid w:val="00787414"/>
    <w:rsid w:val="0078769F"/>
    <w:rsid w:val="00787BCE"/>
    <w:rsid w:val="0079016D"/>
    <w:rsid w:val="00790E2C"/>
    <w:rsid w:val="00790EC7"/>
    <w:rsid w:val="00791BFB"/>
    <w:rsid w:val="00792558"/>
    <w:rsid w:val="0079274A"/>
    <w:rsid w:val="0079287E"/>
    <w:rsid w:val="00792D33"/>
    <w:rsid w:val="00792F57"/>
    <w:rsid w:val="007934D4"/>
    <w:rsid w:val="007938A9"/>
    <w:rsid w:val="0079396B"/>
    <w:rsid w:val="00793B1F"/>
    <w:rsid w:val="00793B80"/>
    <w:rsid w:val="00793D75"/>
    <w:rsid w:val="007944F9"/>
    <w:rsid w:val="00794775"/>
    <w:rsid w:val="0079576E"/>
    <w:rsid w:val="007958FB"/>
    <w:rsid w:val="0079590D"/>
    <w:rsid w:val="00796166"/>
    <w:rsid w:val="007963F1"/>
    <w:rsid w:val="0079657E"/>
    <w:rsid w:val="0079693F"/>
    <w:rsid w:val="00796975"/>
    <w:rsid w:val="00796F42"/>
    <w:rsid w:val="00796F93"/>
    <w:rsid w:val="007978F3"/>
    <w:rsid w:val="00797E06"/>
    <w:rsid w:val="00797E88"/>
    <w:rsid w:val="007A0144"/>
    <w:rsid w:val="007A0A26"/>
    <w:rsid w:val="007A0C35"/>
    <w:rsid w:val="007A0FD7"/>
    <w:rsid w:val="007A1A25"/>
    <w:rsid w:val="007A2879"/>
    <w:rsid w:val="007A2EA4"/>
    <w:rsid w:val="007A30E2"/>
    <w:rsid w:val="007A3146"/>
    <w:rsid w:val="007A334B"/>
    <w:rsid w:val="007A3496"/>
    <w:rsid w:val="007A3F61"/>
    <w:rsid w:val="007A3F7E"/>
    <w:rsid w:val="007A404A"/>
    <w:rsid w:val="007A40F4"/>
    <w:rsid w:val="007A420D"/>
    <w:rsid w:val="007A44EE"/>
    <w:rsid w:val="007A4558"/>
    <w:rsid w:val="007A4CC7"/>
    <w:rsid w:val="007A5274"/>
    <w:rsid w:val="007A57A3"/>
    <w:rsid w:val="007A57D8"/>
    <w:rsid w:val="007A5BD4"/>
    <w:rsid w:val="007A5C93"/>
    <w:rsid w:val="007A6183"/>
    <w:rsid w:val="007A6954"/>
    <w:rsid w:val="007A70FB"/>
    <w:rsid w:val="007A786D"/>
    <w:rsid w:val="007A7A5A"/>
    <w:rsid w:val="007B0173"/>
    <w:rsid w:val="007B0933"/>
    <w:rsid w:val="007B0A09"/>
    <w:rsid w:val="007B2F04"/>
    <w:rsid w:val="007B3064"/>
    <w:rsid w:val="007B308E"/>
    <w:rsid w:val="007B3833"/>
    <w:rsid w:val="007B4188"/>
    <w:rsid w:val="007B4A53"/>
    <w:rsid w:val="007B4B61"/>
    <w:rsid w:val="007B4E68"/>
    <w:rsid w:val="007B57EA"/>
    <w:rsid w:val="007B591F"/>
    <w:rsid w:val="007B5B9F"/>
    <w:rsid w:val="007B5F42"/>
    <w:rsid w:val="007B6799"/>
    <w:rsid w:val="007B6848"/>
    <w:rsid w:val="007B6FE6"/>
    <w:rsid w:val="007B7594"/>
    <w:rsid w:val="007B774E"/>
    <w:rsid w:val="007B7CDF"/>
    <w:rsid w:val="007B7ECB"/>
    <w:rsid w:val="007C0E24"/>
    <w:rsid w:val="007C141C"/>
    <w:rsid w:val="007C16E6"/>
    <w:rsid w:val="007C1973"/>
    <w:rsid w:val="007C2B5E"/>
    <w:rsid w:val="007C2BF5"/>
    <w:rsid w:val="007C2FBA"/>
    <w:rsid w:val="007C3327"/>
    <w:rsid w:val="007C36F3"/>
    <w:rsid w:val="007C3F9A"/>
    <w:rsid w:val="007C41BC"/>
    <w:rsid w:val="007C4631"/>
    <w:rsid w:val="007C567F"/>
    <w:rsid w:val="007C5BED"/>
    <w:rsid w:val="007C5C7B"/>
    <w:rsid w:val="007C5D8F"/>
    <w:rsid w:val="007C5FF4"/>
    <w:rsid w:val="007C66A4"/>
    <w:rsid w:val="007C6A04"/>
    <w:rsid w:val="007C6BFD"/>
    <w:rsid w:val="007C6CB2"/>
    <w:rsid w:val="007C6D54"/>
    <w:rsid w:val="007C7006"/>
    <w:rsid w:val="007C7107"/>
    <w:rsid w:val="007C72B4"/>
    <w:rsid w:val="007C7B29"/>
    <w:rsid w:val="007C7CD0"/>
    <w:rsid w:val="007D2ED7"/>
    <w:rsid w:val="007D2F6F"/>
    <w:rsid w:val="007D3160"/>
    <w:rsid w:val="007D3793"/>
    <w:rsid w:val="007D37DD"/>
    <w:rsid w:val="007D4753"/>
    <w:rsid w:val="007D507B"/>
    <w:rsid w:val="007D519F"/>
    <w:rsid w:val="007D585C"/>
    <w:rsid w:val="007D5A4B"/>
    <w:rsid w:val="007D609B"/>
    <w:rsid w:val="007D6327"/>
    <w:rsid w:val="007D65F6"/>
    <w:rsid w:val="007D6A52"/>
    <w:rsid w:val="007D6C02"/>
    <w:rsid w:val="007E034D"/>
    <w:rsid w:val="007E05CB"/>
    <w:rsid w:val="007E192A"/>
    <w:rsid w:val="007E1AD2"/>
    <w:rsid w:val="007E1D3F"/>
    <w:rsid w:val="007E1FAB"/>
    <w:rsid w:val="007E2115"/>
    <w:rsid w:val="007E2332"/>
    <w:rsid w:val="007E2F6B"/>
    <w:rsid w:val="007E332C"/>
    <w:rsid w:val="007E3742"/>
    <w:rsid w:val="007E3BD2"/>
    <w:rsid w:val="007E41E7"/>
    <w:rsid w:val="007E4CA3"/>
    <w:rsid w:val="007E50D9"/>
    <w:rsid w:val="007E5642"/>
    <w:rsid w:val="007E5D98"/>
    <w:rsid w:val="007E7041"/>
    <w:rsid w:val="007F00D3"/>
    <w:rsid w:val="007F00F4"/>
    <w:rsid w:val="007F02FF"/>
    <w:rsid w:val="007F0CAD"/>
    <w:rsid w:val="007F1624"/>
    <w:rsid w:val="007F1B83"/>
    <w:rsid w:val="007F1BBA"/>
    <w:rsid w:val="007F24A5"/>
    <w:rsid w:val="007F2558"/>
    <w:rsid w:val="007F2AB6"/>
    <w:rsid w:val="007F2B16"/>
    <w:rsid w:val="007F2D1E"/>
    <w:rsid w:val="007F3082"/>
    <w:rsid w:val="007F39CC"/>
    <w:rsid w:val="007F3ED2"/>
    <w:rsid w:val="007F477B"/>
    <w:rsid w:val="007F47E5"/>
    <w:rsid w:val="007F5065"/>
    <w:rsid w:val="007F5743"/>
    <w:rsid w:val="007F578F"/>
    <w:rsid w:val="007F5BB3"/>
    <w:rsid w:val="007F5EB0"/>
    <w:rsid w:val="007F61AB"/>
    <w:rsid w:val="007F64BE"/>
    <w:rsid w:val="007F6577"/>
    <w:rsid w:val="007F665E"/>
    <w:rsid w:val="007F6D1F"/>
    <w:rsid w:val="007F6D37"/>
    <w:rsid w:val="007F6E4C"/>
    <w:rsid w:val="007F7064"/>
    <w:rsid w:val="007F70A2"/>
    <w:rsid w:val="007F77C8"/>
    <w:rsid w:val="007F7F79"/>
    <w:rsid w:val="008001F5"/>
    <w:rsid w:val="00800237"/>
    <w:rsid w:val="00800AA4"/>
    <w:rsid w:val="0080106E"/>
    <w:rsid w:val="008011BE"/>
    <w:rsid w:val="008015A5"/>
    <w:rsid w:val="00802CA2"/>
    <w:rsid w:val="008034A3"/>
    <w:rsid w:val="008034B5"/>
    <w:rsid w:val="008035A5"/>
    <w:rsid w:val="0080396B"/>
    <w:rsid w:val="00803C70"/>
    <w:rsid w:val="00803FD0"/>
    <w:rsid w:val="008040D5"/>
    <w:rsid w:val="008042DC"/>
    <w:rsid w:val="00804763"/>
    <w:rsid w:val="008048A8"/>
    <w:rsid w:val="00804DFF"/>
    <w:rsid w:val="008051F4"/>
    <w:rsid w:val="0080529F"/>
    <w:rsid w:val="00805643"/>
    <w:rsid w:val="00805E93"/>
    <w:rsid w:val="00805FF3"/>
    <w:rsid w:val="0080603C"/>
    <w:rsid w:val="00806283"/>
    <w:rsid w:val="008064F7"/>
    <w:rsid w:val="00806501"/>
    <w:rsid w:val="00806594"/>
    <w:rsid w:val="00806EB0"/>
    <w:rsid w:val="0081056F"/>
    <w:rsid w:val="008109BF"/>
    <w:rsid w:val="00810A16"/>
    <w:rsid w:val="00810AB5"/>
    <w:rsid w:val="00810DF4"/>
    <w:rsid w:val="00810EF3"/>
    <w:rsid w:val="008111F4"/>
    <w:rsid w:val="008113B0"/>
    <w:rsid w:val="00811759"/>
    <w:rsid w:val="00812B9C"/>
    <w:rsid w:val="008137A2"/>
    <w:rsid w:val="00813DBA"/>
    <w:rsid w:val="00813FEB"/>
    <w:rsid w:val="00814C79"/>
    <w:rsid w:val="00814CA6"/>
    <w:rsid w:val="00814CAE"/>
    <w:rsid w:val="00814DF3"/>
    <w:rsid w:val="0081565F"/>
    <w:rsid w:val="008157EC"/>
    <w:rsid w:val="00815AD0"/>
    <w:rsid w:val="008163A0"/>
    <w:rsid w:val="008165BB"/>
    <w:rsid w:val="008169B4"/>
    <w:rsid w:val="00816B25"/>
    <w:rsid w:val="008170E1"/>
    <w:rsid w:val="008176B7"/>
    <w:rsid w:val="008177A5"/>
    <w:rsid w:val="0082007B"/>
    <w:rsid w:val="008203DC"/>
    <w:rsid w:val="0082099E"/>
    <w:rsid w:val="00820E07"/>
    <w:rsid w:val="0082155F"/>
    <w:rsid w:val="008216C9"/>
    <w:rsid w:val="00821843"/>
    <w:rsid w:val="00821850"/>
    <w:rsid w:val="008221C6"/>
    <w:rsid w:val="008221DF"/>
    <w:rsid w:val="00822473"/>
    <w:rsid w:val="0082266C"/>
    <w:rsid w:val="008226BF"/>
    <w:rsid w:val="00823171"/>
    <w:rsid w:val="008233FE"/>
    <w:rsid w:val="008234B6"/>
    <w:rsid w:val="00823B35"/>
    <w:rsid w:val="00823EC4"/>
    <w:rsid w:val="00823F5F"/>
    <w:rsid w:val="008242A6"/>
    <w:rsid w:val="008243DB"/>
    <w:rsid w:val="008245EB"/>
    <w:rsid w:val="00825692"/>
    <w:rsid w:val="008256E4"/>
    <w:rsid w:val="00825A3D"/>
    <w:rsid w:val="00825A52"/>
    <w:rsid w:val="00825D65"/>
    <w:rsid w:val="00826518"/>
    <w:rsid w:val="00826873"/>
    <w:rsid w:val="0083014B"/>
    <w:rsid w:val="00830900"/>
    <w:rsid w:val="00830AAD"/>
    <w:rsid w:val="008310C5"/>
    <w:rsid w:val="0083133A"/>
    <w:rsid w:val="0083137D"/>
    <w:rsid w:val="00831396"/>
    <w:rsid w:val="00831986"/>
    <w:rsid w:val="00833107"/>
    <w:rsid w:val="008333C2"/>
    <w:rsid w:val="0083350A"/>
    <w:rsid w:val="00834A51"/>
    <w:rsid w:val="00834B06"/>
    <w:rsid w:val="00834CCD"/>
    <w:rsid w:val="00835D84"/>
    <w:rsid w:val="00835DE5"/>
    <w:rsid w:val="008363B7"/>
    <w:rsid w:val="0083671E"/>
    <w:rsid w:val="00836DCC"/>
    <w:rsid w:val="00837860"/>
    <w:rsid w:val="008400F0"/>
    <w:rsid w:val="008416E5"/>
    <w:rsid w:val="00841ED4"/>
    <w:rsid w:val="00842181"/>
    <w:rsid w:val="008421F8"/>
    <w:rsid w:val="008425E3"/>
    <w:rsid w:val="00842A93"/>
    <w:rsid w:val="00842D2B"/>
    <w:rsid w:val="00845122"/>
    <w:rsid w:val="008451D1"/>
    <w:rsid w:val="008452A1"/>
    <w:rsid w:val="008461F5"/>
    <w:rsid w:val="00846318"/>
    <w:rsid w:val="008470E9"/>
    <w:rsid w:val="00847392"/>
    <w:rsid w:val="00847C39"/>
    <w:rsid w:val="00847F7B"/>
    <w:rsid w:val="00850128"/>
    <w:rsid w:val="00850428"/>
    <w:rsid w:val="00850C7D"/>
    <w:rsid w:val="00850DF3"/>
    <w:rsid w:val="008516B9"/>
    <w:rsid w:val="0085263E"/>
    <w:rsid w:val="00852A4E"/>
    <w:rsid w:val="00852C20"/>
    <w:rsid w:val="00853144"/>
    <w:rsid w:val="008533A0"/>
    <w:rsid w:val="00853AB0"/>
    <w:rsid w:val="008540ED"/>
    <w:rsid w:val="008541EB"/>
    <w:rsid w:val="008547EB"/>
    <w:rsid w:val="00854B1B"/>
    <w:rsid w:val="00854D86"/>
    <w:rsid w:val="00855172"/>
    <w:rsid w:val="008557D8"/>
    <w:rsid w:val="00855BAF"/>
    <w:rsid w:val="00855FCC"/>
    <w:rsid w:val="008568AF"/>
    <w:rsid w:val="00856FBC"/>
    <w:rsid w:val="00857127"/>
    <w:rsid w:val="00857541"/>
    <w:rsid w:val="008576FC"/>
    <w:rsid w:val="0085776F"/>
    <w:rsid w:val="008577EC"/>
    <w:rsid w:val="00857961"/>
    <w:rsid w:val="008601AB"/>
    <w:rsid w:val="008602EC"/>
    <w:rsid w:val="00860AC9"/>
    <w:rsid w:val="00861BC8"/>
    <w:rsid w:val="00861CB0"/>
    <w:rsid w:val="00862400"/>
    <w:rsid w:val="00862B0B"/>
    <w:rsid w:val="00862C18"/>
    <w:rsid w:val="00862DAB"/>
    <w:rsid w:val="0086336F"/>
    <w:rsid w:val="008633DD"/>
    <w:rsid w:val="00863B77"/>
    <w:rsid w:val="0086463C"/>
    <w:rsid w:val="00864A35"/>
    <w:rsid w:val="008666B0"/>
    <w:rsid w:val="00867153"/>
    <w:rsid w:val="008672A5"/>
    <w:rsid w:val="00867B51"/>
    <w:rsid w:val="00867DC6"/>
    <w:rsid w:val="00867EAC"/>
    <w:rsid w:val="00870253"/>
    <w:rsid w:val="00871628"/>
    <w:rsid w:val="008727D2"/>
    <w:rsid w:val="0087306A"/>
    <w:rsid w:val="00873839"/>
    <w:rsid w:val="00873899"/>
    <w:rsid w:val="008738C5"/>
    <w:rsid w:val="00873B14"/>
    <w:rsid w:val="00873CC3"/>
    <w:rsid w:val="0087449C"/>
    <w:rsid w:val="0087461F"/>
    <w:rsid w:val="00874665"/>
    <w:rsid w:val="00874D7A"/>
    <w:rsid w:val="00875027"/>
    <w:rsid w:val="008753E0"/>
    <w:rsid w:val="00875426"/>
    <w:rsid w:val="00877202"/>
    <w:rsid w:val="00877759"/>
    <w:rsid w:val="00880449"/>
    <w:rsid w:val="00880CE2"/>
    <w:rsid w:val="00881E0E"/>
    <w:rsid w:val="008825DA"/>
    <w:rsid w:val="0088267B"/>
    <w:rsid w:val="00882754"/>
    <w:rsid w:val="00882AF0"/>
    <w:rsid w:val="00882B5B"/>
    <w:rsid w:val="00882CA9"/>
    <w:rsid w:val="00883134"/>
    <w:rsid w:val="008831DA"/>
    <w:rsid w:val="0088339B"/>
    <w:rsid w:val="00884E13"/>
    <w:rsid w:val="0088508C"/>
    <w:rsid w:val="0088544A"/>
    <w:rsid w:val="00885D4F"/>
    <w:rsid w:val="00885EE2"/>
    <w:rsid w:val="0088603B"/>
    <w:rsid w:val="008864FA"/>
    <w:rsid w:val="00886846"/>
    <w:rsid w:val="0088690F"/>
    <w:rsid w:val="00886C85"/>
    <w:rsid w:val="00886E4A"/>
    <w:rsid w:val="0088760E"/>
    <w:rsid w:val="00887788"/>
    <w:rsid w:val="00887A70"/>
    <w:rsid w:val="00887E58"/>
    <w:rsid w:val="00887FBE"/>
    <w:rsid w:val="008909B6"/>
    <w:rsid w:val="008911C6"/>
    <w:rsid w:val="008911CF"/>
    <w:rsid w:val="00891325"/>
    <w:rsid w:val="008915F2"/>
    <w:rsid w:val="00891693"/>
    <w:rsid w:val="008922AE"/>
    <w:rsid w:val="00892E6E"/>
    <w:rsid w:val="00893BC0"/>
    <w:rsid w:val="0089411B"/>
    <w:rsid w:val="0089441C"/>
    <w:rsid w:val="0089472D"/>
    <w:rsid w:val="00894A8B"/>
    <w:rsid w:val="00894D8C"/>
    <w:rsid w:val="00894F06"/>
    <w:rsid w:val="0089511D"/>
    <w:rsid w:val="008953AC"/>
    <w:rsid w:val="0089550E"/>
    <w:rsid w:val="00895E7E"/>
    <w:rsid w:val="0089620D"/>
    <w:rsid w:val="00896278"/>
    <w:rsid w:val="0089627D"/>
    <w:rsid w:val="00896856"/>
    <w:rsid w:val="0089685B"/>
    <w:rsid w:val="008972E0"/>
    <w:rsid w:val="008973E5"/>
    <w:rsid w:val="008976E9"/>
    <w:rsid w:val="00897ED2"/>
    <w:rsid w:val="008A06B1"/>
    <w:rsid w:val="008A08F3"/>
    <w:rsid w:val="008A0F3A"/>
    <w:rsid w:val="008A1EC5"/>
    <w:rsid w:val="008A2C9D"/>
    <w:rsid w:val="008A2CF2"/>
    <w:rsid w:val="008A2D92"/>
    <w:rsid w:val="008A3590"/>
    <w:rsid w:val="008A36A9"/>
    <w:rsid w:val="008A3834"/>
    <w:rsid w:val="008A3C6F"/>
    <w:rsid w:val="008A3F18"/>
    <w:rsid w:val="008A41D0"/>
    <w:rsid w:val="008A4514"/>
    <w:rsid w:val="008A484A"/>
    <w:rsid w:val="008A5C13"/>
    <w:rsid w:val="008A5C94"/>
    <w:rsid w:val="008A6C09"/>
    <w:rsid w:val="008A7386"/>
    <w:rsid w:val="008A74A8"/>
    <w:rsid w:val="008A7E53"/>
    <w:rsid w:val="008B013C"/>
    <w:rsid w:val="008B0164"/>
    <w:rsid w:val="008B01D1"/>
    <w:rsid w:val="008B04CA"/>
    <w:rsid w:val="008B0661"/>
    <w:rsid w:val="008B0A79"/>
    <w:rsid w:val="008B0AA9"/>
    <w:rsid w:val="008B11D8"/>
    <w:rsid w:val="008B12F0"/>
    <w:rsid w:val="008B2A33"/>
    <w:rsid w:val="008B2E2E"/>
    <w:rsid w:val="008B2EE4"/>
    <w:rsid w:val="008B32DA"/>
    <w:rsid w:val="008B3AB3"/>
    <w:rsid w:val="008B3EF6"/>
    <w:rsid w:val="008B3F5B"/>
    <w:rsid w:val="008B3F9E"/>
    <w:rsid w:val="008B41D0"/>
    <w:rsid w:val="008B432C"/>
    <w:rsid w:val="008B449E"/>
    <w:rsid w:val="008B44BA"/>
    <w:rsid w:val="008B54B4"/>
    <w:rsid w:val="008B602E"/>
    <w:rsid w:val="008B6248"/>
    <w:rsid w:val="008B664F"/>
    <w:rsid w:val="008B6689"/>
    <w:rsid w:val="008B6738"/>
    <w:rsid w:val="008B69C4"/>
    <w:rsid w:val="008B716D"/>
    <w:rsid w:val="008B7288"/>
    <w:rsid w:val="008C0E9D"/>
    <w:rsid w:val="008C183A"/>
    <w:rsid w:val="008C316C"/>
    <w:rsid w:val="008C319F"/>
    <w:rsid w:val="008C33F8"/>
    <w:rsid w:val="008C33FF"/>
    <w:rsid w:val="008C3B8F"/>
    <w:rsid w:val="008C514E"/>
    <w:rsid w:val="008C6247"/>
    <w:rsid w:val="008C641F"/>
    <w:rsid w:val="008C6462"/>
    <w:rsid w:val="008C65FD"/>
    <w:rsid w:val="008C7300"/>
    <w:rsid w:val="008C7532"/>
    <w:rsid w:val="008C78AE"/>
    <w:rsid w:val="008C7A99"/>
    <w:rsid w:val="008C7F1E"/>
    <w:rsid w:val="008D01C2"/>
    <w:rsid w:val="008D0AE6"/>
    <w:rsid w:val="008D1010"/>
    <w:rsid w:val="008D1299"/>
    <w:rsid w:val="008D26DE"/>
    <w:rsid w:val="008D28E6"/>
    <w:rsid w:val="008D2B66"/>
    <w:rsid w:val="008D2E13"/>
    <w:rsid w:val="008D3115"/>
    <w:rsid w:val="008D34FF"/>
    <w:rsid w:val="008D47EA"/>
    <w:rsid w:val="008D4AB2"/>
    <w:rsid w:val="008D4ACF"/>
    <w:rsid w:val="008D4C66"/>
    <w:rsid w:val="008D5361"/>
    <w:rsid w:val="008D5A69"/>
    <w:rsid w:val="008D6B55"/>
    <w:rsid w:val="008D6EC9"/>
    <w:rsid w:val="008D6F26"/>
    <w:rsid w:val="008D76D3"/>
    <w:rsid w:val="008D7AC1"/>
    <w:rsid w:val="008D7CD2"/>
    <w:rsid w:val="008D7D35"/>
    <w:rsid w:val="008E05E4"/>
    <w:rsid w:val="008E1275"/>
    <w:rsid w:val="008E1C4D"/>
    <w:rsid w:val="008E1C6D"/>
    <w:rsid w:val="008E20B5"/>
    <w:rsid w:val="008E336F"/>
    <w:rsid w:val="008E339E"/>
    <w:rsid w:val="008E33CC"/>
    <w:rsid w:val="008E34AB"/>
    <w:rsid w:val="008E40EC"/>
    <w:rsid w:val="008E4502"/>
    <w:rsid w:val="008E470E"/>
    <w:rsid w:val="008E472C"/>
    <w:rsid w:val="008E4AD3"/>
    <w:rsid w:val="008E4C2E"/>
    <w:rsid w:val="008E4ED5"/>
    <w:rsid w:val="008E5022"/>
    <w:rsid w:val="008E532E"/>
    <w:rsid w:val="008E599D"/>
    <w:rsid w:val="008E5A22"/>
    <w:rsid w:val="008E5B29"/>
    <w:rsid w:val="008E5FAE"/>
    <w:rsid w:val="008E640D"/>
    <w:rsid w:val="008E6445"/>
    <w:rsid w:val="008E68D6"/>
    <w:rsid w:val="008E6F3F"/>
    <w:rsid w:val="008E704E"/>
    <w:rsid w:val="008E74DC"/>
    <w:rsid w:val="008E7631"/>
    <w:rsid w:val="008E780E"/>
    <w:rsid w:val="008E7855"/>
    <w:rsid w:val="008F018E"/>
    <w:rsid w:val="008F0688"/>
    <w:rsid w:val="008F075A"/>
    <w:rsid w:val="008F1251"/>
    <w:rsid w:val="008F15E0"/>
    <w:rsid w:val="008F1754"/>
    <w:rsid w:val="008F17D1"/>
    <w:rsid w:val="008F1D81"/>
    <w:rsid w:val="008F1D8A"/>
    <w:rsid w:val="008F1F4D"/>
    <w:rsid w:val="008F2147"/>
    <w:rsid w:val="008F29DD"/>
    <w:rsid w:val="008F303F"/>
    <w:rsid w:val="008F3AD8"/>
    <w:rsid w:val="008F3C71"/>
    <w:rsid w:val="008F3DEA"/>
    <w:rsid w:val="008F4D22"/>
    <w:rsid w:val="008F544E"/>
    <w:rsid w:val="008F5E24"/>
    <w:rsid w:val="008F6B53"/>
    <w:rsid w:val="008F6ED9"/>
    <w:rsid w:val="008F6EF4"/>
    <w:rsid w:val="008F6F3F"/>
    <w:rsid w:val="008F7671"/>
    <w:rsid w:val="008F7A3B"/>
    <w:rsid w:val="008F7F6B"/>
    <w:rsid w:val="0090016E"/>
    <w:rsid w:val="009006A1"/>
    <w:rsid w:val="00900747"/>
    <w:rsid w:val="00901432"/>
    <w:rsid w:val="009014C7"/>
    <w:rsid w:val="0090200F"/>
    <w:rsid w:val="009020B5"/>
    <w:rsid w:val="009022DB"/>
    <w:rsid w:val="00902CE2"/>
    <w:rsid w:val="00902FC9"/>
    <w:rsid w:val="0090367B"/>
    <w:rsid w:val="009036BC"/>
    <w:rsid w:val="009036DE"/>
    <w:rsid w:val="009038EF"/>
    <w:rsid w:val="00903B8F"/>
    <w:rsid w:val="00904079"/>
    <w:rsid w:val="009040F8"/>
    <w:rsid w:val="00904745"/>
    <w:rsid w:val="00904DF1"/>
    <w:rsid w:val="00905E66"/>
    <w:rsid w:val="00905E7F"/>
    <w:rsid w:val="0090608B"/>
    <w:rsid w:val="009064A5"/>
    <w:rsid w:val="00906691"/>
    <w:rsid w:val="009068D5"/>
    <w:rsid w:val="00906B2D"/>
    <w:rsid w:val="00906C1D"/>
    <w:rsid w:val="009070C5"/>
    <w:rsid w:val="009072F3"/>
    <w:rsid w:val="00907712"/>
    <w:rsid w:val="00907E9E"/>
    <w:rsid w:val="00910596"/>
    <w:rsid w:val="00910A68"/>
    <w:rsid w:val="00910ABF"/>
    <w:rsid w:val="00910B63"/>
    <w:rsid w:val="00910B9A"/>
    <w:rsid w:val="00910D33"/>
    <w:rsid w:val="00910EC3"/>
    <w:rsid w:val="009112A6"/>
    <w:rsid w:val="009116E5"/>
    <w:rsid w:val="00911DF1"/>
    <w:rsid w:val="0091225A"/>
    <w:rsid w:val="009123CB"/>
    <w:rsid w:val="00912447"/>
    <w:rsid w:val="009124A0"/>
    <w:rsid w:val="009124BD"/>
    <w:rsid w:val="0091265D"/>
    <w:rsid w:val="00912E69"/>
    <w:rsid w:val="009130F7"/>
    <w:rsid w:val="00913171"/>
    <w:rsid w:val="009132E7"/>
    <w:rsid w:val="009136A2"/>
    <w:rsid w:val="00913AA0"/>
    <w:rsid w:val="00914295"/>
    <w:rsid w:val="0091468F"/>
    <w:rsid w:val="009146F0"/>
    <w:rsid w:val="00914D8F"/>
    <w:rsid w:val="00915467"/>
    <w:rsid w:val="00915596"/>
    <w:rsid w:val="00915822"/>
    <w:rsid w:val="009158BE"/>
    <w:rsid w:val="009159DF"/>
    <w:rsid w:val="00915C9E"/>
    <w:rsid w:val="00916034"/>
    <w:rsid w:val="009161B6"/>
    <w:rsid w:val="009161C3"/>
    <w:rsid w:val="0091630B"/>
    <w:rsid w:val="00916318"/>
    <w:rsid w:val="00916454"/>
    <w:rsid w:val="0091668D"/>
    <w:rsid w:val="00916CB3"/>
    <w:rsid w:val="00916E2C"/>
    <w:rsid w:val="00917351"/>
    <w:rsid w:val="00917AD2"/>
    <w:rsid w:val="00917D0A"/>
    <w:rsid w:val="00920492"/>
    <w:rsid w:val="009206E9"/>
    <w:rsid w:val="00920837"/>
    <w:rsid w:val="00920E58"/>
    <w:rsid w:val="009219B3"/>
    <w:rsid w:val="00921C65"/>
    <w:rsid w:val="009224BF"/>
    <w:rsid w:val="00922906"/>
    <w:rsid w:val="00922A16"/>
    <w:rsid w:val="00922B84"/>
    <w:rsid w:val="00922EFD"/>
    <w:rsid w:val="00922FF9"/>
    <w:rsid w:val="0092486A"/>
    <w:rsid w:val="00924D09"/>
    <w:rsid w:val="009252D6"/>
    <w:rsid w:val="009254F5"/>
    <w:rsid w:val="0092560B"/>
    <w:rsid w:val="0092632B"/>
    <w:rsid w:val="009263F7"/>
    <w:rsid w:val="00926E7B"/>
    <w:rsid w:val="00927072"/>
    <w:rsid w:val="00927A47"/>
    <w:rsid w:val="00930620"/>
    <w:rsid w:val="0093091F"/>
    <w:rsid w:val="00932CD3"/>
    <w:rsid w:val="009332EB"/>
    <w:rsid w:val="009333A6"/>
    <w:rsid w:val="00933BD2"/>
    <w:rsid w:val="009345FC"/>
    <w:rsid w:val="00934727"/>
    <w:rsid w:val="00935407"/>
    <w:rsid w:val="00935DBC"/>
    <w:rsid w:val="0093616F"/>
    <w:rsid w:val="00936DC5"/>
    <w:rsid w:val="00936FA2"/>
    <w:rsid w:val="00937999"/>
    <w:rsid w:val="00937B6F"/>
    <w:rsid w:val="00937E75"/>
    <w:rsid w:val="00937ED4"/>
    <w:rsid w:val="00940433"/>
    <w:rsid w:val="009418F3"/>
    <w:rsid w:val="00942EA4"/>
    <w:rsid w:val="009434FB"/>
    <w:rsid w:val="009436AD"/>
    <w:rsid w:val="00943AD0"/>
    <w:rsid w:val="00943EE2"/>
    <w:rsid w:val="00944734"/>
    <w:rsid w:val="0094495E"/>
    <w:rsid w:val="00944B88"/>
    <w:rsid w:val="0094532C"/>
    <w:rsid w:val="0094595B"/>
    <w:rsid w:val="00945AA0"/>
    <w:rsid w:val="00945C26"/>
    <w:rsid w:val="00945D05"/>
    <w:rsid w:val="00945FF8"/>
    <w:rsid w:val="00946115"/>
    <w:rsid w:val="00946208"/>
    <w:rsid w:val="00946838"/>
    <w:rsid w:val="0094764C"/>
    <w:rsid w:val="00947735"/>
    <w:rsid w:val="00947767"/>
    <w:rsid w:val="00947A00"/>
    <w:rsid w:val="00947B92"/>
    <w:rsid w:val="009509E0"/>
    <w:rsid w:val="00950CF7"/>
    <w:rsid w:val="009522A9"/>
    <w:rsid w:val="00952BB4"/>
    <w:rsid w:val="00953923"/>
    <w:rsid w:val="00953D5F"/>
    <w:rsid w:val="00953F30"/>
    <w:rsid w:val="009549C7"/>
    <w:rsid w:val="00954BD2"/>
    <w:rsid w:val="00954DA9"/>
    <w:rsid w:val="0095509D"/>
    <w:rsid w:val="0095601D"/>
    <w:rsid w:val="00956088"/>
    <w:rsid w:val="00956DEC"/>
    <w:rsid w:val="0095759C"/>
    <w:rsid w:val="00957DAA"/>
    <w:rsid w:val="00957E55"/>
    <w:rsid w:val="00960120"/>
    <w:rsid w:val="0096031E"/>
    <w:rsid w:val="0096072D"/>
    <w:rsid w:val="00960882"/>
    <w:rsid w:val="00960F5D"/>
    <w:rsid w:val="00961609"/>
    <w:rsid w:val="009620D0"/>
    <w:rsid w:val="009625DB"/>
    <w:rsid w:val="00962C2B"/>
    <w:rsid w:val="00962EBF"/>
    <w:rsid w:val="00963355"/>
    <w:rsid w:val="009641D7"/>
    <w:rsid w:val="00964DC8"/>
    <w:rsid w:val="00964FBB"/>
    <w:rsid w:val="009650EC"/>
    <w:rsid w:val="00965155"/>
    <w:rsid w:val="00965BF3"/>
    <w:rsid w:val="00965C34"/>
    <w:rsid w:val="009660EF"/>
    <w:rsid w:val="0096688F"/>
    <w:rsid w:val="00967231"/>
    <w:rsid w:val="00967AE1"/>
    <w:rsid w:val="0097034C"/>
    <w:rsid w:val="00970783"/>
    <w:rsid w:val="00970812"/>
    <w:rsid w:val="009714A0"/>
    <w:rsid w:val="00971658"/>
    <w:rsid w:val="009716C5"/>
    <w:rsid w:val="009725DE"/>
    <w:rsid w:val="009726B3"/>
    <w:rsid w:val="00972EA7"/>
    <w:rsid w:val="00973715"/>
    <w:rsid w:val="009741C8"/>
    <w:rsid w:val="009745B4"/>
    <w:rsid w:val="00974FA4"/>
    <w:rsid w:val="0097546B"/>
    <w:rsid w:val="0097558F"/>
    <w:rsid w:val="00975719"/>
    <w:rsid w:val="00975CA9"/>
    <w:rsid w:val="00976015"/>
    <w:rsid w:val="00976751"/>
    <w:rsid w:val="00976950"/>
    <w:rsid w:val="00976B81"/>
    <w:rsid w:val="0097733E"/>
    <w:rsid w:val="00977408"/>
    <w:rsid w:val="00977858"/>
    <w:rsid w:val="009778BE"/>
    <w:rsid w:val="00977A9B"/>
    <w:rsid w:val="00977BDC"/>
    <w:rsid w:val="009814C6"/>
    <w:rsid w:val="00981C6B"/>
    <w:rsid w:val="00981CA5"/>
    <w:rsid w:val="009822A0"/>
    <w:rsid w:val="00982378"/>
    <w:rsid w:val="00982A6C"/>
    <w:rsid w:val="00982E59"/>
    <w:rsid w:val="00983D31"/>
    <w:rsid w:val="00983E10"/>
    <w:rsid w:val="00984556"/>
    <w:rsid w:val="0098504E"/>
    <w:rsid w:val="00985180"/>
    <w:rsid w:val="0098545D"/>
    <w:rsid w:val="009857B2"/>
    <w:rsid w:val="00985DBA"/>
    <w:rsid w:val="009860EB"/>
    <w:rsid w:val="0098646F"/>
    <w:rsid w:val="009869A0"/>
    <w:rsid w:val="0098707D"/>
    <w:rsid w:val="00987268"/>
    <w:rsid w:val="009874C7"/>
    <w:rsid w:val="009877EE"/>
    <w:rsid w:val="00987934"/>
    <w:rsid w:val="00987C88"/>
    <w:rsid w:val="00987D36"/>
    <w:rsid w:val="00987F22"/>
    <w:rsid w:val="00990202"/>
    <w:rsid w:val="00990394"/>
    <w:rsid w:val="00990766"/>
    <w:rsid w:val="00990886"/>
    <w:rsid w:val="00990BD2"/>
    <w:rsid w:val="00990F00"/>
    <w:rsid w:val="009913D7"/>
    <w:rsid w:val="00991E9B"/>
    <w:rsid w:val="00991EE7"/>
    <w:rsid w:val="009921E4"/>
    <w:rsid w:val="00992420"/>
    <w:rsid w:val="00992BA4"/>
    <w:rsid w:val="00992F2A"/>
    <w:rsid w:val="009937BB"/>
    <w:rsid w:val="00993DD8"/>
    <w:rsid w:val="00994963"/>
    <w:rsid w:val="00994BD8"/>
    <w:rsid w:val="00995764"/>
    <w:rsid w:val="0099577F"/>
    <w:rsid w:val="00995DF9"/>
    <w:rsid w:val="009962A4"/>
    <w:rsid w:val="009971E5"/>
    <w:rsid w:val="0099741D"/>
    <w:rsid w:val="009976D3"/>
    <w:rsid w:val="009978E8"/>
    <w:rsid w:val="00997E80"/>
    <w:rsid w:val="009A004A"/>
    <w:rsid w:val="009A013C"/>
    <w:rsid w:val="009A0345"/>
    <w:rsid w:val="009A041C"/>
    <w:rsid w:val="009A07E1"/>
    <w:rsid w:val="009A0C1B"/>
    <w:rsid w:val="009A0CC8"/>
    <w:rsid w:val="009A0EA5"/>
    <w:rsid w:val="009A10DC"/>
    <w:rsid w:val="009A14F6"/>
    <w:rsid w:val="009A14FC"/>
    <w:rsid w:val="009A155A"/>
    <w:rsid w:val="009A1A1D"/>
    <w:rsid w:val="009A1BC2"/>
    <w:rsid w:val="009A1F39"/>
    <w:rsid w:val="009A3A38"/>
    <w:rsid w:val="009A3A4B"/>
    <w:rsid w:val="009A4267"/>
    <w:rsid w:val="009A4510"/>
    <w:rsid w:val="009A49D7"/>
    <w:rsid w:val="009A4CEF"/>
    <w:rsid w:val="009A57D5"/>
    <w:rsid w:val="009A58FA"/>
    <w:rsid w:val="009A5909"/>
    <w:rsid w:val="009A59C2"/>
    <w:rsid w:val="009A60EF"/>
    <w:rsid w:val="009A628F"/>
    <w:rsid w:val="009A6666"/>
    <w:rsid w:val="009A7883"/>
    <w:rsid w:val="009A7906"/>
    <w:rsid w:val="009A7C2B"/>
    <w:rsid w:val="009A7D10"/>
    <w:rsid w:val="009A7E4B"/>
    <w:rsid w:val="009B0AFA"/>
    <w:rsid w:val="009B0F8F"/>
    <w:rsid w:val="009B1302"/>
    <w:rsid w:val="009B146F"/>
    <w:rsid w:val="009B1DAA"/>
    <w:rsid w:val="009B25F3"/>
    <w:rsid w:val="009B2BE0"/>
    <w:rsid w:val="009B2C66"/>
    <w:rsid w:val="009B37B5"/>
    <w:rsid w:val="009B38A8"/>
    <w:rsid w:val="009B4439"/>
    <w:rsid w:val="009B464E"/>
    <w:rsid w:val="009B4B70"/>
    <w:rsid w:val="009B5050"/>
    <w:rsid w:val="009B5626"/>
    <w:rsid w:val="009B5D5C"/>
    <w:rsid w:val="009B62E3"/>
    <w:rsid w:val="009B6411"/>
    <w:rsid w:val="009B65B6"/>
    <w:rsid w:val="009B69F1"/>
    <w:rsid w:val="009B7438"/>
    <w:rsid w:val="009B78C3"/>
    <w:rsid w:val="009B7A7D"/>
    <w:rsid w:val="009B7D39"/>
    <w:rsid w:val="009C03E0"/>
    <w:rsid w:val="009C044D"/>
    <w:rsid w:val="009C0621"/>
    <w:rsid w:val="009C0FED"/>
    <w:rsid w:val="009C12E5"/>
    <w:rsid w:val="009C14D7"/>
    <w:rsid w:val="009C1708"/>
    <w:rsid w:val="009C1C5E"/>
    <w:rsid w:val="009C24B8"/>
    <w:rsid w:val="009C2ECB"/>
    <w:rsid w:val="009C2EF6"/>
    <w:rsid w:val="009C3B56"/>
    <w:rsid w:val="009C3C57"/>
    <w:rsid w:val="009C3E35"/>
    <w:rsid w:val="009C4055"/>
    <w:rsid w:val="009C45C6"/>
    <w:rsid w:val="009C548B"/>
    <w:rsid w:val="009C56E3"/>
    <w:rsid w:val="009C5FEA"/>
    <w:rsid w:val="009C632E"/>
    <w:rsid w:val="009C63F8"/>
    <w:rsid w:val="009C6AD3"/>
    <w:rsid w:val="009D051D"/>
    <w:rsid w:val="009D0951"/>
    <w:rsid w:val="009D236A"/>
    <w:rsid w:val="009D288B"/>
    <w:rsid w:val="009D29CF"/>
    <w:rsid w:val="009D2EB0"/>
    <w:rsid w:val="009D3250"/>
    <w:rsid w:val="009D4FE8"/>
    <w:rsid w:val="009D5109"/>
    <w:rsid w:val="009D52DE"/>
    <w:rsid w:val="009D5A86"/>
    <w:rsid w:val="009D5D91"/>
    <w:rsid w:val="009D604F"/>
    <w:rsid w:val="009D6506"/>
    <w:rsid w:val="009D66E7"/>
    <w:rsid w:val="009D6C60"/>
    <w:rsid w:val="009D6DB7"/>
    <w:rsid w:val="009D759D"/>
    <w:rsid w:val="009D7B61"/>
    <w:rsid w:val="009D7B98"/>
    <w:rsid w:val="009E07E0"/>
    <w:rsid w:val="009E15E0"/>
    <w:rsid w:val="009E15EC"/>
    <w:rsid w:val="009E161B"/>
    <w:rsid w:val="009E1930"/>
    <w:rsid w:val="009E1A45"/>
    <w:rsid w:val="009E1B4A"/>
    <w:rsid w:val="009E24A4"/>
    <w:rsid w:val="009E2715"/>
    <w:rsid w:val="009E296B"/>
    <w:rsid w:val="009E2ECE"/>
    <w:rsid w:val="009E2F13"/>
    <w:rsid w:val="009E304C"/>
    <w:rsid w:val="009E3665"/>
    <w:rsid w:val="009E36BA"/>
    <w:rsid w:val="009E3D5D"/>
    <w:rsid w:val="009E3D86"/>
    <w:rsid w:val="009E45D9"/>
    <w:rsid w:val="009E4BC1"/>
    <w:rsid w:val="009E4ED6"/>
    <w:rsid w:val="009E5185"/>
    <w:rsid w:val="009E5C48"/>
    <w:rsid w:val="009E5D39"/>
    <w:rsid w:val="009E6265"/>
    <w:rsid w:val="009E635A"/>
    <w:rsid w:val="009E6783"/>
    <w:rsid w:val="009E6BAE"/>
    <w:rsid w:val="009E742E"/>
    <w:rsid w:val="009E7434"/>
    <w:rsid w:val="009E7DFE"/>
    <w:rsid w:val="009F0012"/>
    <w:rsid w:val="009F0B5C"/>
    <w:rsid w:val="009F14A6"/>
    <w:rsid w:val="009F163A"/>
    <w:rsid w:val="009F1975"/>
    <w:rsid w:val="009F2EA7"/>
    <w:rsid w:val="009F3439"/>
    <w:rsid w:val="009F40B5"/>
    <w:rsid w:val="009F42A5"/>
    <w:rsid w:val="009F4C1B"/>
    <w:rsid w:val="009F4EFD"/>
    <w:rsid w:val="009F5016"/>
    <w:rsid w:val="009F52EF"/>
    <w:rsid w:val="009F5683"/>
    <w:rsid w:val="009F584A"/>
    <w:rsid w:val="009F58FE"/>
    <w:rsid w:val="009F5C89"/>
    <w:rsid w:val="009F6240"/>
    <w:rsid w:val="009F6479"/>
    <w:rsid w:val="009F653C"/>
    <w:rsid w:val="009F67BC"/>
    <w:rsid w:val="009F70D5"/>
    <w:rsid w:val="009F777F"/>
    <w:rsid w:val="009F7919"/>
    <w:rsid w:val="009F7A28"/>
    <w:rsid w:val="009F7E40"/>
    <w:rsid w:val="00A0040F"/>
    <w:rsid w:val="00A009D5"/>
    <w:rsid w:val="00A00E2E"/>
    <w:rsid w:val="00A00FD8"/>
    <w:rsid w:val="00A01CF6"/>
    <w:rsid w:val="00A024A1"/>
    <w:rsid w:val="00A025CD"/>
    <w:rsid w:val="00A02625"/>
    <w:rsid w:val="00A02A59"/>
    <w:rsid w:val="00A03B29"/>
    <w:rsid w:val="00A03E0E"/>
    <w:rsid w:val="00A0420B"/>
    <w:rsid w:val="00A0472D"/>
    <w:rsid w:val="00A04EA2"/>
    <w:rsid w:val="00A050B6"/>
    <w:rsid w:val="00A05129"/>
    <w:rsid w:val="00A05621"/>
    <w:rsid w:val="00A05913"/>
    <w:rsid w:val="00A05CCA"/>
    <w:rsid w:val="00A06AAC"/>
    <w:rsid w:val="00A06FBA"/>
    <w:rsid w:val="00A0709F"/>
    <w:rsid w:val="00A078BD"/>
    <w:rsid w:val="00A07FFB"/>
    <w:rsid w:val="00A115A2"/>
    <w:rsid w:val="00A12415"/>
    <w:rsid w:val="00A1274C"/>
    <w:rsid w:val="00A128FA"/>
    <w:rsid w:val="00A129E8"/>
    <w:rsid w:val="00A12AA4"/>
    <w:rsid w:val="00A12B70"/>
    <w:rsid w:val="00A13214"/>
    <w:rsid w:val="00A13617"/>
    <w:rsid w:val="00A13BE9"/>
    <w:rsid w:val="00A14018"/>
    <w:rsid w:val="00A14AE5"/>
    <w:rsid w:val="00A14B7B"/>
    <w:rsid w:val="00A14C01"/>
    <w:rsid w:val="00A14E51"/>
    <w:rsid w:val="00A15713"/>
    <w:rsid w:val="00A16519"/>
    <w:rsid w:val="00A16739"/>
    <w:rsid w:val="00A16B9C"/>
    <w:rsid w:val="00A16FE6"/>
    <w:rsid w:val="00A17B97"/>
    <w:rsid w:val="00A17DC6"/>
    <w:rsid w:val="00A20090"/>
    <w:rsid w:val="00A200EE"/>
    <w:rsid w:val="00A20352"/>
    <w:rsid w:val="00A20754"/>
    <w:rsid w:val="00A20AC5"/>
    <w:rsid w:val="00A21100"/>
    <w:rsid w:val="00A2129F"/>
    <w:rsid w:val="00A21CED"/>
    <w:rsid w:val="00A21DCC"/>
    <w:rsid w:val="00A224A5"/>
    <w:rsid w:val="00A2284C"/>
    <w:rsid w:val="00A22BB6"/>
    <w:rsid w:val="00A23032"/>
    <w:rsid w:val="00A231DD"/>
    <w:rsid w:val="00A23268"/>
    <w:rsid w:val="00A23745"/>
    <w:rsid w:val="00A23EC7"/>
    <w:rsid w:val="00A24015"/>
    <w:rsid w:val="00A2407E"/>
    <w:rsid w:val="00A242B6"/>
    <w:rsid w:val="00A24587"/>
    <w:rsid w:val="00A24A40"/>
    <w:rsid w:val="00A24DFF"/>
    <w:rsid w:val="00A25748"/>
    <w:rsid w:val="00A25AA0"/>
    <w:rsid w:val="00A25B82"/>
    <w:rsid w:val="00A26573"/>
    <w:rsid w:val="00A26C40"/>
    <w:rsid w:val="00A2720B"/>
    <w:rsid w:val="00A27335"/>
    <w:rsid w:val="00A27754"/>
    <w:rsid w:val="00A27DF7"/>
    <w:rsid w:val="00A30177"/>
    <w:rsid w:val="00A30588"/>
    <w:rsid w:val="00A309DE"/>
    <w:rsid w:val="00A32434"/>
    <w:rsid w:val="00A328BD"/>
    <w:rsid w:val="00A32BDD"/>
    <w:rsid w:val="00A33A2E"/>
    <w:rsid w:val="00A3452A"/>
    <w:rsid w:val="00A34614"/>
    <w:rsid w:val="00A346F8"/>
    <w:rsid w:val="00A34A6A"/>
    <w:rsid w:val="00A35C28"/>
    <w:rsid w:val="00A35EA1"/>
    <w:rsid w:val="00A36DC4"/>
    <w:rsid w:val="00A37602"/>
    <w:rsid w:val="00A378C6"/>
    <w:rsid w:val="00A37D4F"/>
    <w:rsid w:val="00A402EE"/>
    <w:rsid w:val="00A40330"/>
    <w:rsid w:val="00A40AD0"/>
    <w:rsid w:val="00A40B04"/>
    <w:rsid w:val="00A4159D"/>
    <w:rsid w:val="00A4166A"/>
    <w:rsid w:val="00A417C7"/>
    <w:rsid w:val="00A41C0F"/>
    <w:rsid w:val="00A42034"/>
    <w:rsid w:val="00A42615"/>
    <w:rsid w:val="00A4284E"/>
    <w:rsid w:val="00A42CD8"/>
    <w:rsid w:val="00A42D97"/>
    <w:rsid w:val="00A42EE7"/>
    <w:rsid w:val="00A43313"/>
    <w:rsid w:val="00A438F9"/>
    <w:rsid w:val="00A43D1B"/>
    <w:rsid w:val="00A44282"/>
    <w:rsid w:val="00A44426"/>
    <w:rsid w:val="00A4447A"/>
    <w:rsid w:val="00A4477B"/>
    <w:rsid w:val="00A448D2"/>
    <w:rsid w:val="00A449B7"/>
    <w:rsid w:val="00A452B0"/>
    <w:rsid w:val="00A45326"/>
    <w:rsid w:val="00A45C37"/>
    <w:rsid w:val="00A45D7F"/>
    <w:rsid w:val="00A45EB3"/>
    <w:rsid w:val="00A45F84"/>
    <w:rsid w:val="00A46063"/>
    <w:rsid w:val="00A469F8"/>
    <w:rsid w:val="00A46A52"/>
    <w:rsid w:val="00A46F4B"/>
    <w:rsid w:val="00A47043"/>
    <w:rsid w:val="00A47644"/>
    <w:rsid w:val="00A477DD"/>
    <w:rsid w:val="00A47960"/>
    <w:rsid w:val="00A47980"/>
    <w:rsid w:val="00A47B79"/>
    <w:rsid w:val="00A47CB3"/>
    <w:rsid w:val="00A50674"/>
    <w:rsid w:val="00A50783"/>
    <w:rsid w:val="00A517B8"/>
    <w:rsid w:val="00A51E38"/>
    <w:rsid w:val="00A522B6"/>
    <w:rsid w:val="00A52429"/>
    <w:rsid w:val="00A52D9F"/>
    <w:rsid w:val="00A53E5A"/>
    <w:rsid w:val="00A53E7E"/>
    <w:rsid w:val="00A542A1"/>
    <w:rsid w:val="00A54807"/>
    <w:rsid w:val="00A5485C"/>
    <w:rsid w:val="00A54BFB"/>
    <w:rsid w:val="00A54C5A"/>
    <w:rsid w:val="00A54F9F"/>
    <w:rsid w:val="00A5530F"/>
    <w:rsid w:val="00A55727"/>
    <w:rsid w:val="00A55A89"/>
    <w:rsid w:val="00A55D2B"/>
    <w:rsid w:val="00A5684C"/>
    <w:rsid w:val="00A56F4B"/>
    <w:rsid w:val="00A57EEF"/>
    <w:rsid w:val="00A6055B"/>
    <w:rsid w:val="00A605A5"/>
    <w:rsid w:val="00A60689"/>
    <w:rsid w:val="00A60AE7"/>
    <w:rsid w:val="00A60B53"/>
    <w:rsid w:val="00A60DBB"/>
    <w:rsid w:val="00A6169F"/>
    <w:rsid w:val="00A6188C"/>
    <w:rsid w:val="00A61E1F"/>
    <w:rsid w:val="00A6256E"/>
    <w:rsid w:val="00A62F46"/>
    <w:rsid w:val="00A63412"/>
    <w:rsid w:val="00A638F7"/>
    <w:rsid w:val="00A6393E"/>
    <w:rsid w:val="00A63B61"/>
    <w:rsid w:val="00A63DE9"/>
    <w:rsid w:val="00A640DA"/>
    <w:rsid w:val="00A64AC0"/>
    <w:rsid w:val="00A64ACC"/>
    <w:rsid w:val="00A64B6E"/>
    <w:rsid w:val="00A64D9E"/>
    <w:rsid w:val="00A65056"/>
    <w:rsid w:val="00A65196"/>
    <w:rsid w:val="00A65258"/>
    <w:rsid w:val="00A656B3"/>
    <w:rsid w:val="00A65948"/>
    <w:rsid w:val="00A65AB6"/>
    <w:rsid w:val="00A661AD"/>
    <w:rsid w:val="00A662AC"/>
    <w:rsid w:val="00A669DE"/>
    <w:rsid w:val="00A66DCA"/>
    <w:rsid w:val="00A67075"/>
    <w:rsid w:val="00A6752C"/>
    <w:rsid w:val="00A703D1"/>
    <w:rsid w:val="00A704C1"/>
    <w:rsid w:val="00A70D8D"/>
    <w:rsid w:val="00A712CA"/>
    <w:rsid w:val="00A715D2"/>
    <w:rsid w:val="00A71C8E"/>
    <w:rsid w:val="00A720E9"/>
    <w:rsid w:val="00A726C3"/>
    <w:rsid w:val="00A72718"/>
    <w:rsid w:val="00A72C05"/>
    <w:rsid w:val="00A72DD0"/>
    <w:rsid w:val="00A72E4F"/>
    <w:rsid w:val="00A732DC"/>
    <w:rsid w:val="00A73924"/>
    <w:rsid w:val="00A7437A"/>
    <w:rsid w:val="00A74C20"/>
    <w:rsid w:val="00A74E70"/>
    <w:rsid w:val="00A75681"/>
    <w:rsid w:val="00A761A3"/>
    <w:rsid w:val="00A764D5"/>
    <w:rsid w:val="00A764D6"/>
    <w:rsid w:val="00A76998"/>
    <w:rsid w:val="00A76BCF"/>
    <w:rsid w:val="00A77DB4"/>
    <w:rsid w:val="00A801EA"/>
    <w:rsid w:val="00A80221"/>
    <w:rsid w:val="00A805FB"/>
    <w:rsid w:val="00A80865"/>
    <w:rsid w:val="00A80A42"/>
    <w:rsid w:val="00A8167F"/>
    <w:rsid w:val="00A820C6"/>
    <w:rsid w:val="00A8238F"/>
    <w:rsid w:val="00A82938"/>
    <w:rsid w:val="00A82CBC"/>
    <w:rsid w:val="00A82DC5"/>
    <w:rsid w:val="00A83415"/>
    <w:rsid w:val="00A83536"/>
    <w:rsid w:val="00A8374B"/>
    <w:rsid w:val="00A83807"/>
    <w:rsid w:val="00A83B5C"/>
    <w:rsid w:val="00A83E54"/>
    <w:rsid w:val="00A8403B"/>
    <w:rsid w:val="00A848BF"/>
    <w:rsid w:val="00A85271"/>
    <w:rsid w:val="00A852EB"/>
    <w:rsid w:val="00A85352"/>
    <w:rsid w:val="00A85701"/>
    <w:rsid w:val="00A85907"/>
    <w:rsid w:val="00A85C93"/>
    <w:rsid w:val="00A872CB"/>
    <w:rsid w:val="00A87764"/>
    <w:rsid w:val="00A879D1"/>
    <w:rsid w:val="00A900FA"/>
    <w:rsid w:val="00A90255"/>
    <w:rsid w:val="00A904B9"/>
    <w:rsid w:val="00A90910"/>
    <w:rsid w:val="00A90C3E"/>
    <w:rsid w:val="00A90FB4"/>
    <w:rsid w:val="00A91328"/>
    <w:rsid w:val="00A91340"/>
    <w:rsid w:val="00A920A4"/>
    <w:rsid w:val="00A923B7"/>
    <w:rsid w:val="00A92916"/>
    <w:rsid w:val="00A92C48"/>
    <w:rsid w:val="00A92FBE"/>
    <w:rsid w:val="00A931FC"/>
    <w:rsid w:val="00A938BA"/>
    <w:rsid w:val="00A94111"/>
    <w:rsid w:val="00A944CF"/>
    <w:rsid w:val="00A94EAD"/>
    <w:rsid w:val="00A952DF"/>
    <w:rsid w:val="00A95CD2"/>
    <w:rsid w:val="00A96599"/>
    <w:rsid w:val="00A9682A"/>
    <w:rsid w:val="00A969B5"/>
    <w:rsid w:val="00A97130"/>
    <w:rsid w:val="00A97D9F"/>
    <w:rsid w:val="00A97E94"/>
    <w:rsid w:val="00AA00ED"/>
    <w:rsid w:val="00AA0B13"/>
    <w:rsid w:val="00AA0DF5"/>
    <w:rsid w:val="00AA16DA"/>
    <w:rsid w:val="00AA1B50"/>
    <w:rsid w:val="00AA212B"/>
    <w:rsid w:val="00AA2963"/>
    <w:rsid w:val="00AA2BB2"/>
    <w:rsid w:val="00AA2D08"/>
    <w:rsid w:val="00AA2D85"/>
    <w:rsid w:val="00AA3006"/>
    <w:rsid w:val="00AA3295"/>
    <w:rsid w:val="00AA351E"/>
    <w:rsid w:val="00AA3A90"/>
    <w:rsid w:val="00AA4A47"/>
    <w:rsid w:val="00AA4A81"/>
    <w:rsid w:val="00AA4DE2"/>
    <w:rsid w:val="00AA51CC"/>
    <w:rsid w:val="00AA5962"/>
    <w:rsid w:val="00AA5D32"/>
    <w:rsid w:val="00AA6AF5"/>
    <w:rsid w:val="00AA6B69"/>
    <w:rsid w:val="00AA6BD2"/>
    <w:rsid w:val="00AA6DFF"/>
    <w:rsid w:val="00AA7125"/>
    <w:rsid w:val="00AA776A"/>
    <w:rsid w:val="00AB041B"/>
    <w:rsid w:val="00AB1AD4"/>
    <w:rsid w:val="00AB2059"/>
    <w:rsid w:val="00AB20E4"/>
    <w:rsid w:val="00AB2175"/>
    <w:rsid w:val="00AB24A5"/>
    <w:rsid w:val="00AB3161"/>
    <w:rsid w:val="00AB3176"/>
    <w:rsid w:val="00AB328E"/>
    <w:rsid w:val="00AB33A6"/>
    <w:rsid w:val="00AB36AD"/>
    <w:rsid w:val="00AB4153"/>
    <w:rsid w:val="00AB49C5"/>
    <w:rsid w:val="00AB4CF7"/>
    <w:rsid w:val="00AB4E62"/>
    <w:rsid w:val="00AB534F"/>
    <w:rsid w:val="00AB5891"/>
    <w:rsid w:val="00AB6669"/>
    <w:rsid w:val="00AB7EDA"/>
    <w:rsid w:val="00AC047B"/>
    <w:rsid w:val="00AC0591"/>
    <w:rsid w:val="00AC0E7D"/>
    <w:rsid w:val="00AC0F5A"/>
    <w:rsid w:val="00AC11E3"/>
    <w:rsid w:val="00AC1EC1"/>
    <w:rsid w:val="00AC2120"/>
    <w:rsid w:val="00AC2EA6"/>
    <w:rsid w:val="00AC2EC4"/>
    <w:rsid w:val="00AC2F34"/>
    <w:rsid w:val="00AC2F5D"/>
    <w:rsid w:val="00AC3974"/>
    <w:rsid w:val="00AC3B55"/>
    <w:rsid w:val="00AC3E3D"/>
    <w:rsid w:val="00AC49F9"/>
    <w:rsid w:val="00AC50C2"/>
    <w:rsid w:val="00AC563E"/>
    <w:rsid w:val="00AC5F28"/>
    <w:rsid w:val="00AC64B5"/>
    <w:rsid w:val="00AC6FDE"/>
    <w:rsid w:val="00AC77E5"/>
    <w:rsid w:val="00AC7EEB"/>
    <w:rsid w:val="00AD0424"/>
    <w:rsid w:val="00AD06CE"/>
    <w:rsid w:val="00AD0D4E"/>
    <w:rsid w:val="00AD16B3"/>
    <w:rsid w:val="00AD171E"/>
    <w:rsid w:val="00AD26F8"/>
    <w:rsid w:val="00AD2A28"/>
    <w:rsid w:val="00AD2A71"/>
    <w:rsid w:val="00AD2E71"/>
    <w:rsid w:val="00AD312C"/>
    <w:rsid w:val="00AD3498"/>
    <w:rsid w:val="00AD3DEF"/>
    <w:rsid w:val="00AD41DC"/>
    <w:rsid w:val="00AD45BA"/>
    <w:rsid w:val="00AD45E1"/>
    <w:rsid w:val="00AD4B26"/>
    <w:rsid w:val="00AD55B1"/>
    <w:rsid w:val="00AD6227"/>
    <w:rsid w:val="00AD64F7"/>
    <w:rsid w:val="00AD699D"/>
    <w:rsid w:val="00AD6C9F"/>
    <w:rsid w:val="00AD6F48"/>
    <w:rsid w:val="00AD70D8"/>
    <w:rsid w:val="00AD74C6"/>
    <w:rsid w:val="00AD74D4"/>
    <w:rsid w:val="00AD76E1"/>
    <w:rsid w:val="00AD797A"/>
    <w:rsid w:val="00AD7AF4"/>
    <w:rsid w:val="00AD7CDF"/>
    <w:rsid w:val="00AD7CE3"/>
    <w:rsid w:val="00AD7EAF"/>
    <w:rsid w:val="00AD7F04"/>
    <w:rsid w:val="00AD7F3F"/>
    <w:rsid w:val="00AE019B"/>
    <w:rsid w:val="00AE03F5"/>
    <w:rsid w:val="00AE116A"/>
    <w:rsid w:val="00AE1434"/>
    <w:rsid w:val="00AE146B"/>
    <w:rsid w:val="00AE1557"/>
    <w:rsid w:val="00AE17F1"/>
    <w:rsid w:val="00AE22F0"/>
    <w:rsid w:val="00AE25E2"/>
    <w:rsid w:val="00AE290F"/>
    <w:rsid w:val="00AE2C5F"/>
    <w:rsid w:val="00AE34B2"/>
    <w:rsid w:val="00AE385C"/>
    <w:rsid w:val="00AE3B55"/>
    <w:rsid w:val="00AE3D71"/>
    <w:rsid w:val="00AE43EC"/>
    <w:rsid w:val="00AE4B67"/>
    <w:rsid w:val="00AE4BEF"/>
    <w:rsid w:val="00AE4DBA"/>
    <w:rsid w:val="00AE4FFA"/>
    <w:rsid w:val="00AE50A1"/>
    <w:rsid w:val="00AE5286"/>
    <w:rsid w:val="00AE57F2"/>
    <w:rsid w:val="00AE587C"/>
    <w:rsid w:val="00AE58A8"/>
    <w:rsid w:val="00AE5ADE"/>
    <w:rsid w:val="00AE5D54"/>
    <w:rsid w:val="00AE5E50"/>
    <w:rsid w:val="00AE5E57"/>
    <w:rsid w:val="00AE643E"/>
    <w:rsid w:val="00AE6BAC"/>
    <w:rsid w:val="00AE6BF2"/>
    <w:rsid w:val="00AE6D60"/>
    <w:rsid w:val="00AE747F"/>
    <w:rsid w:val="00AE7929"/>
    <w:rsid w:val="00AF03A6"/>
    <w:rsid w:val="00AF05C1"/>
    <w:rsid w:val="00AF0689"/>
    <w:rsid w:val="00AF0B0A"/>
    <w:rsid w:val="00AF1486"/>
    <w:rsid w:val="00AF1A93"/>
    <w:rsid w:val="00AF1C35"/>
    <w:rsid w:val="00AF1E60"/>
    <w:rsid w:val="00AF1E9A"/>
    <w:rsid w:val="00AF2DAA"/>
    <w:rsid w:val="00AF3C29"/>
    <w:rsid w:val="00AF4494"/>
    <w:rsid w:val="00AF4920"/>
    <w:rsid w:val="00AF49D5"/>
    <w:rsid w:val="00AF4CA7"/>
    <w:rsid w:val="00AF4F0C"/>
    <w:rsid w:val="00AF4FAD"/>
    <w:rsid w:val="00AF59FC"/>
    <w:rsid w:val="00AF60AE"/>
    <w:rsid w:val="00AF60DE"/>
    <w:rsid w:val="00AF63E3"/>
    <w:rsid w:val="00AF6524"/>
    <w:rsid w:val="00AF6D00"/>
    <w:rsid w:val="00AF6DBE"/>
    <w:rsid w:val="00AF75D4"/>
    <w:rsid w:val="00AF77CB"/>
    <w:rsid w:val="00AF799E"/>
    <w:rsid w:val="00AF7B09"/>
    <w:rsid w:val="00AF7CC4"/>
    <w:rsid w:val="00AF7E0F"/>
    <w:rsid w:val="00B0077E"/>
    <w:rsid w:val="00B00A15"/>
    <w:rsid w:val="00B01510"/>
    <w:rsid w:val="00B01642"/>
    <w:rsid w:val="00B01766"/>
    <w:rsid w:val="00B02041"/>
    <w:rsid w:val="00B020CC"/>
    <w:rsid w:val="00B02425"/>
    <w:rsid w:val="00B024CC"/>
    <w:rsid w:val="00B027DB"/>
    <w:rsid w:val="00B0282C"/>
    <w:rsid w:val="00B02A92"/>
    <w:rsid w:val="00B02E14"/>
    <w:rsid w:val="00B02E69"/>
    <w:rsid w:val="00B033A0"/>
    <w:rsid w:val="00B03519"/>
    <w:rsid w:val="00B035E7"/>
    <w:rsid w:val="00B036CE"/>
    <w:rsid w:val="00B03C9B"/>
    <w:rsid w:val="00B0412E"/>
    <w:rsid w:val="00B04A7D"/>
    <w:rsid w:val="00B04CD2"/>
    <w:rsid w:val="00B0545F"/>
    <w:rsid w:val="00B05E22"/>
    <w:rsid w:val="00B060CD"/>
    <w:rsid w:val="00B066E1"/>
    <w:rsid w:val="00B06DB7"/>
    <w:rsid w:val="00B06E2E"/>
    <w:rsid w:val="00B07DD7"/>
    <w:rsid w:val="00B1087C"/>
    <w:rsid w:val="00B10B1D"/>
    <w:rsid w:val="00B10E26"/>
    <w:rsid w:val="00B111AE"/>
    <w:rsid w:val="00B11339"/>
    <w:rsid w:val="00B114A3"/>
    <w:rsid w:val="00B1197B"/>
    <w:rsid w:val="00B11C38"/>
    <w:rsid w:val="00B12411"/>
    <w:rsid w:val="00B12526"/>
    <w:rsid w:val="00B12722"/>
    <w:rsid w:val="00B12846"/>
    <w:rsid w:val="00B12BA9"/>
    <w:rsid w:val="00B12BBA"/>
    <w:rsid w:val="00B13046"/>
    <w:rsid w:val="00B13234"/>
    <w:rsid w:val="00B134CB"/>
    <w:rsid w:val="00B13C05"/>
    <w:rsid w:val="00B13DB0"/>
    <w:rsid w:val="00B14168"/>
    <w:rsid w:val="00B14367"/>
    <w:rsid w:val="00B1478A"/>
    <w:rsid w:val="00B14BC5"/>
    <w:rsid w:val="00B155B2"/>
    <w:rsid w:val="00B159C4"/>
    <w:rsid w:val="00B15E29"/>
    <w:rsid w:val="00B15E40"/>
    <w:rsid w:val="00B16CBC"/>
    <w:rsid w:val="00B17752"/>
    <w:rsid w:val="00B17997"/>
    <w:rsid w:val="00B17DEE"/>
    <w:rsid w:val="00B17E99"/>
    <w:rsid w:val="00B17FCD"/>
    <w:rsid w:val="00B2007F"/>
    <w:rsid w:val="00B20128"/>
    <w:rsid w:val="00B2118D"/>
    <w:rsid w:val="00B2128C"/>
    <w:rsid w:val="00B213EF"/>
    <w:rsid w:val="00B21823"/>
    <w:rsid w:val="00B21BB4"/>
    <w:rsid w:val="00B21DE2"/>
    <w:rsid w:val="00B2207F"/>
    <w:rsid w:val="00B222DA"/>
    <w:rsid w:val="00B2294D"/>
    <w:rsid w:val="00B22FF1"/>
    <w:rsid w:val="00B24116"/>
    <w:rsid w:val="00B24323"/>
    <w:rsid w:val="00B250BF"/>
    <w:rsid w:val="00B25533"/>
    <w:rsid w:val="00B259C7"/>
    <w:rsid w:val="00B25F30"/>
    <w:rsid w:val="00B26B07"/>
    <w:rsid w:val="00B26E4C"/>
    <w:rsid w:val="00B27884"/>
    <w:rsid w:val="00B27E62"/>
    <w:rsid w:val="00B307EB"/>
    <w:rsid w:val="00B30BC4"/>
    <w:rsid w:val="00B30F31"/>
    <w:rsid w:val="00B31418"/>
    <w:rsid w:val="00B31767"/>
    <w:rsid w:val="00B326A6"/>
    <w:rsid w:val="00B32BD8"/>
    <w:rsid w:val="00B336F3"/>
    <w:rsid w:val="00B33B51"/>
    <w:rsid w:val="00B33BF5"/>
    <w:rsid w:val="00B33E82"/>
    <w:rsid w:val="00B33F49"/>
    <w:rsid w:val="00B344EB"/>
    <w:rsid w:val="00B34801"/>
    <w:rsid w:val="00B349D9"/>
    <w:rsid w:val="00B354FB"/>
    <w:rsid w:val="00B3589F"/>
    <w:rsid w:val="00B35C33"/>
    <w:rsid w:val="00B35CE4"/>
    <w:rsid w:val="00B37520"/>
    <w:rsid w:val="00B376FE"/>
    <w:rsid w:val="00B378DF"/>
    <w:rsid w:val="00B402EC"/>
    <w:rsid w:val="00B40563"/>
    <w:rsid w:val="00B40D5E"/>
    <w:rsid w:val="00B40D8A"/>
    <w:rsid w:val="00B40E32"/>
    <w:rsid w:val="00B40E88"/>
    <w:rsid w:val="00B41199"/>
    <w:rsid w:val="00B41682"/>
    <w:rsid w:val="00B4186F"/>
    <w:rsid w:val="00B42020"/>
    <w:rsid w:val="00B42828"/>
    <w:rsid w:val="00B42C81"/>
    <w:rsid w:val="00B42D0C"/>
    <w:rsid w:val="00B43AC7"/>
    <w:rsid w:val="00B43D92"/>
    <w:rsid w:val="00B44177"/>
    <w:rsid w:val="00B44C94"/>
    <w:rsid w:val="00B44CA1"/>
    <w:rsid w:val="00B44D2C"/>
    <w:rsid w:val="00B459CA"/>
    <w:rsid w:val="00B45A4C"/>
    <w:rsid w:val="00B46228"/>
    <w:rsid w:val="00B46A8D"/>
    <w:rsid w:val="00B46CF3"/>
    <w:rsid w:val="00B46F16"/>
    <w:rsid w:val="00B47975"/>
    <w:rsid w:val="00B47AD2"/>
    <w:rsid w:val="00B47B82"/>
    <w:rsid w:val="00B5000D"/>
    <w:rsid w:val="00B506A3"/>
    <w:rsid w:val="00B50920"/>
    <w:rsid w:val="00B50C17"/>
    <w:rsid w:val="00B512D1"/>
    <w:rsid w:val="00B51E24"/>
    <w:rsid w:val="00B520A1"/>
    <w:rsid w:val="00B52151"/>
    <w:rsid w:val="00B5403B"/>
    <w:rsid w:val="00B54207"/>
    <w:rsid w:val="00B5584B"/>
    <w:rsid w:val="00B55C60"/>
    <w:rsid w:val="00B55DF6"/>
    <w:rsid w:val="00B563BB"/>
    <w:rsid w:val="00B5694F"/>
    <w:rsid w:val="00B56A07"/>
    <w:rsid w:val="00B56AE0"/>
    <w:rsid w:val="00B56CCB"/>
    <w:rsid w:val="00B577C3"/>
    <w:rsid w:val="00B57928"/>
    <w:rsid w:val="00B607BB"/>
    <w:rsid w:val="00B60930"/>
    <w:rsid w:val="00B60931"/>
    <w:rsid w:val="00B60E47"/>
    <w:rsid w:val="00B60E97"/>
    <w:rsid w:val="00B61720"/>
    <w:rsid w:val="00B61852"/>
    <w:rsid w:val="00B61F07"/>
    <w:rsid w:val="00B6200E"/>
    <w:rsid w:val="00B62129"/>
    <w:rsid w:val="00B624BA"/>
    <w:rsid w:val="00B6267A"/>
    <w:rsid w:val="00B62736"/>
    <w:rsid w:val="00B632FE"/>
    <w:rsid w:val="00B6360F"/>
    <w:rsid w:val="00B638B8"/>
    <w:rsid w:val="00B63A43"/>
    <w:rsid w:val="00B6417A"/>
    <w:rsid w:val="00B641E9"/>
    <w:rsid w:val="00B64822"/>
    <w:rsid w:val="00B64FAE"/>
    <w:rsid w:val="00B65FBC"/>
    <w:rsid w:val="00B6623E"/>
    <w:rsid w:val="00B663AD"/>
    <w:rsid w:val="00B66A71"/>
    <w:rsid w:val="00B66F0B"/>
    <w:rsid w:val="00B66F56"/>
    <w:rsid w:val="00B67295"/>
    <w:rsid w:val="00B67588"/>
    <w:rsid w:val="00B677A5"/>
    <w:rsid w:val="00B67F23"/>
    <w:rsid w:val="00B70AFB"/>
    <w:rsid w:val="00B71204"/>
    <w:rsid w:val="00B72249"/>
    <w:rsid w:val="00B72621"/>
    <w:rsid w:val="00B7269C"/>
    <w:rsid w:val="00B72871"/>
    <w:rsid w:val="00B729B4"/>
    <w:rsid w:val="00B72A04"/>
    <w:rsid w:val="00B72AD6"/>
    <w:rsid w:val="00B72C75"/>
    <w:rsid w:val="00B72D12"/>
    <w:rsid w:val="00B72D25"/>
    <w:rsid w:val="00B734B0"/>
    <w:rsid w:val="00B73733"/>
    <w:rsid w:val="00B73B5F"/>
    <w:rsid w:val="00B7415B"/>
    <w:rsid w:val="00B74936"/>
    <w:rsid w:val="00B74C29"/>
    <w:rsid w:val="00B74C92"/>
    <w:rsid w:val="00B750C1"/>
    <w:rsid w:val="00B7516D"/>
    <w:rsid w:val="00B75DEF"/>
    <w:rsid w:val="00B76059"/>
    <w:rsid w:val="00B768DC"/>
    <w:rsid w:val="00B76AE5"/>
    <w:rsid w:val="00B76F43"/>
    <w:rsid w:val="00B77E0D"/>
    <w:rsid w:val="00B77F42"/>
    <w:rsid w:val="00B80392"/>
    <w:rsid w:val="00B80BBF"/>
    <w:rsid w:val="00B81006"/>
    <w:rsid w:val="00B81A46"/>
    <w:rsid w:val="00B81A64"/>
    <w:rsid w:val="00B81D89"/>
    <w:rsid w:val="00B82311"/>
    <w:rsid w:val="00B825FD"/>
    <w:rsid w:val="00B8285E"/>
    <w:rsid w:val="00B83676"/>
    <w:rsid w:val="00B83E98"/>
    <w:rsid w:val="00B84195"/>
    <w:rsid w:val="00B842A1"/>
    <w:rsid w:val="00B84328"/>
    <w:rsid w:val="00B845AE"/>
    <w:rsid w:val="00B8466C"/>
    <w:rsid w:val="00B84BB0"/>
    <w:rsid w:val="00B85373"/>
    <w:rsid w:val="00B854E7"/>
    <w:rsid w:val="00B859B2"/>
    <w:rsid w:val="00B85E82"/>
    <w:rsid w:val="00B8640B"/>
    <w:rsid w:val="00B8669F"/>
    <w:rsid w:val="00B8671F"/>
    <w:rsid w:val="00B867BB"/>
    <w:rsid w:val="00B872EC"/>
    <w:rsid w:val="00B90C49"/>
    <w:rsid w:val="00B91AFA"/>
    <w:rsid w:val="00B91E8B"/>
    <w:rsid w:val="00B9275A"/>
    <w:rsid w:val="00B92BDB"/>
    <w:rsid w:val="00B93908"/>
    <w:rsid w:val="00B9464F"/>
    <w:rsid w:val="00B94667"/>
    <w:rsid w:val="00B94987"/>
    <w:rsid w:val="00B94BB7"/>
    <w:rsid w:val="00B9507B"/>
    <w:rsid w:val="00B95482"/>
    <w:rsid w:val="00B95BE8"/>
    <w:rsid w:val="00B95C7B"/>
    <w:rsid w:val="00B95C95"/>
    <w:rsid w:val="00B95CEE"/>
    <w:rsid w:val="00B96D0C"/>
    <w:rsid w:val="00B96FD1"/>
    <w:rsid w:val="00B977FA"/>
    <w:rsid w:val="00B97C0D"/>
    <w:rsid w:val="00BA00D7"/>
    <w:rsid w:val="00BA0150"/>
    <w:rsid w:val="00BA09B0"/>
    <w:rsid w:val="00BA1C99"/>
    <w:rsid w:val="00BA1D24"/>
    <w:rsid w:val="00BA2485"/>
    <w:rsid w:val="00BA335E"/>
    <w:rsid w:val="00BA379C"/>
    <w:rsid w:val="00BA3B5C"/>
    <w:rsid w:val="00BA40D9"/>
    <w:rsid w:val="00BA4138"/>
    <w:rsid w:val="00BA42DD"/>
    <w:rsid w:val="00BA437D"/>
    <w:rsid w:val="00BA44C4"/>
    <w:rsid w:val="00BA4713"/>
    <w:rsid w:val="00BA47DE"/>
    <w:rsid w:val="00BA4852"/>
    <w:rsid w:val="00BA489B"/>
    <w:rsid w:val="00BA5281"/>
    <w:rsid w:val="00BA529F"/>
    <w:rsid w:val="00BA5337"/>
    <w:rsid w:val="00BA53C6"/>
    <w:rsid w:val="00BA5568"/>
    <w:rsid w:val="00BA5E8A"/>
    <w:rsid w:val="00BA60D2"/>
    <w:rsid w:val="00BA71BD"/>
    <w:rsid w:val="00BA78E2"/>
    <w:rsid w:val="00BA7A1E"/>
    <w:rsid w:val="00BB0539"/>
    <w:rsid w:val="00BB0BCB"/>
    <w:rsid w:val="00BB0CC4"/>
    <w:rsid w:val="00BB0E51"/>
    <w:rsid w:val="00BB11B4"/>
    <w:rsid w:val="00BB13A2"/>
    <w:rsid w:val="00BB2AFB"/>
    <w:rsid w:val="00BB3269"/>
    <w:rsid w:val="00BB3428"/>
    <w:rsid w:val="00BB36C4"/>
    <w:rsid w:val="00BB3865"/>
    <w:rsid w:val="00BB397C"/>
    <w:rsid w:val="00BB3B99"/>
    <w:rsid w:val="00BB3B9E"/>
    <w:rsid w:val="00BB456B"/>
    <w:rsid w:val="00BB48E5"/>
    <w:rsid w:val="00BB5053"/>
    <w:rsid w:val="00BB6246"/>
    <w:rsid w:val="00BB6594"/>
    <w:rsid w:val="00BB6859"/>
    <w:rsid w:val="00BB69F0"/>
    <w:rsid w:val="00BB7084"/>
    <w:rsid w:val="00BB708B"/>
    <w:rsid w:val="00BB7C9D"/>
    <w:rsid w:val="00BB7DF3"/>
    <w:rsid w:val="00BC012C"/>
    <w:rsid w:val="00BC0417"/>
    <w:rsid w:val="00BC084A"/>
    <w:rsid w:val="00BC0851"/>
    <w:rsid w:val="00BC0EFB"/>
    <w:rsid w:val="00BC0F32"/>
    <w:rsid w:val="00BC1BFF"/>
    <w:rsid w:val="00BC218C"/>
    <w:rsid w:val="00BC2357"/>
    <w:rsid w:val="00BC28DD"/>
    <w:rsid w:val="00BC2E3B"/>
    <w:rsid w:val="00BC3465"/>
    <w:rsid w:val="00BC397E"/>
    <w:rsid w:val="00BC416F"/>
    <w:rsid w:val="00BC41F1"/>
    <w:rsid w:val="00BC42E2"/>
    <w:rsid w:val="00BC4A4D"/>
    <w:rsid w:val="00BC4ABF"/>
    <w:rsid w:val="00BC4B02"/>
    <w:rsid w:val="00BC52B8"/>
    <w:rsid w:val="00BC5628"/>
    <w:rsid w:val="00BC5CFC"/>
    <w:rsid w:val="00BC5FA8"/>
    <w:rsid w:val="00BC6085"/>
    <w:rsid w:val="00BC6150"/>
    <w:rsid w:val="00BC61D5"/>
    <w:rsid w:val="00BC688A"/>
    <w:rsid w:val="00BC68ED"/>
    <w:rsid w:val="00BC6BC7"/>
    <w:rsid w:val="00BC6CA9"/>
    <w:rsid w:val="00BC6D3E"/>
    <w:rsid w:val="00BC7216"/>
    <w:rsid w:val="00BC7628"/>
    <w:rsid w:val="00BC7943"/>
    <w:rsid w:val="00BC7D6D"/>
    <w:rsid w:val="00BD00BF"/>
    <w:rsid w:val="00BD0339"/>
    <w:rsid w:val="00BD0BBD"/>
    <w:rsid w:val="00BD0D51"/>
    <w:rsid w:val="00BD0F06"/>
    <w:rsid w:val="00BD1093"/>
    <w:rsid w:val="00BD1319"/>
    <w:rsid w:val="00BD13E6"/>
    <w:rsid w:val="00BD1BC6"/>
    <w:rsid w:val="00BD1D24"/>
    <w:rsid w:val="00BD211E"/>
    <w:rsid w:val="00BD263F"/>
    <w:rsid w:val="00BD29C3"/>
    <w:rsid w:val="00BD342D"/>
    <w:rsid w:val="00BD3912"/>
    <w:rsid w:val="00BD3F6D"/>
    <w:rsid w:val="00BD496D"/>
    <w:rsid w:val="00BD4E52"/>
    <w:rsid w:val="00BD60C8"/>
    <w:rsid w:val="00BD6279"/>
    <w:rsid w:val="00BD65E9"/>
    <w:rsid w:val="00BD6C36"/>
    <w:rsid w:val="00BD7515"/>
    <w:rsid w:val="00BD7748"/>
    <w:rsid w:val="00BE0341"/>
    <w:rsid w:val="00BE078B"/>
    <w:rsid w:val="00BE0BB9"/>
    <w:rsid w:val="00BE0BEB"/>
    <w:rsid w:val="00BE0C04"/>
    <w:rsid w:val="00BE0C45"/>
    <w:rsid w:val="00BE0E82"/>
    <w:rsid w:val="00BE1A4F"/>
    <w:rsid w:val="00BE260F"/>
    <w:rsid w:val="00BE2BDA"/>
    <w:rsid w:val="00BE2EA2"/>
    <w:rsid w:val="00BE40D9"/>
    <w:rsid w:val="00BE496A"/>
    <w:rsid w:val="00BE49C9"/>
    <w:rsid w:val="00BE4D61"/>
    <w:rsid w:val="00BE5F98"/>
    <w:rsid w:val="00BE5FBF"/>
    <w:rsid w:val="00BE608F"/>
    <w:rsid w:val="00BE627D"/>
    <w:rsid w:val="00BE7D1F"/>
    <w:rsid w:val="00BF025A"/>
    <w:rsid w:val="00BF02AF"/>
    <w:rsid w:val="00BF0C18"/>
    <w:rsid w:val="00BF0E88"/>
    <w:rsid w:val="00BF14E6"/>
    <w:rsid w:val="00BF1C6E"/>
    <w:rsid w:val="00BF1D81"/>
    <w:rsid w:val="00BF3151"/>
    <w:rsid w:val="00BF3472"/>
    <w:rsid w:val="00BF347D"/>
    <w:rsid w:val="00BF3C24"/>
    <w:rsid w:val="00BF3F53"/>
    <w:rsid w:val="00BF431E"/>
    <w:rsid w:val="00BF48C0"/>
    <w:rsid w:val="00BF4BCB"/>
    <w:rsid w:val="00BF5289"/>
    <w:rsid w:val="00BF5434"/>
    <w:rsid w:val="00BF5AF8"/>
    <w:rsid w:val="00BF5B0C"/>
    <w:rsid w:val="00BF68ED"/>
    <w:rsid w:val="00BF6A27"/>
    <w:rsid w:val="00BF6A64"/>
    <w:rsid w:val="00BF6DB7"/>
    <w:rsid w:val="00C00A14"/>
    <w:rsid w:val="00C00AC4"/>
    <w:rsid w:val="00C00FE7"/>
    <w:rsid w:val="00C015F6"/>
    <w:rsid w:val="00C01F88"/>
    <w:rsid w:val="00C02288"/>
    <w:rsid w:val="00C02719"/>
    <w:rsid w:val="00C027DD"/>
    <w:rsid w:val="00C02B52"/>
    <w:rsid w:val="00C0330B"/>
    <w:rsid w:val="00C03B6E"/>
    <w:rsid w:val="00C04639"/>
    <w:rsid w:val="00C04D79"/>
    <w:rsid w:val="00C04DC2"/>
    <w:rsid w:val="00C05005"/>
    <w:rsid w:val="00C050BF"/>
    <w:rsid w:val="00C052C0"/>
    <w:rsid w:val="00C0539A"/>
    <w:rsid w:val="00C06432"/>
    <w:rsid w:val="00C066C4"/>
    <w:rsid w:val="00C06D7B"/>
    <w:rsid w:val="00C06DF7"/>
    <w:rsid w:val="00C06EE1"/>
    <w:rsid w:val="00C07BB1"/>
    <w:rsid w:val="00C10261"/>
    <w:rsid w:val="00C102C7"/>
    <w:rsid w:val="00C10A02"/>
    <w:rsid w:val="00C10C99"/>
    <w:rsid w:val="00C110FF"/>
    <w:rsid w:val="00C11550"/>
    <w:rsid w:val="00C116C1"/>
    <w:rsid w:val="00C1209A"/>
    <w:rsid w:val="00C1234D"/>
    <w:rsid w:val="00C1239D"/>
    <w:rsid w:val="00C12879"/>
    <w:rsid w:val="00C12BF5"/>
    <w:rsid w:val="00C12C2D"/>
    <w:rsid w:val="00C12DE1"/>
    <w:rsid w:val="00C13330"/>
    <w:rsid w:val="00C133F7"/>
    <w:rsid w:val="00C134A9"/>
    <w:rsid w:val="00C13A1D"/>
    <w:rsid w:val="00C13A77"/>
    <w:rsid w:val="00C13AFD"/>
    <w:rsid w:val="00C13F45"/>
    <w:rsid w:val="00C14C05"/>
    <w:rsid w:val="00C150E2"/>
    <w:rsid w:val="00C155DA"/>
    <w:rsid w:val="00C1680E"/>
    <w:rsid w:val="00C16A09"/>
    <w:rsid w:val="00C175B0"/>
    <w:rsid w:val="00C17639"/>
    <w:rsid w:val="00C20513"/>
    <w:rsid w:val="00C2099B"/>
    <w:rsid w:val="00C20D14"/>
    <w:rsid w:val="00C21A0A"/>
    <w:rsid w:val="00C21A23"/>
    <w:rsid w:val="00C21CEC"/>
    <w:rsid w:val="00C226A5"/>
    <w:rsid w:val="00C2287A"/>
    <w:rsid w:val="00C228FA"/>
    <w:rsid w:val="00C22C27"/>
    <w:rsid w:val="00C22F4A"/>
    <w:rsid w:val="00C22FAD"/>
    <w:rsid w:val="00C24914"/>
    <w:rsid w:val="00C24B4D"/>
    <w:rsid w:val="00C24E7C"/>
    <w:rsid w:val="00C24F2D"/>
    <w:rsid w:val="00C24FDB"/>
    <w:rsid w:val="00C252FA"/>
    <w:rsid w:val="00C25365"/>
    <w:rsid w:val="00C26347"/>
    <w:rsid w:val="00C26738"/>
    <w:rsid w:val="00C26D6B"/>
    <w:rsid w:val="00C2760C"/>
    <w:rsid w:val="00C27664"/>
    <w:rsid w:val="00C27BA3"/>
    <w:rsid w:val="00C3008A"/>
    <w:rsid w:val="00C304C9"/>
    <w:rsid w:val="00C30CC4"/>
    <w:rsid w:val="00C3113C"/>
    <w:rsid w:val="00C3114C"/>
    <w:rsid w:val="00C31168"/>
    <w:rsid w:val="00C31C30"/>
    <w:rsid w:val="00C321D9"/>
    <w:rsid w:val="00C324A0"/>
    <w:rsid w:val="00C33515"/>
    <w:rsid w:val="00C3390C"/>
    <w:rsid w:val="00C33A9F"/>
    <w:rsid w:val="00C33D53"/>
    <w:rsid w:val="00C33D56"/>
    <w:rsid w:val="00C34B04"/>
    <w:rsid w:val="00C35124"/>
    <w:rsid w:val="00C3555C"/>
    <w:rsid w:val="00C35D49"/>
    <w:rsid w:val="00C35F2F"/>
    <w:rsid w:val="00C35F34"/>
    <w:rsid w:val="00C36080"/>
    <w:rsid w:val="00C37548"/>
    <w:rsid w:val="00C37559"/>
    <w:rsid w:val="00C3756A"/>
    <w:rsid w:val="00C4086F"/>
    <w:rsid w:val="00C40B1F"/>
    <w:rsid w:val="00C41F49"/>
    <w:rsid w:val="00C4244E"/>
    <w:rsid w:val="00C424CD"/>
    <w:rsid w:val="00C42532"/>
    <w:rsid w:val="00C42696"/>
    <w:rsid w:val="00C42B74"/>
    <w:rsid w:val="00C42D46"/>
    <w:rsid w:val="00C42EE9"/>
    <w:rsid w:val="00C438F2"/>
    <w:rsid w:val="00C43B4D"/>
    <w:rsid w:val="00C43B8F"/>
    <w:rsid w:val="00C43E45"/>
    <w:rsid w:val="00C441F9"/>
    <w:rsid w:val="00C4438D"/>
    <w:rsid w:val="00C44525"/>
    <w:rsid w:val="00C447D6"/>
    <w:rsid w:val="00C449A9"/>
    <w:rsid w:val="00C449D3"/>
    <w:rsid w:val="00C449FE"/>
    <w:rsid w:val="00C44A7D"/>
    <w:rsid w:val="00C44CF3"/>
    <w:rsid w:val="00C44EA6"/>
    <w:rsid w:val="00C452A8"/>
    <w:rsid w:val="00C45620"/>
    <w:rsid w:val="00C4577E"/>
    <w:rsid w:val="00C45A2B"/>
    <w:rsid w:val="00C45EDB"/>
    <w:rsid w:val="00C46458"/>
    <w:rsid w:val="00C4681D"/>
    <w:rsid w:val="00C46C6B"/>
    <w:rsid w:val="00C46D5F"/>
    <w:rsid w:val="00C474D0"/>
    <w:rsid w:val="00C50046"/>
    <w:rsid w:val="00C5009B"/>
    <w:rsid w:val="00C500C7"/>
    <w:rsid w:val="00C50AAB"/>
    <w:rsid w:val="00C5108A"/>
    <w:rsid w:val="00C51569"/>
    <w:rsid w:val="00C518B7"/>
    <w:rsid w:val="00C51AE6"/>
    <w:rsid w:val="00C51E04"/>
    <w:rsid w:val="00C51E99"/>
    <w:rsid w:val="00C521C6"/>
    <w:rsid w:val="00C52600"/>
    <w:rsid w:val="00C5268A"/>
    <w:rsid w:val="00C52E2D"/>
    <w:rsid w:val="00C52EFA"/>
    <w:rsid w:val="00C52F92"/>
    <w:rsid w:val="00C53F68"/>
    <w:rsid w:val="00C545D5"/>
    <w:rsid w:val="00C547E2"/>
    <w:rsid w:val="00C54951"/>
    <w:rsid w:val="00C54F9E"/>
    <w:rsid w:val="00C55B93"/>
    <w:rsid w:val="00C55E6D"/>
    <w:rsid w:val="00C56A39"/>
    <w:rsid w:val="00C57041"/>
    <w:rsid w:val="00C57549"/>
    <w:rsid w:val="00C57EC6"/>
    <w:rsid w:val="00C60853"/>
    <w:rsid w:val="00C60E39"/>
    <w:rsid w:val="00C60F1F"/>
    <w:rsid w:val="00C613B9"/>
    <w:rsid w:val="00C6142C"/>
    <w:rsid w:val="00C61BE2"/>
    <w:rsid w:val="00C61ED9"/>
    <w:rsid w:val="00C6240F"/>
    <w:rsid w:val="00C632BC"/>
    <w:rsid w:val="00C63625"/>
    <w:rsid w:val="00C63DD2"/>
    <w:rsid w:val="00C64940"/>
    <w:rsid w:val="00C64B98"/>
    <w:rsid w:val="00C64BFF"/>
    <w:rsid w:val="00C64EC3"/>
    <w:rsid w:val="00C65C9C"/>
    <w:rsid w:val="00C66274"/>
    <w:rsid w:val="00C66672"/>
    <w:rsid w:val="00C66851"/>
    <w:rsid w:val="00C669A9"/>
    <w:rsid w:val="00C66ED6"/>
    <w:rsid w:val="00C67378"/>
    <w:rsid w:val="00C67479"/>
    <w:rsid w:val="00C6780A"/>
    <w:rsid w:val="00C67928"/>
    <w:rsid w:val="00C702E1"/>
    <w:rsid w:val="00C703FF"/>
    <w:rsid w:val="00C70406"/>
    <w:rsid w:val="00C7068B"/>
    <w:rsid w:val="00C707C8"/>
    <w:rsid w:val="00C70EE4"/>
    <w:rsid w:val="00C70F59"/>
    <w:rsid w:val="00C71316"/>
    <w:rsid w:val="00C7145D"/>
    <w:rsid w:val="00C7158B"/>
    <w:rsid w:val="00C71A12"/>
    <w:rsid w:val="00C71B84"/>
    <w:rsid w:val="00C71EE9"/>
    <w:rsid w:val="00C72C83"/>
    <w:rsid w:val="00C72DD8"/>
    <w:rsid w:val="00C736F3"/>
    <w:rsid w:val="00C73D7A"/>
    <w:rsid w:val="00C742AC"/>
    <w:rsid w:val="00C74314"/>
    <w:rsid w:val="00C74B89"/>
    <w:rsid w:val="00C74C47"/>
    <w:rsid w:val="00C74E74"/>
    <w:rsid w:val="00C74EDF"/>
    <w:rsid w:val="00C75926"/>
    <w:rsid w:val="00C759B4"/>
    <w:rsid w:val="00C75D56"/>
    <w:rsid w:val="00C760FF"/>
    <w:rsid w:val="00C76BC2"/>
    <w:rsid w:val="00C76C3C"/>
    <w:rsid w:val="00C778C1"/>
    <w:rsid w:val="00C77D89"/>
    <w:rsid w:val="00C77DE1"/>
    <w:rsid w:val="00C77EED"/>
    <w:rsid w:val="00C80441"/>
    <w:rsid w:val="00C804A9"/>
    <w:rsid w:val="00C809CB"/>
    <w:rsid w:val="00C80CC1"/>
    <w:rsid w:val="00C81646"/>
    <w:rsid w:val="00C81A7C"/>
    <w:rsid w:val="00C81B14"/>
    <w:rsid w:val="00C81BFE"/>
    <w:rsid w:val="00C81FD5"/>
    <w:rsid w:val="00C8211F"/>
    <w:rsid w:val="00C821B8"/>
    <w:rsid w:val="00C82486"/>
    <w:rsid w:val="00C8283A"/>
    <w:rsid w:val="00C82929"/>
    <w:rsid w:val="00C82A01"/>
    <w:rsid w:val="00C82C78"/>
    <w:rsid w:val="00C82CD8"/>
    <w:rsid w:val="00C83055"/>
    <w:rsid w:val="00C835BC"/>
    <w:rsid w:val="00C83B33"/>
    <w:rsid w:val="00C8424B"/>
    <w:rsid w:val="00C84437"/>
    <w:rsid w:val="00C84447"/>
    <w:rsid w:val="00C84C95"/>
    <w:rsid w:val="00C84DB2"/>
    <w:rsid w:val="00C850C1"/>
    <w:rsid w:val="00C856A7"/>
    <w:rsid w:val="00C85739"/>
    <w:rsid w:val="00C859DE"/>
    <w:rsid w:val="00C85D19"/>
    <w:rsid w:val="00C86A75"/>
    <w:rsid w:val="00C86BA4"/>
    <w:rsid w:val="00C86BBC"/>
    <w:rsid w:val="00C870EB"/>
    <w:rsid w:val="00C8711E"/>
    <w:rsid w:val="00C874CD"/>
    <w:rsid w:val="00C87B0B"/>
    <w:rsid w:val="00C87CD4"/>
    <w:rsid w:val="00C87F15"/>
    <w:rsid w:val="00C90102"/>
    <w:rsid w:val="00C90547"/>
    <w:rsid w:val="00C907E5"/>
    <w:rsid w:val="00C9085E"/>
    <w:rsid w:val="00C90C69"/>
    <w:rsid w:val="00C9129D"/>
    <w:rsid w:val="00C912E9"/>
    <w:rsid w:val="00C91CCF"/>
    <w:rsid w:val="00C921A0"/>
    <w:rsid w:val="00C924EB"/>
    <w:rsid w:val="00C931E0"/>
    <w:rsid w:val="00C938C3"/>
    <w:rsid w:val="00C93B4B"/>
    <w:rsid w:val="00C949C1"/>
    <w:rsid w:val="00C95372"/>
    <w:rsid w:val="00C953D2"/>
    <w:rsid w:val="00C95A5D"/>
    <w:rsid w:val="00C95E4F"/>
    <w:rsid w:val="00C96711"/>
    <w:rsid w:val="00C96BE3"/>
    <w:rsid w:val="00C97193"/>
    <w:rsid w:val="00C972EF"/>
    <w:rsid w:val="00CA026C"/>
    <w:rsid w:val="00CA03FF"/>
    <w:rsid w:val="00CA04F7"/>
    <w:rsid w:val="00CA060E"/>
    <w:rsid w:val="00CA078A"/>
    <w:rsid w:val="00CA08D5"/>
    <w:rsid w:val="00CA0E52"/>
    <w:rsid w:val="00CA103A"/>
    <w:rsid w:val="00CA15C5"/>
    <w:rsid w:val="00CA21F8"/>
    <w:rsid w:val="00CA2307"/>
    <w:rsid w:val="00CA237F"/>
    <w:rsid w:val="00CA270C"/>
    <w:rsid w:val="00CA367A"/>
    <w:rsid w:val="00CA3CE8"/>
    <w:rsid w:val="00CA3D09"/>
    <w:rsid w:val="00CA434D"/>
    <w:rsid w:val="00CA457F"/>
    <w:rsid w:val="00CA4A00"/>
    <w:rsid w:val="00CA55B5"/>
    <w:rsid w:val="00CA5847"/>
    <w:rsid w:val="00CA5DC4"/>
    <w:rsid w:val="00CA5EC8"/>
    <w:rsid w:val="00CA652E"/>
    <w:rsid w:val="00CA69B1"/>
    <w:rsid w:val="00CA7D30"/>
    <w:rsid w:val="00CA7D37"/>
    <w:rsid w:val="00CB0B15"/>
    <w:rsid w:val="00CB0EB3"/>
    <w:rsid w:val="00CB1405"/>
    <w:rsid w:val="00CB16CE"/>
    <w:rsid w:val="00CB17BC"/>
    <w:rsid w:val="00CB197B"/>
    <w:rsid w:val="00CB1BE9"/>
    <w:rsid w:val="00CB1EC2"/>
    <w:rsid w:val="00CB1F35"/>
    <w:rsid w:val="00CB2556"/>
    <w:rsid w:val="00CB2AE9"/>
    <w:rsid w:val="00CB2E9D"/>
    <w:rsid w:val="00CB3342"/>
    <w:rsid w:val="00CB3739"/>
    <w:rsid w:val="00CB37CD"/>
    <w:rsid w:val="00CB4051"/>
    <w:rsid w:val="00CB40C1"/>
    <w:rsid w:val="00CB43AF"/>
    <w:rsid w:val="00CB4845"/>
    <w:rsid w:val="00CB4891"/>
    <w:rsid w:val="00CB4A8D"/>
    <w:rsid w:val="00CB4DB3"/>
    <w:rsid w:val="00CB54A1"/>
    <w:rsid w:val="00CB5511"/>
    <w:rsid w:val="00CB55BA"/>
    <w:rsid w:val="00CB56E4"/>
    <w:rsid w:val="00CB573F"/>
    <w:rsid w:val="00CB591B"/>
    <w:rsid w:val="00CB5940"/>
    <w:rsid w:val="00CB5D0C"/>
    <w:rsid w:val="00CB6A1D"/>
    <w:rsid w:val="00CB6A68"/>
    <w:rsid w:val="00CB6AE7"/>
    <w:rsid w:val="00CB75EF"/>
    <w:rsid w:val="00CB7B5E"/>
    <w:rsid w:val="00CB7CF2"/>
    <w:rsid w:val="00CC00D8"/>
    <w:rsid w:val="00CC0DBB"/>
    <w:rsid w:val="00CC0EA1"/>
    <w:rsid w:val="00CC1298"/>
    <w:rsid w:val="00CC2463"/>
    <w:rsid w:val="00CC26CC"/>
    <w:rsid w:val="00CC2B89"/>
    <w:rsid w:val="00CC2DE7"/>
    <w:rsid w:val="00CC364D"/>
    <w:rsid w:val="00CC3BC3"/>
    <w:rsid w:val="00CC5758"/>
    <w:rsid w:val="00CC5A82"/>
    <w:rsid w:val="00CC5CC0"/>
    <w:rsid w:val="00CC5D8D"/>
    <w:rsid w:val="00CC6F9F"/>
    <w:rsid w:val="00CC7439"/>
    <w:rsid w:val="00CC748F"/>
    <w:rsid w:val="00CC76DD"/>
    <w:rsid w:val="00CC7F25"/>
    <w:rsid w:val="00CD00DF"/>
    <w:rsid w:val="00CD05C1"/>
    <w:rsid w:val="00CD0906"/>
    <w:rsid w:val="00CD1A80"/>
    <w:rsid w:val="00CD1BB2"/>
    <w:rsid w:val="00CD20AD"/>
    <w:rsid w:val="00CD2228"/>
    <w:rsid w:val="00CD27AE"/>
    <w:rsid w:val="00CD2928"/>
    <w:rsid w:val="00CD35B3"/>
    <w:rsid w:val="00CD3619"/>
    <w:rsid w:val="00CD42B9"/>
    <w:rsid w:val="00CD4FC4"/>
    <w:rsid w:val="00CD5200"/>
    <w:rsid w:val="00CD5615"/>
    <w:rsid w:val="00CD5F7A"/>
    <w:rsid w:val="00CD5FFA"/>
    <w:rsid w:val="00CD636B"/>
    <w:rsid w:val="00CD6C6B"/>
    <w:rsid w:val="00CD73D8"/>
    <w:rsid w:val="00CD7C8F"/>
    <w:rsid w:val="00CD7CB5"/>
    <w:rsid w:val="00CD7E58"/>
    <w:rsid w:val="00CE03F2"/>
    <w:rsid w:val="00CE051B"/>
    <w:rsid w:val="00CE0B6D"/>
    <w:rsid w:val="00CE0D30"/>
    <w:rsid w:val="00CE1306"/>
    <w:rsid w:val="00CE1410"/>
    <w:rsid w:val="00CE178F"/>
    <w:rsid w:val="00CE1CBD"/>
    <w:rsid w:val="00CE1CD7"/>
    <w:rsid w:val="00CE1D76"/>
    <w:rsid w:val="00CE1E94"/>
    <w:rsid w:val="00CE272C"/>
    <w:rsid w:val="00CE2B62"/>
    <w:rsid w:val="00CE37FB"/>
    <w:rsid w:val="00CE42B1"/>
    <w:rsid w:val="00CE434F"/>
    <w:rsid w:val="00CE43DF"/>
    <w:rsid w:val="00CE4562"/>
    <w:rsid w:val="00CE49B4"/>
    <w:rsid w:val="00CE4FD9"/>
    <w:rsid w:val="00CE5092"/>
    <w:rsid w:val="00CE5B3B"/>
    <w:rsid w:val="00CE63E4"/>
    <w:rsid w:val="00CE7B4E"/>
    <w:rsid w:val="00CE7D24"/>
    <w:rsid w:val="00CF0029"/>
    <w:rsid w:val="00CF03E5"/>
    <w:rsid w:val="00CF03F3"/>
    <w:rsid w:val="00CF0B95"/>
    <w:rsid w:val="00CF1121"/>
    <w:rsid w:val="00CF265A"/>
    <w:rsid w:val="00CF2845"/>
    <w:rsid w:val="00CF2B1D"/>
    <w:rsid w:val="00CF2F0B"/>
    <w:rsid w:val="00CF2FDC"/>
    <w:rsid w:val="00CF3279"/>
    <w:rsid w:val="00CF3F8B"/>
    <w:rsid w:val="00CF40CB"/>
    <w:rsid w:val="00CF417A"/>
    <w:rsid w:val="00CF426A"/>
    <w:rsid w:val="00CF4479"/>
    <w:rsid w:val="00CF4872"/>
    <w:rsid w:val="00CF4D86"/>
    <w:rsid w:val="00CF4ED5"/>
    <w:rsid w:val="00CF4FD2"/>
    <w:rsid w:val="00CF5ADF"/>
    <w:rsid w:val="00CF5B52"/>
    <w:rsid w:val="00CF60C6"/>
    <w:rsid w:val="00CF6523"/>
    <w:rsid w:val="00CF688C"/>
    <w:rsid w:val="00CF6CD5"/>
    <w:rsid w:val="00CF6EF7"/>
    <w:rsid w:val="00CF7122"/>
    <w:rsid w:val="00CF71DF"/>
    <w:rsid w:val="00CF744A"/>
    <w:rsid w:val="00CF75C2"/>
    <w:rsid w:val="00CF76A8"/>
    <w:rsid w:val="00CF7E77"/>
    <w:rsid w:val="00CF7F83"/>
    <w:rsid w:val="00D0044A"/>
    <w:rsid w:val="00D00CCF"/>
    <w:rsid w:val="00D00CF6"/>
    <w:rsid w:val="00D00FDC"/>
    <w:rsid w:val="00D010DB"/>
    <w:rsid w:val="00D01208"/>
    <w:rsid w:val="00D0167F"/>
    <w:rsid w:val="00D01B00"/>
    <w:rsid w:val="00D01E83"/>
    <w:rsid w:val="00D02B40"/>
    <w:rsid w:val="00D0331A"/>
    <w:rsid w:val="00D03580"/>
    <w:rsid w:val="00D03787"/>
    <w:rsid w:val="00D03AF3"/>
    <w:rsid w:val="00D0491F"/>
    <w:rsid w:val="00D05022"/>
    <w:rsid w:val="00D05697"/>
    <w:rsid w:val="00D056E0"/>
    <w:rsid w:val="00D059C3"/>
    <w:rsid w:val="00D06CE6"/>
    <w:rsid w:val="00D07DA6"/>
    <w:rsid w:val="00D10602"/>
    <w:rsid w:val="00D1085F"/>
    <w:rsid w:val="00D10A7E"/>
    <w:rsid w:val="00D10B22"/>
    <w:rsid w:val="00D111C6"/>
    <w:rsid w:val="00D11488"/>
    <w:rsid w:val="00D118CA"/>
    <w:rsid w:val="00D12CBF"/>
    <w:rsid w:val="00D1435F"/>
    <w:rsid w:val="00D15018"/>
    <w:rsid w:val="00D15D84"/>
    <w:rsid w:val="00D15ECA"/>
    <w:rsid w:val="00D16044"/>
    <w:rsid w:val="00D16762"/>
    <w:rsid w:val="00D167F1"/>
    <w:rsid w:val="00D168A1"/>
    <w:rsid w:val="00D16BE9"/>
    <w:rsid w:val="00D16C4E"/>
    <w:rsid w:val="00D16E60"/>
    <w:rsid w:val="00D17038"/>
    <w:rsid w:val="00D20060"/>
    <w:rsid w:val="00D2074D"/>
    <w:rsid w:val="00D20BDE"/>
    <w:rsid w:val="00D20BE5"/>
    <w:rsid w:val="00D20EA0"/>
    <w:rsid w:val="00D20F61"/>
    <w:rsid w:val="00D211E0"/>
    <w:rsid w:val="00D21266"/>
    <w:rsid w:val="00D2132E"/>
    <w:rsid w:val="00D2151E"/>
    <w:rsid w:val="00D21698"/>
    <w:rsid w:val="00D21C12"/>
    <w:rsid w:val="00D21CFA"/>
    <w:rsid w:val="00D21DD5"/>
    <w:rsid w:val="00D21F53"/>
    <w:rsid w:val="00D2214B"/>
    <w:rsid w:val="00D22195"/>
    <w:rsid w:val="00D22B44"/>
    <w:rsid w:val="00D22E62"/>
    <w:rsid w:val="00D22F0E"/>
    <w:rsid w:val="00D23A03"/>
    <w:rsid w:val="00D23B37"/>
    <w:rsid w:val="00D23DD0"/>
    <w:rsid w:val="00D2400F"/>
    <w:rsid w:val="00D24F9F"/>
    <w:rsid w:val="00D25189"/>
    <w:rsid w:val="00D2550E"/>
    <w:rsid w:val="00D25B20"/>
    <w:rsid w:val="00D260BC"/>
    <w:rsid w:val="00D2625A"/>
    <w:rsid w:val="00D26271"/>
    <w:rsid w:val="00D2635F"/>
    <w:rsid w:val="00D267B0"/>
    <w:rsid w:val="00D27223"/>
    <w:rsid w:val="00D27720"/>
    <w:rsid w:val="00D30531"/>
    <w:rsid w:val="00D30B11"/>
    <w:rsid w:val="00D30E34"/>
    <w:rsid w:val="00D311E9"/>
    <w:rsid w:val="00D31A9C"/>
    <w:rsid w:val="00D326BB"/>
    <w:rsid w:val="00D327CD"/>
    <w:rsid w:val="00D3351E"/>
    <w:rsid w:val="00D33C23"/>
    <w:rsid w:val="00D34090"/>
    <w:rsid w:val="00D341EA"/>
    <w:rsid w:val="00D34769"/>
    <w:rsid w:val="00D34BF5"/>
    <w:rsid w:val="00D35E94"/>
    <w:rsid w:val="00D35EC3"/>
    <w:rsid w:val="00D36730"/>
    <w:rsid w:val="00D370C7"/>
    <w:rsid w:val="00D37536"/>
    <w:rsid w:val="00D37549"/>
    <w:rsid w:val="00D37780"/>
    <w:rsid w:val="00D37AE1"/>
    <w:rsid w:val="00D37F96"/>
    <w:rsid w:val="00D40857"/>
    <w:rsid w:val="00D4093C"/>
    <w:rsid w:val="00D40E4F"/>
    <w:rsid w:val="00D4109D"/>
    <w:rsid w:val="00D41193"/>
    <w:rsid w:val="00D411CE"/>
    <w:rsid w:val="00D4147F"/>
    <w:rsid w:val="00D41633"/>
    <w:rsid w:val="00D41FCA"/>
    <w:rsid w:val="00D423F3"/>
    <w:rsid w:val="00D427B2"/>
    <w:rsid w:val="00D42B78"/>
    <w:rsid w:val="00D42C05"/>
    <w:rsid w:val="00D42C33"/>
    <w:rsid w:val="00D430AD"/>
    <w:rsid w:val="00D4336B"/>
    <w:rsid w:val="00D43AB5"/>
    <w:rsid w:val="00D43B4A"/>
    <w:rsid w:val="00D43DDC"/>
    <w:rsid w:val="00D44002"/>
    <w:rsid w:val="00D440DD"/>
    <w:rsid w:val="00D444F5"/>
    <w:rsid w:val="00D445D8"/>
    <w:rsid w:val="00D44D5F"/>
    <w:rsid w:val="00D45BA2"/>
    <w:rsid w:val="00D46434"/>
    <w:rsid w:val="00D46472"/>
    <w:rsid w:val="00D46708"/>
    <w:rsid w:val="00D467BB"/>
    <w:rsid w:val="00D47184"/>
    <w:rsid w:val="00D47CB1"/>
    <w:rsid w:val="00D47D97"/>
    <w:rsid w:val="00D5079C"/>
    <w:rsid w:val="00D514E2"/>
    <w:rsid w:val="00D51712"/>
    <w:rsid w:val="00D51B56"/>
    <w:rsid w:val="00D51D7A"/>
    <w:rsid w:val="00D5260D"/>
    <w:rsid w:val="00D52ACA"/>
    <w:rsid w:val="00D534CF"/>
    <w:rsid w:val="00D53584"/>
    <w:rsid w:val="00D53710"/>
    <w:rsid w:val="00D54143"/>
    <w:rsid w:val="00D5414B"/>
    <w:rsid w:val="00D54326"/>
    <w:rsid w:val="00D544C0"/>
    <w:rsid w:val="00D544D4"/>
    <w:rsid w:val="00D54A22"/>
    <w:rsid w:val="00D54F7B"/>
    <w:rsid w:val="00D55050"/>
    <w:rsid w:val="00D55256"/>
    <w:rsid w:val="00D555B1"/>
    <w:rsid w:val="00D559FE"/>
    <w:rsid w:val="00D560A0"/>
    <w:rsid w:val="00D5792B"/>
    <w:rsid w:val="00D57B85"/>
    <w:rsid w:val="00D60086"/>
    <w:rsid w:val="00D60475"/>
    <w:rsid w:val="00D6047B"/>
    <w:rsid w:val="00D60911"/>
    <w:rsid w:val="00D60A24"/>
    <w:rsid w:val="00D60B95"/>
    <w:rsid w:val="00D60CD4"/>
    <w:rsid w:val="00D61377"/>
    <w:rsid w:val="00D61392"/>
    <w:rsid w:val="00D6142A"/>
    <w:rsid w:val="00D61444"/>
    <w:rsid w:val="00D614AC"/>
    <w:rsid w:val="00D619B6"/>
    <w:rsid w:val="00D6227D"/>
    <w:rsid w:val="00D62284"/>
    <w:rsid w:val="00D62412"/>
    <w:rsid w:val="00D629E2"/>
    <w:rsid w:val="00D62A97"/>
    <w:rsid w:val="00D62F3E"/>
    <w:rsid w:val="00D63065"/>
    <w:rsid w:val="00D631FC"/>
    <w:rsid w:val="00D6355F"/>
    <w:rsid w:val="00D6397A"/>
    <w:rsid w:val="00D6422F"/>
    <w:rsid w:val="00D64507"/>
    <w:rsid w:val="00D64A71"/>
    <w:rsid w:val="00D64B0E"/>
    <w:rsid w:val="00D651BA"/>
    <w:rsid w:val="00D653AB"/>
    <w:rsid w:val="00D653BA"/>
    <w:rsid w:val="00D655EA"/>
    <w:rsid w:val="00D65664"/>
    <w:rsid w:val="00D65907"/>
    <w:rsid w:val="00D65ADF"/>
    <w:rsid w:val="00D65D9C"/>
    <w:rsid w:val="00D67B50"/>
    <w:rsid w:val="00D67EA0"/>
    <w:rsid w:val="00D7057F"/>
    <w:rsid w:val="00D70AD7"/>
    <w:rsid w:val="00D712F9"/>
    <w:rsid w:val="00D71606"/>
    <w:rsid w:val="00D71741"/>
    <w:rsid w:val="00D71D85"/>
    <w:rsid w:val="00D71FB9"/>
    <w:rsid w:val="00D72475"/>
    <w:rsid w:val="00D726CA"/>
    <w:rsid w:val="00D72790"/>
    <w:rsid w:val="00D72978"/>
    <w:rsid w:val="00D72C4D"/>
    <w:rsid w:val="00D72F28"/>
    <w:rsid w:val="00D73743"/>
    <w:rsid w:val="00D739E2"/>
    <w:rsid w:val="00D73B4B"/>
    <w:rsid w:val="00D73F38"/>
    <w:rsid w:val="00D7411C"/>
    <w:rsid w:val="00D741D5"/>
    <w:rsid w:val="00D74245"/>
    <w:rsid w:val="00D74250"/>
    <w:rsid w:val="00D75019"/>
    <w:rsid w:val="00D752BA"/>
    <w:rsid w:val="00D76135"/>
    <w:rsid w:val="00D770F5"/>
    <w:rsid w:val="00D77674"/>
    <w:rsid w:val="00D7768A"/>
    <w:rsid w:val="00D77AB7"/>
    <w:rsid w:val="00D77B63"/>
    <w:rsid w:val="00D802DB"/>
    <w:rsid w:val="00D80AF1"/>
    <w:rsid w:val="00D80BA8"/>
    <w:rsid w:val="00D81BC3"/>
    <w:rsid w:val="00D81D44"/>
    <w:rsid w:val="00D82014"/>
    <w:rsid w:val="00D826C5"/>
    <w:rsid w:val="00D82E0C"/>
    <w:rsid w:val="00D83BD6"/>
    <w:rsid w:val="00D83C2C"/>
    <w:rsid w:val="00D83E60"/>
    <w:rsid w:val="00D841C3"/>
    <w:rsid w:val="00D848DB"/>
    <w:rsid w:val="00D84DD5"/>
    <w:rsid w:val="00D84FAE"/>
    <w:rsid w:val="00D850F1"/>
    <w:rsid w:val="00D8549C"/>
    <w:rsid w:val="00D85714"/>
    <w:rsid w:val="00D8578D"/>
    <w:rsid w:val="00D85F93"/>
    <w:rsid w:val="00D85FB0"/>
    <w:rsid w:val="00D868AF"/>
    <w:rsid w:val="00D868F4"/>
    <w:rsid w:val="00D86911"/>
    <w:rsid w:val="00D86AFD"/>
    <w:rsid w:val="00D871B5"/>
    <w:rsid w:val="00D871EE"/>
    <w:rsid w:val="00D877AF"/>
    <w:rsid w:val="00D87C70"/>
    <w:rsid w:val="00D87FDE"/>
    <w:rsid w:val="00D90138"/>
    <w:rsid w:val="00D9031E"/>
    <w:rsid w:val="00D90699"/>
    <w:rsid w:val="00D90A94"/>
    <w:rsid w:val="00D90B53"/>
    <w:rsid w:val="00D90D1F"/>
    <w:rsid w:val="00D90D8B"/>
    <w:rsid w:val="00D9165E"/>
    <w:rsid w:val="00D918BF"/>
    <w:rsid w:val="00D9271A"/>
    <w:rsid w:val="00D92B94"/>
    <w:rsid w:val="00D930A5"/>
    <w:rsid w:val="00D931B3"/>
    <w:rsid w:val="00D934DE"/>
    <w:rsid w:val="00D9357E"/>
    <w:rsid w:val="00D93641"/>
    <w:rsid w:val="00D936C4"/>
    <w:rsid w:val="00D9391F"/>
    <w:rsid w:val="00D93974"/>
    <w:rsid w:val="00D93DE1"/>
    <w:rsid w:val="00D93DFA"/>
    <w:rsid w:val="00D94EE3"/>
    <w:rsid w:val="00D95970"/>
    <w:rsid w:val="00D962ED"/>
    <w:rsid w:val="00D976C2"/>
    <w:rsid w:val="00D97F7E"/>
    <w:rsid w:val="00DA04D2"/>
    <w:rsid w:val="00DA057D"/>
    <w:rsid w:val="00DA0BFB"/>
    <w:rsid w:val="00DA0E9B"/>
    <w:rsid w:val="00DA1A08"/>
    <w:rsid w:val="00DA1C89"/>
    <w:rsid w:val="00DA24B4"/>
    <w:rsid w:val="00DA24C5"/>
    <w:rsid w:val="00DA25DE"/>
    <w:rsid w:val="00DA2841"/>
    <w:rsid w:val="00DA285D"/>
    <w:rsid w:val="00DA2874"/>
    <w:rsid w:val="00DA2A5F"/>
    <w:rsid w:val="00DA3DE0"/>
    <w:rsid w:val="00DA3FDB"/>
    <w:rsid w:val="00DA4CA1"/>
    <w:rsid w:val="00DA4CE5"/>
    <w:rsid w:val="00DA4D52"/>
    <w:rsid w:val="00DA53B9"/>
    <w:rsid w:val="00DA5536"/>
    <w:rsid w:val="00DA591B"/>
    <w:rsid w:val="00DA663D"/>
    <w:rsid w:val="00DA6876"/>
    <w:rsid w:val="00DA703C"/>
    <w:rsid w:val="00DA7539"/>
    <w:rsid w:val="00DA77D1"/>
    <w:rsid w:val="00DB035E"/>
    <w:rsid w:val="00DB09BE"/>
    <w:rsid w:val="00DB0DFC"/>
    <w:rsid w:val="00DB12F8"/>
    <w:rsid w:val="00DB19FA"/>
    <w:rsid w:val="00DB2722"/>
    <w:rsid w:val="00DB2CB4"/>
    <w:rsid w:val="00DB3075"/>
    <w:rsid w:val="00DB3DD3"/>
    <w:rsid w:val="00DB3E7F"/>
    <w:rsid w:val="00DB4068"/>
    <w:rsid w:val="00DB43C1"/>
    <w:rsid w:val="00DB4430"/>
    <w:rsid w:val="00DB4624"/>
    <w:rsid w:val="00DB51A6"/>
    <w:rsid w:val="00DB52E8"/>
    <w:rsid w:val="00DB54B8"/>
    <w:rsid w:val="00DB5C8A"/>
    <w:rsid w:val="00DB61FF"/>
    <w:rsid w:val="00DB739F"/>
    <w:rsid w:val="00DB7AE4"/>
    <w:rsid w:val="00DB7B13"/>
    <w:rsid w:val="00DB7F06"/>
    <w:rsid w:val="00DC0047"/>
    <w:rsid w:val="00DC00AA"/>
    <w:rsid w:val="00DC0CEF"/>
    <w:rsid w:val="00DC0FF2"/>
    <w:rsid w:val="00DC108A"/>
    <w:rsid w:val="00DC11BA"/>
    <w:rsid w:val="00DC1747"/>
    <w:rsid w:val="00DC1B13"/>
    <w:rsid w:val="00DC1D8C"/>
    <w:rsid w:val="00DC228E"/>
    <w:rsid w:val="00DC2376"/>
    <w:rsid w:val="00DC29AA"/>
    <w:rsid w:val="00DC3682"/>
    <w:rsid w:val="00DC3B32"/>
    <w:rsid w:val="00DC3F18"/>
    <w:rsid w:val="00DC4A2C"/>
    <w:rsid w:val="00DC4B4D"/>
    <w:rsid w:val="00DC5173"/>
    <w:rsid w:val="00DC53DD"/>
    <w:rsid w:val="00DC5867"/>
    <w:rsid w:val="00DC5CE0"/>
    <w:rsid w:val="00DC5D3B"/>
    <w:rsid w:val="00DC6090"/>
    <w:rsid w:val="00DC64D3"/>
    <w:rsid w:val="00DC68D4"/>
    <w:rsid w:val="00DC6934"/>
    <w:rsid w:val="00DC6CA1"/>
    <w:rsid w:val="00DC7130"/>
    <w:rsid w:val="00DC7CAB"/>
    <w:rsid w:val="00DC7EE3"/>
    <w:rsid w:val="00DC7FCF"/>
    <w:rsid w:val="00DD024B"/>
    <w:rsid w:val="00DD03C6"/>
    <w:rsid w:val="00DD05BC"/>
    <w:rsid w:val="00DD06D6"/>
    <w:rsid w:val="00DD082E"/>
    <w:rsid w:val="00DD0C13"/>
    <w:rsid w:val="00DD0FC6"/>
    <w:rsid w:val="00DD129B"/>
    <w:rsid w:val="00DD2738"/>
    <w:rsid w:val="00DD299E"/>
    <w:rsid w:val="00DD2F8B"/>
    <w:rsid w:val="00DD311F"/>
    <w:rsid w:val="00DD3229"/>
    <w:rsid w:val="00DD335B"/>
    <w:rsid w:val="00DD34A2"/>
    <w:rsid w:val="00DD3918"/>
    <w:rsid w:val="00DD39E7"/>
    <w:rsid w:val="00DD3D1A"/>
    <w:rsid w:val="00DD3EE5"/>
    <w:rsid w:val="00DD3F7D"/>
    <w:rsid w:val="00DD4670"/>
    <w:rsid w:val="00DD46D3"/>
    <w:rsid w:val="00DD4746"/>
    <w:rsid w:val="00DD4911"/>
    <w:rsid w:val="00DD4AD3"/>
    <w:rsid w:val="00DD4BCE"/>
    <w:rsid w:val="00DD519B"/>
    <w:rsid w:val="00DD60E9"/>
    <w:rsid w:val="00DD67BE"/>
    <w:rsid w:val="00DD6847"/>
    <w:rsid w:val="00DD6C6C"/>
    <w:rsid w:val="00DD6D27"/>
    <w:rsid w:val="00DD7013"/>
    <w:rsid w:val="00DD7040"/>
    <w:rsid w:val="00DD7103"/>
    <w:rsid w:val="00DD7509"/>
    <w:rsid w:val="00DD764B"/>
    <w:rsid w:val="00DD7DA9"/>
    <w:rsid w:val="00DE0161"/>
    <w:rsid w:val="00DE026B"/>
    <w:rsid w:val="00DE0811"/>
    <w:rsid w:val="00DE0FD2"/>
    <w:rsid w:val="00DE179A"/>
    <w:rsid w:val="00DE17F9"/>
    <w:rsid w:val="00DE1977"/>
    <w:rsid w:val="00DE1B44"/>
    <w:rsid w:val="00DE2021"/>
    <w:rsid w:val="00DE26A8"/>
    <w:rsid w:val="00DE2ACC"/>
    <w:rsid w:val="00DE3860"/>
    <w:rsid w:val="00DE4031"/>
    <w:rsid w:val="00DE48C9"/>
    <w:rsid w:val="00DE4C3B"/>
    <w:rsid w:val="00DE5269"/>
    <w:rsid w:val="00DE55F1"/>
    <w:rsid w:val="00DE5E47"/>
    <w:rsid w:val="00DE5EEB"/>
    <w:rsid w:val="00DE6131"/>
    <w:rsid w:val="00DE616B"/>
    <w:rsid w:val="00DF0093"/>
    <w:rsid w:val="00DF02AF"/>
    <w:rsid w:val="00DF05ED"/>
    <w:rsid w:val="00DF0E50"/>
    <w:rsid w:val="00DF10EE"/>
    <w:rsid w:val="00DF1525"/>
    <w:rsid w:val="00DF1B0E"/>
    <w:rsid w:val="00DF1BC7"/>
    <w:rsid w:val="00DF258E"/>
    <w:rsid w:val="00DF29E7"/>
    <w:rsid w:val="00DF2B63"/>
    <w:rsid w:val="00DF2D77"/>
    <w:rsid w:val="00DF2E28"/>
    <w:rsid w:val="00DF2F86"/>
    <w:rsid w:val="00DF30CE"/>
    <w:rsid w:val="00DF32A7"/>
    <w:rsid w:val="00DF32E0"/>
    <w:rsid w:val="00DF32FD"/>
    <w:rsid w:val="00DF3752"/>
    <w:rsid w:val="00DF38B3"/>
    <w:rsid w:val="00DF38D5"/>
    <w:rsid w:val="00DF3A47"/>
    <w:rsid w:val="00DF3C79"/>
    <w:rsid w:val="00DF3D7C"/>
    <w:rsid w:val="00DF4521"/>
    <w:rsid w:val="00DF45E4"/>
    <w:rsid w:val="00DF48FC"/>
    <w:rsid w:val="00DF4932"/>
    <w:rsid w:val="00DF4A4E"/>
    <w:rsid w:val="00DF5077"/>
    <w:rsid w:val="00DF5270"/>
    <w:rsid w:val="00DF5321"/>
    <w:rsid w:val="00DF6072"/>
    <w:rsid w:val="00DF6530"/>
    <w:rsid w:val="00DF6B76"/>
    <w:rsid w:val="00DF6BFD"/>
    <w:rsid w:val="00DF6E54"/>
    <w:rsid w:val="00DF749B"/>
    <w:rsid w:val="00DF7E31"/>
    <w:rsid w:val="00E002F2"/>
    <w:rsid w:val="00E00795"/>
    <w:rsid w:val="00E01B37"/>
    <w:rsid w:val="00E01E90"/>
    <w:rsid w:val="00E022FA"/>
    <w:rsid w:val="00E02D19"/>
    <w:rsid w:val="00E03688"/>
    <w:rsid w:val="00E03A95"/>
    <w:rsid w:val="00E03E50"/>
    <w:rsid w:val="00E03EFA"/>
    <w:rsid w:val="00E046FF"/>
    <w:rsid w:val="00E048FC"/>
    <w:rsid w:val="00E04C53"/>
    <w:rsid w:val="00E05347"/>
    <w:rsid w:val="00E062C9"/>
    <w:rsid w:val="00E06313"/>
    <w:rsid w:val="00E06348"/>
    <w:rsid w:val="00E0648D"/>
    <w:rsid w:val="00E06521"/>
    <w:rsid w:val="00E06E72"/>
    <w:rsid w:val="00E0719B"/>
    <w:rsid w:val="00E07401"/>
    <w:rsid w:val="00E07AF6"/>
    <w:rsid w:val="00E07BB2"/>
    <w:rsid w:val="00E07D33"/>
    <w:rsid w:val="00E101DC"/>
    <w:rsid w:val="00E10359"/>
    <w:rsid w:val="00E10D0D"/>
    <w:rsid w:val="00E112FC"/>
    <w:rsid w:val="00E11549"/>
    <w:rsid w:val="00E118C6"/>
    <w:rsid w:val="00E12005"/>
    <w:rsid w:val="00E12099"/>
    <w:rsid w:val="00E122E4"/>
    <w:rsid w:val="00E12E34"/>
    <w:rsid w:val="00E12F1F"/>
    <w:rsid w:val="00E1353C"/>
    <w:rsid w:val="00E137F3"/>
    <w:rsid w:val="00E14964"/>
    <w:rsid w:val="00E14B95"/>
    <w:rsid w:val="00E14E52"/>
    <w:rsid w:val="00E1542E"/>
    <w:rsid w:val="00E159F5"/>
    <w:rsid w:val="00E15ABE"/>
    <w:rsid w:val="00E169F2"/>
    <w:rsid w:val="00E169FE"/>
    <w:rsid w:val="00E16EC8"/>
    <w:rsid w:val="00E17AE5"/>
    <w:rsid w:val="00E20FE2"/>
    <w:rsid w:val="00E210DF"/>
    <w:rsid w:val="00E21C53"/>
    <w:rsid w:val="00E21DEA"/>
    <w:rsid w:val="00E235C8"/>
    <w:rsid w:val="00E2394E"/>
    <w:rsid w:val="00E239E3"/>
    <w:rsid w:val="00E23CA7"/>
    <w:rsid w:val="00E23E99"/>
    <w:rsid w:val="00E243D3"/>
    <w:rsid w:val="00E245B2"/>
    <w:rsid w:val="00E24DCD"/>
    <w:rsid w:val="00E24FBB"/>
    <w:rsid w:val="00E25B9A"/>
    <w:rsid w:val="00E26330"/>
    <w:rsid w:val="00E2656D"/>
    <w:rsid w:val="00E26CF6"/>
    <w:rsid w:val="00E27073"/>
    <w:rsid w:val="00E2709E"/>
    <w:rsid w:val="00E27C33"/>
    <w:rsid w:val="00E30440"/>
    <w:rsid w:val="00E304BE"/>
    <w:rsid w:val="00E30FB7"/>
    <w:rsid w:val="00E31735"/>
    <w:rsid w:val="00E3281C"/>
    <w:rsid w:val="00E32D56"/>
    <w:rsid w:val="00E332A7"/>
    <w:rsid w:val="00E33637"/>
    <w:rsid w:val="00E337CA"/>
    <w:rsid w:val="00E346A6"/>
    <w:rsid w:val="00E34888"/>
    <w:rsid w:val="00E3528A"/>
    <w:rsid w:val="00E352B5"/>
    <w:rsid w:val="00E35AD7"/>
    <w:rsid w:val="00E3607F"/>
    <w:rsid w:val="00E362F2"/>
    <w:rsid w:val="00E3647F"/>
    <w:rsid w:val="00E36B00"/>
    <w:rsid w:val="00E37718"/>
    <w:rsid w:val="00E37ACB"/>
    <w:rsid w:val="00E40A45"/>
    <w:rsid w:val="00E40FB9"/>
    <w:rsid w:val="00E41C6C"/>
    <w:rsid w:val="00E42584"/>
    <w:rsid w:val="00E42C48"/>
    <w:rsid w:val="00E43480"/>
    <w:rsid w:val="00E438E1"/>
    <w:rsid w:val="00E43C43"/>
    <w:rsid w:val="00E43D21"/>
    <w:rsid w:val="00E43F16"/>
    <w:rsid w:val="00E43FC6"/>
    <w:rsid w:val="00E440E7"/>
    <w:rsid w:val="00E444C7"/>
    <w:rsid w:val="00E448CB"/>
    <w:rsid w:val="00E45211"/>
    <w:rsid w:val="00E45653"/>
    <w:rsid w:val="00E45811"/>
    <w:rsid w:val="00E45946"/>
    <w:rsid w:val="00E459E5"/>
    <w:rsid w:val="00E45C33"/>
    <w:rsid w:val="00E46173"/>
    <w:rsid w:val="00E462B4"/>
    <w:rsid w:val="00E46454"/>
    <w:rsid w:val="00E47E13"/>
    <w:rsid w:val="00E47E52"/>
    <w:rsid w:val="00E5022E"/>
    <w:rsid w:val="00E511E6"/>
    <w:rsid w:val="00E51236"/>
    <w:rsid w:val="00E5135C"/>
    <w:rsid w:val="00E514CE"/>
    <w:rsid w:val="00E5153C"/>
    <w:rsid w:val="00E54531"/>
    <w:rsid w:val="00E54798"/>
    <w:rsid w:val="00E548E4"/>
    <w:rsid w:val="00E55421"/>
    <w:rsid w:val="00E55977"/>
    <w:rsid w:val="00E5651E"/>
    <w:rsid w:val="00E569C9"/>
    <w:rsid w:val="00E57A23"/>
    <w:rsid w:val="00E60677"/>
    <w:rsid w:val="00E607BC"/>
    <w:rsid w:val="00E60EEB"/>
    <w:rsid w:val="00E61642"/>
    <w:rsid w:val="00E61645"/>
    <w:rsid w:val="00E61CDD"/>
    <w:rsid w:val="00E61D40"/>
    <w:rsid w:val="00E626A0"/>
    <w:rsid w:val="00E6274D"/>
    <w:rsid w:val="00E63033"/>
    <w:rsid w:val="00E6376F"/>
    <w:rsid w:val="00E637B9"/>
    <w:rsid w:val="00E638D5"/>
    <w:rsid w:val="00E639BA"/>
    <w:rsid w:val="00E63C5C"/>
    <w:rsid w:val="00E63C76"/>
    <w:rsid w:val="00E63E06"/>
    <w:rsid w:val="00E65CD8"/>
    <w:rsid w:val="00E65F38"/>
    <w:rsid w:val="00E65F59"/>
    <w:rsid w:val="00E6619B"/>
    <w:rsid w:val="00E666F6"/>
    <w:rsid w:val="00E67144"/>
    <w:rsid w:val="00E67857"/>
    <w:rsid w:val="00E70534"/>
    <w:rsid w:val="00E70560"/>
    <w:rsid w:val="00E708FF"/>
    <w:rsid w:val="00E71C98"/>
    <w:rsid w:val="00E72378"/>
    <w:rsid w:val="00E7288B"/>
    <w:rsid w:val="00E72B9E"/>
    <w:rsid w:val="00E72C03"/>
    <w:rsid w:val="00E72DD1"/>
    <w:rsid w:val="00E736FD"/>
    <w:rsid w:val="00E7370B"/>
    <w:rsid w:val="00E73B07"/>
    <w:rsid w:val="00E75669"/>
    <w:rsid w:val="00E7587E"/>
    <w:rsid w:val="00E763C7"/>
    <w:rsid w:val="00E77431"/>
    <w:rsid w:val="00E77AC0"/>
    <w:rsid w:val="00E77AEE"/>
    <w:rsid w:val="00E80046"/>
    <w:rsid w:val="00E801CC"/>
    <w:rsid w:val="00E80883"/>
    <w:rsid w:val="00E80AB0"/>
    <w:rsid w:val="00E80B9C"/>
    <w:rsid w:val="00E80C6D"/>
    <w:rsid w:val="00E8215E"/>
    <w:rsid w:val="00E8217F"/>
    <w:rsid w:val="00E821D3"/>
    <w:rsid w:val="00E8226C"/>
    <w:rsid w:val="00E824A5"/>
    <w:rsid w:val="00E828E9"/>
    <w:rsid w:val="00E82D46"/>
    <w:rsid w:val="00E82E6B"/>
    <w:rsid w:val="00E82EEE"/>
    <w:rsid w:val="00E830DF"/>
    <w:rsid w:val="00E8324E"/>
    <w:rsid w:val="00E83982"/>
    <w:rsid w:val="00E84998"/>
    <w:rsid w:val="00E8547A"/>
    <w:rsid w:val="00E85592"/>
    <w:rsid w:val="00E85865"/>
    <w:rsid w:val="00E85DEA"/>
    <w:rsid w:val="00E86337"/>
    <w:rsid w:val="00E8689D"/>
    <w:rsid w:val="00E86E4D"/>
    <w:rsid w:val="00E8734E"/>
    <w:rsid w:val="00E87462"/>
    <w:rsid w:val="00E87A71"/>
    <w:rsid w:val="00E900FA"/>
    <w:rsid w:val="00E90676"/>
    <w:rsid w:val="00E906BD"/>
    <w:rsid w:val="00E90896"/>
    <w:rsid w:val="00E91906"/>
    <w:rsid w:val="00E91A7A"/>
    <w:rsid w:val="00E91E92"/>
    <w:rsid w:val="00E9225C"/>
    <w:rsid w:val="00E926D8"/>
    <w:rsid w:val="00E92B85"/>
    <w:rsid w:val="00E92C5D"/>
    <w:rsid w:val="00E93169"/>
    <w:rsid w:val="00E935FE"/>
    <w:rsid w:val="00E93B74"/>
    <w:rsid w:val="00E93FA6"/>
    <w:rsid w:val="00E93FC7"/>
    <w:rsid w:val="00E9492F"/>
    <w:rsid w:val="00E94AE5"/>
    <w:rsid w:val="00E95578"/>
    <w:rsid w:val="00E95735"/>
    <w:rsid w:val="00E957A3"/>
    <w:rsid w:val="00E95C16"/>
    <w:rsid w:val="00E961B7"/>
    <w:rsid w:val="00E96512"/>
    <w:rsid w:val="00E96C31"/>
    <w:rsid w:val="00E97255"/>
    <w:rsid w:val="00E97332"/>
    <w:rsid w:val="00E978BE"/>
    <w:rsid w:val="00E979A7"/>
    <w:rsid w:val="00E97A34"/>
    <w:rsid w:val="00EA0428"/>
    <w:rsid w:val="00EA0492"/>
    <w:rsid w:val="00EA0E70"/>
    <w:rsid w:val="00EA0EDB"/>
    <w:rsid w:val="00EA147E"/>
    <w:rsid w:val="00EA18B8"/>
    <w:rsid w:val="00EA1D3E"/>
    <w:rsid w:val="00EA2091"/>
    <w:rsid w:val="00EA20E4"/>
    <w:rsid w:val="00EA2579"/>
    <w:rsid w:val="00EA3666"/>
    <w:rsid w:val="00EA368A"/>
    <w:rsid w:val="00EA398A"/>
    <w:rsid w:val="00EA3EA4"/>
    <w:rsid w:val="00EA3FAD"/>
    <w:rsid w:val="00EA485B"/>
    <w:rsid w:val="00EA48BD"/>
    <w:rsid w:val="00EA490E"/>
    <w:rsid w:val="00EA4927"/>
    <w:rsid w:val="00EA4D90"/>
    <w:rsid w:val="00EA59B4"/>
    <w:rsid w:val="00EA61E2"/>
    <w:rsid w:val="00EA6C34"/>
    <w:rsid w:val="00EA741C"/>
    <w:rsid w:val="00EB00DF"/>
    <w:rsid w:val="00EB09E2"/>
    <w:rsid w:val="00EB12AC"/>
    <w:rsid w:val="00EB2C5A"/>
    <w:rsid w:val="00EB2E2C"/>
    <w:rsid w:val="00EB3020"/>
    <w:rsid w:val="00EB34CD"/>
    <w:rsid w:val="00EB3B2E"/>
    <w:rsid w:val="00EB3DAF"/>
    <w:rsid w:val="00EB3E45"/>
    <w:rsid w:val="00EB40FC"/>
    <w:rsid w:val="00EB4415"/>
    <w:rsid w:val="00EB4900"/>
    <w:rsid w:val="00EB49F6"/>
    <w:rsid w:val="00EB4B21"/>
    <w:rsid w:val="00EB4FFC"/>
    <w:rsid w:val="00EB54DC"/>
    <w:rsid w:val="00EB559B"/>
    <w:rsid w:val="00EB5F2B"/>
    <w:rsid w:val="00EB616C"/>
    <w:rsid w:val="00EB64F7"/>
    <w:rsid w:val="00EB6671"/>
    <w:rsid w:val="00EB6A62"/>
    <w:rsid w:val="00EB6C79"/>
    <w:rsid w:val="00EB725F"/>
    <w:rsid w:val="00EB7289"/>
    <w:rsid w:val="00EB76B2"/>
    <w:rsid w:val="00EB7C92"/>
    <w:rsid w:val="00EC06CF"/>
    <w:rsid w:val="00EC174C"/>
    <w:rsid w:val="00EC1906"/>
    <w:rsid w:val="00EC2044"/>
    <w:rsid w:val="00EC24E4"/>
    <w:rsid w:val="00EC24EA"/>
    <w:rsid w:val="00EC2B55"/>
    <w:rsid w:val="00EC2DBB"/>
    <w:rsid w:val="00EC2E69"/>
    <w:rsid w:val="00EC3331"/>
    <w:rsid w:val="00EC33E2"/>
    <w:rsid w:val="00EC35BF"/>
    <w:rsid w:val="00EC38E3"/>
    <w:rsid w:val="00EC3938"/>
    <w:rsid w:val="00EC3A30"/>
    <w:rsid w:val="00EC42DF"/>
    <w:rsid w:val="00EC45F1"/>
    <w:rsid w:val="00EC4615"/>
    <w:rsid w:val="00EC46FC"/>
    <w:rsid w:val="00EC4C72"/>
    <w:rsid w:val="00EC4F40"/>
    <w:rsid w:val="00EC51FD"/>
    <w:rsid w:val="00EC5BB2"/>
    <w:rsid w:val="00EC5FED"/>
    <w:rsid w:val="00EC6174"/>
    <w:rsid w:val="00EC6568"/>
    <w:rsid w:val="00EC67B5"/>
    <w:rsid w:val="00EC7333"/>
    <w:rsid w:val="00EC795E"/>
    <w:rsid w:val="00EC7E35"/>
    <w:rsid w:val="00ED0477"/>
    <w:rsid w:val="00ED0936"/>
    <w:rsid w:val="00ED0CC1"/>
    <w:rsid w:val="00ED0F02"/>
    <w:rsid w:val="00ED0F07"/>
    <w:rsid w:val="00ED0FF8"/>
    <w:rsid w:val="00ED11B3"/>
    <w:rsid w:val="00ED161F"/>
    <w:rsid w:val="00ED1702"/>
    <w:rsid w:val="00ED1A2B"/>
    <w:rsid w:val="00ED1EEE"/>
    <w:rsid w:val="00ED2774"/>
    <w:rsid w:val="00ED296F"/>
    <w:rsid w:val="00ED298A"/>
    <w:rsid w:val="00ED34DF"/>
    <w:rsid w:val="00ED45D4"/>
    <w:rsid w:val="00ED4B30"/>
    <w:rsid w:val="00ED5897"/>
    <w:rsid w:val="00ED58D0"/>
    <w:rsid w:val="00ED5D7E"/>
    <w:rsid w:val="00ED5DE3"/>
    <w:rsid w:val="00ED6853"/>
    <w:rsid w:val="00ED6DAB"/>
    <w:rsid w:val="00ED715E"/>
    <w:rsid w:val="00ED7AA4"/>
    <w:rsid w:val="00ED7E1A"/>
    <w:rsid w:val="00EE02A5"/>
    <w:rsid w:val="00EE0368"/>
    <w:rsid w:val="00EE0507"/>
    <w:rsid w:val="00EE0625"/>
    <w:rsid w:val="00EE0690"/>
    <w:rsid w:val="00EE081B"/>
    <w:rsid w:val="00EE091A"/>
    <w:rsid w:val="00EE1CF3"/>
    <w:rsid w:val="00EE227A"/>
    <w:rsid w:val="00EE2698"/>
    <w:rsid w:val="00EE26CF"/>
    <w:rsid w:val="00EE2D5C"/>
    <w:rsid w:val="00EE4CAE"/>
    <w:rsid w:val="00EE4DB3"/>
    <w:rsid w:val="00EE4DEE"/>
    <w:rsid w:val="00EE4FD8"/>
    <w:rsid w:val="00EE5443"/>
    <w:rsid w:val="00EE5459"/>
    <w:rsid w:val="00EE5B6B"/>
    <w:rsid w:val="00EE5F46"/>
    <w:rsid w:val="00EE6257"/>
    <w:rsid w:val="00EE64B6"/>
    <w:rsid w:val="00EE74CE"/>
    <w:rsid w:val="00EE7B26"/>
    <w:rsid w:val="00EE7D6E"/>
    <w:rsid w:val="00EE7E2A"/>
    <w:rsid w:val="00EF000B"/>
    <w:rsid w:val="00EF0B9F"/>
    <w:rsid w:val="00EF1163"/>
    <w:rsid w:val="00EF123E"/>
    <w:rsid w:val="00EF13CD"/>
    <w:rsid w:val="00EF13D0"/>
    <w:rsid w:val="00EF1663"/>
    <w:rsid w:val="00EF1BD7"/>
    <w:rsid w:val="00EF1ED8"/>
    <w:rsid w:val="00EF2413"/>
    <w:rsid w:val="00EF2443"/>
    <w:rsid w:val="00EF28A2"/>
    <w:rsid w:val="00EF2AC7"/>
    <w:rsid w:val="00EF2AE7"/>
    <w:rsid w:val="00EF2C3D"/>
    <w:rsid w:val="00EF2D59"/>
    <w:rsid w:val="00EF2DE9"/>
    <w:rsid w:val="00EF3E3D"/>
    <w:rsid w:val="00EF40EE"/>
    <w:rsid w:val="00EF4BEF"/>
    <w:rsid w:val="00EF4C8A"/>
    <w:rsid w:val="00EF4FD3"/>
    <w:rsid w:val="00EF5493"/>
    <w:rsid w:val="00EF5B05"/>
    <w:rsid w:val="00EF63A8"/>
    <w:rsid w:val="00EF641B"/>
    <w:rsid w:val="00EF6939"/>
    <w:rsid w:val="00EF6D5D"/>
    <w:rsid w:val="00F00284"/>
    <w:rsid w:val="00F002C6"/>
    <w:rsid w:val="00F007A4"/>
    <w:rsid w:val="00F007F6"/>
    <w:rsid w:val="00F00EFC"/>
    <w:rsid w:val="00F0115C"/>
    <w:rsid w:val="00F015EB"/>
    <w:rsid w:val="00F01656"/>
    <w:rsid w:val="00F017F4"/>
    <w:rsid w:val="00F01F24"/>
    <w:rsid w:val="00F0226C"/>
    <w:rsid w:val="00F024CF"/>
    <w:rsid w:val="00F02A3F"/>
    <w:rsid w:val="00F02EC8"/>
    <w:rsid w:val="00F031A9"/>
    <w:rsid w:val="00F03419"/>
    <w:rsid w:val="00F03CF0"/>
    <w:rsid w:val="00F041E5"/>
    <w:rsid w:val="00F04698"/>
    <w:rsid w:val="00F0499C"/>
    <w:rsid w:val="00F04B20"/>
    <w:rsid w:val="00F0504F"/>
    <w:rsid w:val="00F059AE"/>
    <w:rsid w:val="00F05B3F"/>
    <w:rsid w:val="00F05C2B"/>
    <w:rsid w:val="00F060C8"/>
    <w:rsid w:val="00F0620A"/>
    <w:rsid w:val="00F064B1"/>
    <w:rsid w:val="00F06ADD"/>
    <w:rsid w:val="00F07278"/>
    <w:rsid w:val="00F07BDD"/>
    <w:rsid w:val="00F07C6D"/>
    <w:rsid w:val="00F07D78"/>
    <w:rsid w:val="00F1087B"/>
    <w:rsid w:val="00F10C6D"/>
    <w:rsid w:val="00F10D51"/>
    <w:rsid w:val="00F10D53"/>
    <w:rsid w:val="00F113CE"/>
    <w:rsid w:val="00F114A6"/>
    <w:rsid w:val="00F1188A"/>
    <w:rsid w:val="00F11942"/>
    <w:rsid w:val="00F11AB9"/>
    <w:rsid w:val="00F11D6E"/>
    <w:rsid w:val="00F123C9"/>
    <w:rsid w:val="00F124D0"/>
    <w:rsid w:val="00F124E2"/>
    <w:rsid w:val="00F12B8C"/>
    <w:rsid w:val="00F12BEF"/>
    <w:rsid w:val="00F12FDF"/>
    <w:rsid w:val="00F13492"/>
    <w:rsid w:val="00F137D2"/>
    <w:rsid w:val="00F13C24"/>
    <w:rsid w:val="00F13F1B"/>
    <w:rsid w:val="00F14005"/>
    <w:rsid w:val="00F14858"/>
    <w:rsid w:val="00F1498E"/>
    <w:rsid w:val="00F149F1"/>
    <w:rsid w:val="00F14C83"/>
    <w:rsid w:val="00F1524C"/>
    <w:rsid w:val="00F15375"/>
    <w:rsid w:val="00F159FD"/>
    <w:rsid w:val="00F15B45"/>
    <w:rsid w:val="00F16610"/>
    <w:rsid w:val="00F16948"/>
    <w:rsid w:val="00F16D08"/>
    <w:rsid w:val="00F173A0"/>
    <w:rsid w:val="00F17479"/>
    <w:rsid w:val="00F204FD"/>
    <w:rsid w:val="00F20815"/>
    <w:rsid w:val="00F20BB9"/>
    <w:rsid w:val="00F20FDC"/>
    <w:rsid w:val="00F21672"/>
    <w:rsid w:val="00F2187B"/>
    <w:rsid w:val="00F22772"/>
    <w:rsid w:val="00F23305"/>
    <w:rsid w:val="00F23323"/>
    <w:rsid w:val="00F2348E"/>
    <w:rsid w:val="00F2369F"/>
    <w:rsid w:val="00F236DF"/>
    <w:rsid w:val="00F24709"/>
    <w:rsid w:val="00F24A3D"/>
    <w:rsid w:val="00F24CA8"/>
    <w:rsid w:val="00F256CD"/>
    <w:rsid w:val="00F257D6"/>
    <w:rsid w:val="00F260F5"/>
    <w:rsid w:val="00F26F39"/>
    <w:rsid w:val="00F2757E"/>
    <w:rsid w:val="00F27741"/>
    <w:rsid w:val="00F279BC"/>
    <w:rsid w:val="00F30733"/>
    <w:rsid w:val="00F30E3D"/>
    <w:rsid w:val="00F30EDD"/>
    <w:rsid w:val="00F31490"/>
    <w:rsid w:val="00F32021"/>
    <w:rsid w:val="00F32507"/>
    <w:rsid w:val="00F3275F"/>
    <w:rsid w:val="00F32BAB"/>
    <w:rsid w:val="00F33080"/>
    <w:rsid w:val="00F33279"/>
    <w:rsid w:val="00F3345C"/>
    <w:rsid w:val="00F334BB"/>
    <w:rsid w:val="00F33AAD"/>
    <w:rsid w:val="00F33C4E"/>
    <w:rsid w:val="00F33C78"/>
    <w:rsid w:val="00F33FA9"/>
    <w:rsid w:val="00F34938"/>
    <w:rsid w:val="00F3537C"/>
    <w:rsid w:val="00F3584D"/>
    <w:rsid w:val="00F35AE0"/>
    <w:rsid w:val="00F35B85"/>
    <w:rsid w:val="00F35D4C"/>
    <w:rsid w:val="00F35FEE"/>
    <w:rsid w:val="00F3608C"/>
    <w:rsid w:val="00F36272"/>
    <w:rsid w:val="00F375D3"/>
    <w:rsid w:val="00F37A64"/>
    <w:rsid w:val="00F37DAC"/>
    <w:rsid w:val="00F37F29"/>
    <w:rsid w:val="00F400D5"/>
    <w:rsid w:val="00F40746"/>
    <w:rsid w:val="00F40A1A"/>
    <w:rsid w:val="00F40C52"/>
    <w:rsid w:val="00F4132C"/>
    <w:rsid w:val="00F41629"/>
    <w:rsid w:val="00F418EA"/>
    <w:rsid w:val="00F41E14"/>
    <w:rsid w:val="00F42ED2"/>
    <w:rsid w:val="00F43156"/>
    <w:rsid w:val="00F4320A"/>
    <w:rsid w:val="00F436B8"/>
    <w:rsid w:val="00F43EDD"/>
    <w:rsid w:val="00F4485F"/>
    <w:rsid w:val="00F450A2"/>
    <w:rsid w:val="00F4541F"/>
    <w:rsid w:val="00F45C93"/>
    <w:rsid w:val="00F46143"/>
    <w:rsid w:val="00F463D7"/>
    <w:rsid w:val="00F46CD9"/>
    <w:rsid w:val="00F46EFF"/>
    <w:rsid w:val="00F47058"/>
    <w:rsid w:val="00F47356"/>
    <w:rsid w:val="00F47479"/>
    <w:rsid w:val="00F476D4"/>
    <w:rsid w:val="00F47875"/>
    <w:rsid w:val="00F47AE8"/>
    <w:rsid w:val="00F5096C"/>
    <w:rsid w:val="00F50A23"/>
    <w:rsid w:val="00F5121B"/>
    <w:rsid w:val="00F516C5"/>
    <w:rsid w:val="00F51C7E"/>
    <w:rsid w:val="00F51D0F"/>
    <w:rsid w:val="00F526BF"/>
    <w:rsid w:val="00F527BC"/>
    <w:rsid w:val="00F52C29"/>
    <w:rsid w:val="00F53606"/>
    <w:rsid w:val="00F53B90"/>
    <w:rsid w:val="00F53E16"/>
    <w:rsid w:val="00F54176"/>
    <w:rsid w:val="00F548FA"/>
    <w:rsid w:val="00F54FA2"/>
    <w:rsid w:val="00F55227"/>
    <w:rsid w:val="00F5540A"/>
    <w:rsid w:val="00F55ADC"/>
    <w:rsid w:val="00F55ADE"/>
    <w:rsid w:val="00F56226"/>
    <w:rsid w:val="00F56CC6"/>
    <w:rsid w:val="00F572BD"/>
    <w:rsid w:val="00F57340"/>
    <w:rsid w:val="00F578C8"/>
    <w:rsid w:val="00F57B9A"/>
    <w:rsid w:val="00F57FFA"/>
    <w:rsid w:val="00F60697"/>
    <w:rsid w:val="00F60C90"/>
    <w:rsid w:val="00F60ED2"/>
    <w:rsid w:val="00F60FB1"/>
    <w:rsid w:val="00F6104E"/>
    <w:rsid w:val="00F613D7"/>
    <w:rsid w:val="00F6172B"/>
    <w:rsid w:val="00F61915"/>
    <w:rsid w:val="00F61AE8"/>
    <w:rsid w:val="00F6219B"/>
    <w:rsid w:val="00F62605"/>
    <w:rsid w:val="00F62DCA"/>
    <w:rsid w:val="00F63C3A"/>
    <w:rsid w:val="00F63E22"/>
    <w:rsid w:val="00F63E78"/>
    <w:rsid w:val="00F64A99"/>
    <w:rsid w:val="00F653C7"/>
    <w:rsid w:val="00F65B50"/>
    <w:rsid w:val="00F65FC9"/>
    <w:rsid w:val="00F663AC"/>
    <w:rsid w:val="00F66EF5"/>
    <w:rsid w:val="00F67162"/>
    <w:rsid w:val="00F67585"/>
    <w:rsid w:val="00F67D91"/>
    <w:rsid w:val="00F709D9"/>
    <w:rsid w:val="00F70BDD"/>
    <w:rsid w:val="00F70D73"/>
    <w:rsid w:val="00F71530"/>
    <w:rsid w:val="00F71DFF"/>
    <w:rsid w:val="00F71E6D"/>
    <w:rsid w:val="00F7226C"/>
    <w:rsid w:val="00F722DD"/>
    <w:rsid w:val="00F7262C"/>
    <w:rsid w:val="00F7267C"/>
    <w:rsid w:val="00F72A81"/>
    <w:rsid w:val="00F73027"/>
    <w:rsid w:val="00F73415"/>
    <w:rsid w:val="00F73625"/>
    <w:rsid w:val="00F749CC"/>
    <w:rsid w:val="00F74D81"/>
    <w:rsid w:val="00F752B6"/>
    <w:rsid w:val="00F753C9"/>
    <w:rsid w:val="00F76134"/>
    <w:rsid w:val="00F76C2F"/>
    <w:rsid w:val="00F7759A"/>
    <w:rsid w:val="00F7788D"/>
    <w:rsid w:val="00F80576"/>
    <w:rsid w:val="00F80881"/>
    <w:rsid w:val="00F80B31"/>
    <w:rsid w:val="00F8181C"/>
    <w:rsid w:val="00F81F4A"/>
    <w:rsid w:val="00F828B6"/>
    <w:rsid w:val="00F838E2"/>
    <w:rsid w:val="00F83D65"/>
    <w:rsid w:val="00F84237"/>
    <w:rsid w:val="00F8506A"/>
    <w:rsid w:val="00F851D9"/>
    <w:rsid w:val="00F8548E"/>
    <w:rsid w:val="00F86275"/>
    <w:rsid w:val="00F86BF3"/>
    <w:rsid w:val="00F86FF7"/>
    <w:rsid w:val="00F87272"/>
    <w:rsid w:val="00F873B9"/>
    <w:rsid w:val="00F9011C"/>
    <w:rsid w:val="00F91326"/>
    <w:rsid w:val="00F91BE2"/>
    <w:rsid w:val="00F91C56"/>
    <w:rsid w:val="00F924E0"/>
    <w:rsid w:val="00F9379B"/>
    <w:rsid w:val="00F94A2B"/>
    <w:rsid w:val="00F94C91"/>
    <w:rsid w:val="00F94CD8"/>
    <w:rsid w:val="00F94E5B"/>
    <w:rsid w:val="00F9520C"/>
    <w:rsid w:val="00F95678"/>
    <w:rsid w:val="00F9581B"/>
    <w:rsid w:val="00F96203"/>
    <w:rsid w:val="00F9661B"/>
    <w:rsid w:val="00F9684F"/>
    <w:rsid w:val="00F96922"/>
    <w:rsid w:val="00F96AB1"/>
    <w:rsid w:val="00F97502"/>
    <w:rsid w:val="00F97627"/>
    <w:rsid w:val="00FA1316"/>
    <w:rsid w:val="00FA1C96"/>
    <w:rsid w:val="00FA1FD0"/>
    <w:rsid w:val="00FA24B1"/>
    <w:rsid w:val="00FA26B8"/>
    <w:rsid w:val="00FA28C2"/>
    <w:rsid w:val="00FA2F57"/>
    <w:rsid w:val="00FA3326"/>
    <w:rsid w:val="00FA36C9"/>
    <w:rsid w:val="00FA3DE2"/>
    <w:rsid w:val="00FA3F24"/>
    <w:rsid w:val="00FA46A4"/>
    <w:rsid w:val="00FA49FD"/>
    <w:rsid w:val="00FA4C0B"/>
    <w:rsid w:val="00FA4CAC"/>
    <w:rsid w:val="00FA4DE9"/>
    <w:rsid w:val="00FA5043"/>
    <w:rsid w:val="00FA538E"/>
    <w:rsid w:val="00FA5B72"/>
    <w:rsid w:val="00FA65E8"/>
    <w:rsid w:val="00FA6929"/>
    <w:rsid w:val="00FA6C56"/>
    <w:rsid w:val="00FA7094"/>
    <w:rsid w:val="00FA7904"/>
    <w:rsid w:val="00FA7952"/>
    <w:rsid w:val="00FA79A5"/>
    <w:rsid w:val="00FA7B6C"/>
    <w:rsid w:val="00FA7E84"/>
    <w:rsid w:val="00FB0088"/>
    <w:rsid w:val="00FB0782"/>
    <w:rsid w:val="00FB0944"/>
    <w:rsid w:val="00FB126B"/>
    <w:rsid w:val="00FB1A3C"/>
    <w:rsid w:val="00FB1D58"/>
    <w:rsid w:val="00FB20BC"/>
    <w:rsid w:val="00FB21D3"/>
    <w:rsid w:val="00FB2772"/>
    <w:rsid w:val="00FB2815"/>
    <w:rsid w:val="00FB3753"/>
    <w:rsid w:val="00FB37C0"/>
    <w:rsid w:val="00FB3FAF"/>
    <w:rsid w:val="00FB4246"/>
    <w:rsid w:val="00FB43B8"/>
    <w:rsid w:val="00FB4734"/>
    <w:rsid w:val="00FB4DCE"/>
    <w:rsid w:val="00FB4EFE"/>
    <w:rsid w:val="00FB507A"/>
    <w:rsid w:val="00FB572A"/>
    <w:rsid w:val="00FB5CF7"/>
    <w:rsid w:val="00FB5D75"/>
    <w:rsid w:val="00FB6592"/>
    <w:rsid w:val="00FB7022"/>
    <w:rsid w:val="00FB7747"/>
    <w:rsid w:val="00FB7E71"/>
    <w:rsid w:val="00FB7ECD"/>
    <w:rsid w:val="00FC0148"/>
    <w:rsid w:val="00FC01BF"/>
    <w:rsid w:val="00FC0376"/>
    <w:rsid w:val="00FC08E5"/>
    <w:rsid w:val="00FC0FEC"/>
    <w:rsid w:val="00FC10C9"/>
    <w:rsid w:val="00FC11C1"/>
    <w:rsid w:val="00FC1709"/>
    <w:rsid w:val="00FC1AAE"/>
    <w:rsid w:val="00FC1ADB"/>
    <w:rsid w:val="00FC2CBA"/>
    <w:rsid w:val="00FC2DB1"/>
    <w:rsid w:val="00FC36DC"/>
    <w:rsid w:val="00FC3980"/>
    <w:rsid w:val="00FC44D5"/>
    <w:rsid w:val="00FC46B7"/>
    <w:rsid w:val="00FC4B8C"/>
    <w:rsid w:val="00FC4BD8"/>
    <w:rsid w:val="00FC4D15"/>
    <w:rsid w:val="00FC54A7"/>
    <w:rsid w:val="00FC572E"/>
    <w:rsid w:val="00FC5761"/>
    <w:rsid w:val="00FC57C9"/>
    <w:rsid w:val="00FC593E"/>
    <w:rsid w:val="00FC6072"/>
    <w:rsid w:val="00FC691F"/>
    <w:rsid w:val="00FC6A5D"/>
    <w:rsid w:val="00FC6ECA"/>
    <w:rsid w:val="00FC788A"/>
    <w:rsid w:val="00FC7A8F"/>
    <w:rsid w:val="00FC7C5E"/>
    <w:rsid w:val="00FD0194"/>
    <w:rsid w:val="00FD050C"/>
    <w:rsid w:val="00FD0C36"/>
    <w:rsid w:val="00FD1163"/>
    <w:rsid w:val="00FD11A1"/>
    <w:rsid w:val="00FD135F"/>
    <w:rsid w:val="00FD136C"/>
    <w:rsid w:val="00FD16AD"/>
    <w:rsid w:val="00FD1749"/>
    <w:rsid w:val="00FD1880"/>
    <w:rsid w:val="00FD2047"/>
    <w:rsid w:val="00FD25A8"/>
    <w:rsid w:val="00FD26D5"/>
    <w:rsid w:val="00FD2A59"/>
    <w:rsid w:val="00FD2AB2"/>
    <w:rsid w:val="00FD2B5E"/>
    <w:rsid w:val="00FD3A2E"/>
    <w:rsid w:val="00FD41A9"/>
    <w:rsid w:val="00FD4662"/>
    <w:rsid w:val="00FD5046"/>
    <w:rsid w:val="00FD5769"/>
    <w:rsid w:val="00FD5A57"/>
    <w:rsid w:val="00FD604B"/>
    <w:rsid w:val="00FD614E"/>
    <w:rsid w:val="00FD67DD"/>
    <w:rsid w:val="00FD6B14"/>
    <w:rsid w:val="00FD6B9C"/>
    <w:rsid w:val="00FD6C67"/>
    <w:rsid w:val="00FD6CD0"/>
    <w:rsid w:val="00FD70FE"/>
    <w:rsid w:val="00FD716D"/>
    <w:rsid w:val="00FE1036"/>
    <w:rsid w:val="00FE1561"/>
    <w:rsid w:val="00FE170B"/>
    <w:rsid w:val="00FE1B80"/>
    <w:rsid w:val="00FE1DDB"/>
    <w:rsid w:val="00FE2B13"/>
    <w:rsid w:val="00FE34C2"/>
    <w:rsid w:val="00FE3FBA"/>
    <w:rsid w:val="00FE4BD8"/>
    <w:rsid w:val="00FE4D88"/>
    <w:rsid w:val="00FE4FF5"/>
    <w:rsid w:val="00FE6B28"/>
    <w:rsid w:val="00FE7088"/>
    <w:rsid w:val="00FE72CB"/>
    <w:rsid w:val="00FE77C2"/>
    <w:rsid w:val="00FF033B"/>
    <w:rsid w:val="00FF05DF"/>
    <w:rsid w:val="00FF08A8"/>
    <w:rsid w:val="00FF0A2A"/>
    <w:rsid w:val="00FF11A1"/>
    <w:rsid w:val="00FF1E54"/>
    <w:rsid w:val="00FF2628"/>
    <w:rsid w:val="00FF26FE"/>
    <w:rsid w:val="00FF2DF4"/>
    <w:rsid w:val="00FF2E0A"/>
    <w:rsid w:val="00FF2F63"/>
    <w:rsid w:val="00FF2FB5"/>
    <w:rsid w:val="00FF30B0"/>
    <w:rsid w:val="00FF376E"/>
    <w:rsid w:val="00FF3ED7"/>
    <w:rsid w:val="00FF3F37"/>
    <w:rsid w:val="00FF4034"/>
    <w:rsid w:val="00FF53A8"/>
    <w:rsid w:val="00FF5A8E"/>
    <w:rsid w:val="00FF6066"/>
    <w:rsid w:val="00FF60CB"/>
    <w:rsid w:val="00FF65D8"/>
    <w:rsid w:val="00FF6677"/>
    <w:rsid w:val="00FF726D"/>
    <w:rsid w:val="00FF7820"/>
    <w:rsid w:val="00FF7B20"/>
    <w:rsid w:val="00FF7B74"/>
    <w:rsid w:val="00FF7D09"/>
    <w:rsid w:val="010B405F"/>
    <w:rsid w:val="011C3821"/>
    <w:rsid w:val="011E0236"/>
    <w:rsid w:val="01205F44"/>
    <w:rsid w:val="01211AD4"/>
    <w:rsid w:val="01287748"/>
    <w:rsid w:val="012940BD"/>
    <w:rsid w:val="013463CF"/>
    <w:rsid w:val="013B6B5D"/>
    <w:rsid w:val="013D192A"/>
    <w:rsid w:val="013D4B60"/>
    <w:rsid w:val="01472045"/>
    <w:rsid w:val="017C6D0A"/>
    <w:rsid w:val="018C1643"/>
    <w:rsid w:val="018F6A3E"/>
    <w:rsid w:val="01A73629"/>
    <w:rsid w:val="01B110AA"/>
    <w:rsid w:val="01BE6B63"/>
    <w:rsid w:val="01C0309B"/>
    <w:rsid w:val="01C54B55"/>
    <w:rsid w:val="01DB2302"/>
    <w:rsid w:val="01DD3C4D"/>
    <w:rsid w:val="01EF1EAE"/>
    <w:rsid w:val="01FB09BE"/>
    <w:rsid w:val="020B07BA"/>
    <w:rsid w:val="0215596A"/>
    <w:rsid w:val="021A09FD"/>
    <w:rsid w:val="02317D0E"/>
    <w:rsid w:val="023C2864"/>
    <w:rsid w:val="02466F9E"/>
    <w:rsid w:val="024B6E08"/>
    <w:rsid w:val="02566A6E"/>
    <w:rsid w:val="025E0944"/>
    <w:rsid w:val="02772B97"/>
    <w:rsid w:val="027E2E67"/>
    <w:rsid w:val="0293200C"/>
    <w:rsid w:val="02A8425B"/>
    <w:rsid w:val="02A95C06"/>
    <w:rsid w:val="02AD0C2F"/>
    <w:rsid w:val="02B81FC4"/>
    <w:rsid w:val="02BC1AB4"/>
    <w:rsid w:val="02E606E0"/>
    <w:rsid w:val="02FB01D2"/>
    <w:rsid w:val="02FE20CD"/>
    <w:rsid w:val="031A722A"/>
    <w:rsid w:val="031C103E"/>
    <w:rsid w:val="03345BB2"/>
    <w:rsid w:val="036A11F0"/>
    <w:rsid w:val="03727507"/>
    <w:rsid w:val="038014E0"/>
    <w:rsid w:val="03830824"/>
    <w:rsid w:val="038A06B3"/>
    <w:rsid w:val="03A264FE"/>
    <w:rsid w:val="03A30FA7"/>
    <w:rsid w:val="03BB4035"/>
    <w:rsid w:val="03BD3D36"/>
    <w:rsid w:val="03C70711"/>
    <w:rsid w:val="03C843A8"/>
    <w:rsid w:val="03C86237"/>
    <w:rsid w:val="03C90287"/>
    <w:rsid w:val="03E523D8"/>
    <w:rsid w:val="03F66E80"/>
    <w:rsid w:val="03FF396C"/>
    <w:rsid w:val="041F2DC8"/>
    <w:rsid w:val="0438572A"/>
    <w:rsid w:val="043F0BEF"/>
    <w:rsid w:val="04461F7D"/>
    <w:rsid w:val="0448791F"/>
    <w:rsid w:val="045D64B0"/>
    <w:rsid w:val="045E35EB"/>
    <w:rsid w:val="047D1717"/>
    <w:rsid w:val="04812937"/>
    <w:rsid w:val="04947E5B"/>
    <w:rsid w:val="049C7DEF"/>
    <w:rsid w:val="04B068B0"/>
    <w:rsid w:val="04B601A6"/>
    <w:rsid w:val="04BE6885"/>
    <w:rsid w:val="04CB6429"/>
    <w:rsid w:val="04CD5CB2"/>
    <w:rsid w:val="04D8355C"/>
    <w:rsid w:val="04DD413C"/>
    <w:rsid w:val="05047743"/>
    <w:rsid w:val="05157BA2"/>
    <w:rsid w:val="052B2F21"/>
    <w:rsid w:val="05391E02"/>
    <w:rsid w:val="0543026B"/>
    <w:rsid w:val="05500BDA"/>
    <w:rsid w:val="05573D16"/>
    <w:rsid w:val="055C757F"/>
    <w:rsid w:val="056669AF"/>
    <w:rsid w:val="056830B6"/>
    <w:rsid w:val="056E1855"/>
    <w:rsid w:val="056F02B9"/>
    <w:rsid w:val="05700A65"/>
    <w:rsid w:val="05706B86"/>
    <w:rsid w:val="057C68B8"/>
    <w:rsid w:val="05863F97"/>
    <w:rsid w:val="059C0126"/>
    <w:rsid w:val="05AD36AD"/>
    <w:rsid w:val="05BE041F"/>
    <w:rsid w:val="05D71063"/>
    <w:rsid w:val="05DC524B"/>
    <w:rsid w:val="05EF21A1"/>
    <w:rsid w:val="06127C3D"/>
    <w:rsid w:val="062A68A7"/>
    <w:rsid w:val="062E7ED5"/>
    <w:rsid w:val="0639341C"/>
    <w:rsid w:val="0659586C"/>
    <w:rsid w:val="066D1CD2"/>
    <w:rsid w:val="06702CFE"/>
    <w:rsid w:val="06943EFC"/>
    <w:rsid w:val="069D7E4F"/>
    <w:rsid w:val="06A95BD5"/>
    <w:rsid w:val="06B62CBE"/>
    <w:rsid w:val="06BB2083"/>
    <w:rsid w:val="06C74B87"/>
    <w:rsid w:val="06CD3631"/>
    <w:rsid w:val="06E527EC"/>
    <w:rsid w:val="06EC66E0"/>
    <w:rsid w:val="06FF4BF4"/>
    <w:rsid w:val="07016B64"/>
    <w:rsid w:val="07027CB2"/>
    <w:rsid w:val="0709241E"/>
    <w:rsid w:val="0712477A"/>
    <w:rsid w:val="071B02F8"/>
    <w:rsid w:val="0720036D"/>
    <w:rsid w:val="07230354"/>
    <w:rsid w:val="074456C4"/>
    <w:rsid w:val="075A7AEE"/>
    <w:rsid w:val="07791921"/>
    <w:rsid w:val="077F5613"/>
    <w:rsid w:val="078057A6"/>
    <w:rsid w:val="07881D66"/>
    <w:rsid w:val="079572A9"/>
    <w:rsid w:val="079E79DA"/>
    <w:rsid w:val="07A01BFB"/>
    <w:rsid w:val="07A97CA1"/>
    <w:rsid w:val="07D577D8"/>
    <w:rsid w:val="07D96302"/>
    <w:rsid w:val="07EE1FED"/>
    <w:rsid w:val="07FE25A7"/>
    <w:rsid w:val="0812322E"/>
    <w:rsid w:val="081E4FBF"/>
    <w:rsid w:val="08335C68"/>
    <w:rsid w:val="083642A0"/>
    <w:rsid w:val="084828F4"/>
    <w:rsid w:val="084F6F27"/>
    <w:rsid w:val="08744BDF"/>
    <w:rsid w:val="08921229"/>
    <w:rsid w:val="08935065"/>
    <w:rsid w:val="08936C06"/>
    <w:rsid w:val="08950582"/>
    <w:rsid w:val="08A02A8F"/>
    <w:rsid w:val="08AC4379"/>
    <w:rsid w:val="08AC6127"/>
    <w:rsid w:val="08D76C6F"/>
    <w:rsid w:val="08EB6977"/>
    <w:rsid w:val="09240E7A"/>
    <w:rsid w:val="09360A2D"/>
    <w:rsid w:val="09373CEB"/>
    <w:rsid w:val="093B24BB"/>
    <w:rsid w:val="093E6A20"/>
    <w:rsid w:val="09454123"/>
    <w:rsid w:val="094D572A"/>
    <w:rsid w:val="09523172"/>
    <w:rsid w:val="0956666B"/>
    <w:rsid w:val="095F700A"/>
    <w:rsid w:val="096E1550"/>
    <w:rsid w:val="096E162E"/>
    <w:rsid w:val="09792FD8"/>
    <w:rsid w:val="097A7FD3"/>
    <w:rsid w:val="0985719E"/>
    <w:rsid w:val="09945E1B"/>
    <w:rsid w:val="09A6526C"/>
    <w:rsid w:val="09AB6505"/>
    <w:rsid w:val="09BD0D3B"/>
    <w:rsid w:val="09E047E1"/>
    <w:rsid w:val="09E35B78"/>
    <w:rsid w:val="0A07200F"/>
    <w:rsid w:val="0A0C0848"/>
    <w:rsid w:val="0A122902"/>
    <w:rsid w:val="0A197E04"/>
    <w:rsid w:val="0A210A7E"/>
    <w:rsid w:val="0A261F09"/>
    <w:rsid w:val="0A2C3BB9"/>
    <w:rsid w:val="0A6633FA"/>
    <w:rsid w:val="0A736813"/>
    <w:rsid w:val="0A740EC6"/>
    <w:rsid w:val="0A7410AA"/>
    <w:rsid w:val="0AA93D59"/>
    <w:rsid w:val="0AB91107"/>
    <w:rsid w:val="0AC16B42"/>
    <w:rsid w:val="0AD32091"/>
    <w:rsid w:val="0AD81F8C"/>
    <w:rsid w:val="0B0F299D"/>
    <w:rsid w:val="0B185CF6"/>
    <w:rsid w:val="0B1F0E32"/>
    <w:rsid w:val="0B2E0003"/>
    <w:rsid w:val="0B3A5C6C"/>
    <w:rsid w:val="0B430589"/>
    <w:rsid w:val="0B570BC3"/>
    <w:rsid w:val="0B660A3A"/>
    <w:rsid w:val="0B6E3B68"/>
    <w:rsid w:val="0B7037F8"/>
    <w:rsid w:val="0B723658"/>
    <w:rsid w:val="0B960D9F"/>
    <w:rsid w:val="0BA06B21"/>
    <w:rsid w:val="0BA83509"/>
    <w:rsid w:val="0BA97B48"/>
    <w:rsid w:val="0BC927C7"/>
    <w:rsid w:val="0BD4105B"/>
    <w:rsid w:val="0BEC4CD3"/>
    <w:rsid w:val="0BFD204C"/>
    <w:rsid w:val="0C41618B"/>
    <w:rsid w:val="0C4546BE"/>
    <w:rsid w:val="0C4A18AA"/>
    <w:rsid w:val="0C552FCB"/>
    <w:rsid w:val="0C9307C6"/>
    <w:rsid w:val="0CAD6DC5"/>
    <w:rsid w:val="0CB70134"/>
    <w:rsid w:val="0CCA5C5D"/>
    <w:rsid w:val="0CD72ACC"/>
    <w:rsid w:val="0CE34EC9"/>
    <w:rsid w:val="0D136775"/>
    <w:rsid w:val="0D206858"/>
    <w:rsid w:val="0D324A31"/>
    <w:rsid w:val="0D474B16"/>
    <w:rsid w:val="0D766D04"/>
    <w:rsid w:val="0D821B4C"/>
    <w:rsid w:val="0D9A4644"/>
    <w:rsid w:val="0DCF7654"/>
    <w:rsid w:val="0DD57ECE"/>
    <w:rsid w:val="0DDC3B96"/>
    <w:rsid w:val="0DEE45AB"/>
    <w:rsid w:val="0E31755E"/>
    <w:rsid w:val="0E5D2DC4"/>
    <w:rsid w:val="0E6A449F"/>
    <w:rsid w:val="0E7A3C4B"/>
    <w:rsid w:val="0E80792B"/>
    <w:rsid w:val="0E8611C8"/>
    <w:rsid w:val="0E862EB6"/>
    <w:rsid w:val="0EA22A67"/>
    <w:rsid w:val="0EB83A78"/>
    <w:rsid w:val="0EB968D9"/>
    <w:rsid w:val="0EC95193"/>
    <w:rsid w:val="0ED14B39"/>
    <w:rsid w:val="0EDC3FDD"/>
    <w:rsid w:val="0EE1147B"/>
    <w:rsid w:val="0EE67D92"/>
    <w:rsid w:val="0EFF1290"/>
    <w:rsid w:val="0F107DE6"/>
    <w:rsid w:val="0F121CDB"/>
    <w:rsid w:val="0F274759"/>
    <w:rsid w:val="0F4F6D66"/>
    <w:rsid w:val="0F5E58F2"/>
    <w:rsid w:val="0F64775C"/>
    <w:rsid w:val="0F7D3E7D"/>
    <w:rsid w:val="0F7E40B4"/>
    <w:rsid w:val="0F841BAC"/>
    <w:rsid w:val="0F8F17B4"/>
    <w:rsid w:val="0F933B9D"/>
    <w:rsid w:val="0F9F57E4"/>
    <w:rsid w:val="0FA9345E"/>
    <w:rsid w:val="0FC24482"/>
    <w:rsid w:val="0FC81379"/>
    <w:rsid w:val="0FDA1211"/>
    <w:rsid w:val="0FE773D3"/>
    <w:rsid w:val="0FED1A3D"/>
    <w:rsid w:val="0FEE6E65"/>
    <w:rsid w:val="10060813"/>
    <w:rsid w:val="100D394F"/>
    <w:rsid w:val="108B156E"/>
    <w:rsid w:val="109A6C1C"/>
    <w:rsid w:val="10AF4EA5"/>
    <w:rsid w:val="10BC5375"/>
    <w:rsid w:val="10D13D2F"/>
    <w:rsid w:val="10E16B8A"/>
    <w:rsid w:val="110416CA"/>
    <w:rsid w:val="110B22AB"/>
    <w:rsid w:val="11180B9C"/>
    <w:rsid w:val="111A451D"/>
    <w:rsid w:val="11423ACC"/>
    <w:rsid w:val="114C66F9"/>
    <w:rsid w:val="11524B72"/>
    <w:rsid w:val="115F5993"/>
    <w:rsid w:val="116C3B7D"/>
    <w:rsid w:val="11800151"/>
    <w:rsid w:val="11936857"/>
    <w:rsid w:val="11A30AFE"/>
    <w:rsid w:val="11AF2F60"/>
    <w:rsid w:val="11B031DE"/>
    <w:rsid w:val="11C17300"/>
    <w:rsid w:val="11C343A8"/>
    <w:rsid w:val="11C40985"/>
    <w:rsid w:val="11D45A4B"/>
    <w:rsid w:val="11D773EF"/>
    <w:rsid w:val="11DF756D"/>
    <w:rsid w:val="11F02D32"/>
    <w:rsid w:val="11F8062F"/>
    <w:rsid w:val="12071ECB"/>
    <w:rsid w:val="121835FB"/>
    <w:rsid w:val="122431D2"/>
    <w:rsid w:val="123075C5"/>
    <w:rsid w:val="123D3A5F"/>
    <w:rsid w:val="124D76B9"/>
    <w:rsid w:val="1252778F"/>
    <w:rsid w:val="125D2F58"/>
    <w:rsid w:val="12641821"/>
    <w:rsid w:val="12712DC5"/>
    <w:rsid w:val="127412EB"/>
    <w:rsid w:val="127B54E8"/>
    <w:rsid w:val="1283439D"/>
    <w:rsid w:val="12921726"/>
    <w:rsid w:val="1295796F"/>
    <w:rsid w:val="12C329EB"/>
    <w:rsid w:val="12C64289"/>
    <w:rsid w:val="12CC5D44"/>
    <w:rsid w:val="12D44F7A"/>
    <w:rsid w:val="12D80157"/>
    <w:rsid w:val="12E7205B"/>
    <w:rsid w:val="130D1EB8"/>
    <w:rsid w:val="13174AE5"/>
    <w:rsid w:val="131C58E3"/>
    <w:rsid w:val="13253E5B"/>
    <w:rsid w:val="13255454"/>
    <w:rsid w:val="132D1FC1"/>
    <w:rsid w:val="13324823"/>
    <w:rsid w:val="133B7594"/>
    <w:rsid w:val="135835FE"/>
    <w:rsid w:val="135D699C"/>
    <w:rsid w:val="135E1962"/>
    <w:rsid w:val="13600777"/>
    <w:rsid w:val="13602F23"/>
    <w:rsid w:val="136235BC"/>
    <w:rsid w:val="1366079B"/>
    <w:rsid w:val="136E1102"/>
    <w:rsid w:val="13793C42"/>
    <w:rsid w:val="13946135"/>
    <w:rsid w:val="13961513"/>
    <w:rsid w:val="139879D4"/>
    <w:rsid w:val="139B5716"/>
    <w:rsid w:val="13BF1753"/>
    <w:rsid w:val="13D149E5"/>
    <w:rsid w:val="140417DF"/>
    <w:rsid w:val="140B18BD"/>
    <w:rsid w:val="141D64E8"/>
    <w:rsid w:val="14271CC8"/>
    <w:rsid w:val="14367428"/>
    <w:rsid w:val="14537014"/>
    <w:rsid w:val="145A3D24"/>
    <w:rsid w:val="146C0EE7"/>
    <w:rsid w:val="146D2C0E"/>
    <w:rsid w:val="146F25A4"/>
    <w:rsid w:val="14861F22"/>
    <w:rsid w:val="14B52807"/>
    <w:rsid w:val="14BE49C1"/>
    <w:rsid w:val="14C0311F"/>
    <w:rsid w:val="14C12F5A"/>
    <w:rsid w:val="14C5069E"/>
    <w:rsid w:val="14D927BA"/>
    <w:rsid w:val="14EE2AEB"/>
    <w:rsid w:val="14F96B98"/>
    <w:rsid w:val="15006304"/>
    <w:rsid w:val="1522229D"/>
    <w:rsid w:val="15383CD4"/>
    <w:rsid w:val="153A1464"/>
    <w:rsid w:val="154047C7"/>
    <w:rsid w:val="15461B23"/>
    <w:rsid w:val="1553421C"/>
    <w:rsid w:val="157776D9"/>
    <w:rsid w:val="15791A87"/>
    <w:rsid w:val="157A2AC8"/>
    <w:rsid w:val="157E5BC8"/>
    <w:rsid w:val="157E70AA"/>
    <w:rsid w:val="15842905"/>
    <w:rsid w:val="158A41EF"/>
    <w:rsid w:val="15925920"/>
    <w:rsid w:val="15B55523"/>
    <w:rsid w:val="15C72DCF"/>
    <w:rsid w:val="15CB0145"/>
    <w:rsid w:val="15D41172"/>
    <w:rsid w:val="15D62B87"/>
    <w:rsid w:val="15E424C2"/>
    <w:rsid w:val="15E86E3C"/>
    <w:rsid w:val="15EC04AB"/>
    <w:rsid w:val="15FA6724"/>
    <w:rsid w:val="16085872"/>
    <w:rsid w:val="160D2A3A"/>
    <w:rsid w:val="16233984"/>
    <w:rsid w:val="162E461F"/>
    <w:rsid w:val="163C256E"/>
    <w:rsid w:val="16443E43"/>
    <w:rsid w:val="166167A3"/>
    <w:rsid w:val="16730284"/>
    <w:rsid w:val="1695647F"/>
    <w:rsid w:val="169A58EB"/>
    <w:rsid w:val="16B07922"/>
    <w:rsid w:val="16C1371A"/>
    <w:rsid w:val="16C32BE5"/>
    <w:rsid w:val="16DA6555"/>
    <w:rsid w:val="16DD6CA8"/>
    <w:rsid w:val="16EC2165"/>
    <w:rsid w:val="16F507E3"/>
    <w:rsid w:val="16F71457"/>
    <w:rsid w:val="17072210"/>
    <w:rsid w:val="17163A31"/>
    <w:rsid w:val="171D04DA"/>
    <w:rsid w:val="171D7411"/>
    <w:rsid w:val="171E28E6"/>
    <w:rsid w:val="17325A4F"/>
    <w:rsid w:val="1735378C"/>
    <w:rsid w:val="173D7D89"/>
    <w:rsid w:val="17485042"/>
    <w:rsid w:val="174B3562"/>
    <w:rsid w:val="17531DB8"/>
    <w:rsid w:val="1763654B"/>
    <w:rsid w:val="17792687"/>
    <w:rsid w:val="178A55AD"/>
    <w:rsid w:val="179130B8"/>
    <w:rsid w:val="17A04A16"/>
    <w:rsid w:val="17AD069C"/>
    <w:rsid w:val="17AF3B05"/>
    <w:rsid w:val="17B02DF4"/>
    <w:rsid w:val="17C76AD9"/>
    <w:rsid w:val="17CA481C"/>
    <w:rsid w:val="17E256C1"/>
    <w:rsid w:val="1807337A"/>
    <w:rsid w:val="18147845"/>
    <w:rsid w:val="181B6E25"/>
    <w:rsid w:val="182C3120"/>
    <w:rsid w:val="183D715F"/>
    <w:rsid w:val="1840063A"/>
    <w:rsid w:val="18786643"/>
    <w:rsid w:val="187F409E"/>
    <w:rsid w:val="188F6EFF"/>
    <w:rsid w:val="18985A8E"/>
    <w:rsid w:val="189A0770"/>
    <w:rsid w:val="189C3172"/>
    <w:rsid w:val="18A81416"/>
    <w:rsid w:val="18B018F4"/>
    <w:rsid w:val="18B232E6"/>
    <w:rsid w:val="18B526BD"/>
    <w:rsid w:val="18C64FE3"/>
    <w:rsid w:val="18C70162"/>
    <w:rsid w:val="18DF1873"/>
    <w:rsid w:val="18EA25E1"/>
    <w:rsid w:val="18EE4B87"/>
    <w:rsid w:val="18F51424"/>
    <w:rsid w:val="18FC6C57"/>
    <w:rsid w:val="18FD658E"/>
    <w:rsid w:val="19015CA3"/>
    <w:rsid w:val="190C2CC9"/>
    <w:rsid w:val="19147221"/>
    <w:rsid w:val="193208CA"/>
    <w:rsid w:val="194C455B"/>
    <w:rsid w:val="196933D6"/>
    <w:rsid w:val="196B3D31"/>
    <w:rsid w:val="1973708C"/>
    <w:rsid w:val="19875E05"/>
    <w:rsid w:val="19AC551A"/>
    <w:rsid w:val="19AE17F0"/>
    <w:rsid w:val="19B94B48"/>
    <w:rsid w:val="19DA2BBF"/>
    <w:rsid w:val="19FA25FA"/>
    <w:rsid w:val="1A18186E"/>
    <w:rsid w:val="1A2655FC"/>
    <w:rsid w:val="1A3575BC"/>
    <w:rsid w:val="1A3950CD"/>
    <w:rsid w:val="1A3C32CC"/>
    <w:rsid w:val="1A451F10"/>
    <w:rsid w:val="1A506FF1"/>
    <w:rsid w:val="1A555C18"/>
    <w:rsid w:val="1A5B175B"/>
    <w:rsid w:val="1A5F3D37"/>
    <w:rsid w:val="1A6C345D"/>
    <w:rsid w:val="1A81527A"/>
    <w:rsid w:val="1A824F3A"/>
    <w:rsid w:val="1ABA0B77"/>
    <w:rsid w:val="1AC3399A"/>
    <w:rsid w:val="1AC7608E"/>
    <w:rsid w:val="1AD339E7"/>
    <w:rsid w:val="1AD512CA"/>
    <w:rsid w:val="1AE654C9"/>
    <w:rsid w:val="1AEA0CA8"/>
    <w:rsid w:val="1AF43AB0"/>
    <w:rsid w:val="1AF5395E"/>
    <w:rsid w:val="1AF56600"/>
    <w:rsid w:val="1B0543FE"/>
    <w:rsid w:val="1B4D3805"/>
    <w:rsid w:val="1B530684"/>
    <w:rsid w:val="1B654B38"/>
    <w:rsid w:val="1B752FCD"/>
    <w:rsid w:val="1B863328"/>
    <w:rsid w:val="1B9B2C10"/>
    <w:rsid w:val="1B9D0900"/>
    <w:rsid w:val="1BC51582"/>
    <w:rsid w:val="1BD2144F"/>
    <w:rsid w:val="1C34339D"/>
    <w:rsid w:val="1C5D7A0C"/>
    <w:rsid w:val="1C60574F"/>
    <w:rsid w:val="1C7025C3"/>
    <w:rsid w:val="1C977768"/>
    <w:rsid w:val="1C983EBD"/>
    <w:rsid w:val="1CA613B3"/>
    <w:rsid w:val="1CB3587E"/>
    <w:rsid w:val="1CBA110E"/>
    <w:rsid w:val="1CC2663D"/>
    <w:rsid w:val="1CCC06EE"/>
    <w:rsid w:val="1CE639D2"/>
    <w:rsid w:val="1CF265A0"/>
    <w:rsid w:val="1D115E29"/>
    <w:rsid w:val="1D140AB8"/>
    <w:rsid w:val="1D1F1166"/>
    <w:rsid w:val="1D27172A"/>
    <w:rsid w:val="1D2862E9"/>
    <w:rsid w:val="1D3C30D1"/>
    <w:rsid w:val="1D434E54"/>
    <w:rsid w:val="1D521D2C"/>
    <w:rsid w:val="1D566226"/>
    <w:rsid w:val="1D691539"/>
    <w:rsid w:val="1D6F1920"/>
    <w:rsid w:val="1D81538E"/>
    <w:rsid w:val="1D9D4FAA"/>
    <w:rsid w:val="1D9E02DC"/>
    <w:rsid w:val="1D9F2498"/>
    <w:rsid w:val="1DA219E6"/>
    <w:rsid w:val="1DB42231"/>
    <w:rsid w:val="1DB93368"/>
    <w:rsid w:val="1DC22991"/>
    <w:rsid w:val="1DD60A87"/>
    <w:rsid w:val="1DD65CD6"/>
    <w:rsid w:val="1DD957B9"/>
    <w:rsid w:val="1DDC31B9"/>
    <w:rsid w:val="1DE63A32"/>
    <w:rsid w:val="1DE859FC"/>
    <w:rsid w:val="1E182BDB"/>
    <w:rsid w:val="1E2C1132"/>
    <w:rsid w:val="1E3D5D47"/>
    <w:rsid w:val="1E6E78D9"/>
    <w:rsid w:val="1E734915"/>
    <w:rsid w:val="1E826471"/>
    <w:rsid w:val="1E854FF8"/>
    <w:rsid w:val="1E8B2D06"/>
    <w:rsid w:val="1EA840ED"/>
    <w:rsid w:val="1EA84CB4"/>
    <w:rsid w:val="1EB40ACE"/>
    <w:rsid w:val="1ED65854"/>
    <w:rsid w:val="1EE41E78"/>
    <w:rsid w:val="1EEC0D97"/>
    <w:rsid w:val="1EF93D41"/>
    <w:rsid w:val="1EF957EE"/>
    <w:rsid w:val="1EFC2AB8"/>
    <w:rsid w:val="1F0A0DCC"/>
    <w:rsid w:val="1F0B3750"/>
    <w:rsid w:val="1F1A2762"/>
    <w:rsid w:val="1F2962CC"/>
    <w:rsid w:val="1F330EF8"/>
    <w:rsid w:val="1F3C3405"/>
    <w:rsid w:val="1F645556"/>
    <w:rsid w:val="1F8A4FBC"/>
    <w:rsid w:val="1F9A4179"/>
    <w:rsid w:val="1FAD2A59"/>
    <w:rsid w:val="1FB1746F"/>
    <w:rsid w:val="1FB23EBD"/>
    <w:rsid w:val="1FC972E1"/>
    <w:rsid w:val="1FE60671"/>
    <w:rsid w:val="1FE86622"/>
    <w:rsid w:val="1FF30CDD"/>
    <w:rsid w:val="1FFC11CE"/>
    <w:rsid w:val="20093DC9"/>
    <w:rsid w:val="20196185"/>
    <w:rsid w:val="20320B24"/>
    <w:rsid w:val="20323015"/>
    <w:rsid w:val="20395206"/>
    <w:rsid w:val="20716B03"/>
    <w:rsid w:val="2079162E"/>
    <w:rsid w:val="20796945"/>
    <w:rsid w:val="207A5BE5"/>
    <w:rsid w:val="207D68CF"/>
    <w:rsid w:val="20847FC3"/>
    <w:rsid w:val="208748B8"/>
    <w:rsid w:val="20880987"/>
    <w:rsid w:val="20895274"/>
    <w:rsid w:val="20A1609D"/>
    <w:rsid w:val="20AF1C0B"/>
    <w:rsid w:val="20B533DE"/>
    <w:rsid w:val="20C42EDB"/>
    <w:rsid w:val="20F339D5"/>
    <w:rsid w:val="20F841A8"/>
    <w:rsid w:val="21093CBF"/>
    <w:rsid w:val="210E2568"/>
    <w:rsid w:val="2112289A"/>
    <w:rsid w:val="214554F1"/>
    <w:rsid w:val="215D78B5"/>
    <w:rsid w:val="21724245"/>
    <w:rsid w:val="21860956"/>
    <w:rsid w:val="21AB746C"/>
    <w:rsid w:val="21AD0AEE"/>
    <w:rsid w:val="21AE4866"/>
    <w:rsid w:val="21BA145D"/>
    <w:rsid w:val="21BC7EFF"/>
    <w:rsid w:val="21C30312"/>
    <w:rsid w:val="21CB18BC"/>
    <w:rsid w:val="21D06A59"/>
    <w:rsid w:val="21E737C5"/>
    <w:rsid w:val="21F15CAB"/>
    <w:rsid w:val="21F57567"/>
    <w:rsid w:val="21F815D9"/>
    <w:rsid w:val="22043333"/>
    <w:rsid w:val="2208666C"/>
    <w:rsid w:val="220971A2"/>
    <w:rsid w:val="221B6999"/>
    <w:rsid w:val="2231197C"/>
    <w:rsid w:val="22474405"/>
    <w:rsid w:val="224F5274"/>
    <w:rsid w:val="225673D8"/>
    <w:rsid w:val="225A6F68"/>
    <w:rsid w:val="22625D7D"/>
    <w:rsid w:val="2266779C"/>
    <w:rsid w:val="229D5007"/>
    <w:rsid w:val="22CA3380"/>
    <w:rsid w:val="22CF2C5F"/>
    <w:rsid w:val="22D31038"/>
    <w:rsid w:val="22F230DB"/>
    <w:rsid w:val="22F93A38"/>
    <w:rsid w:val="22FA6EF2"/>
    <w:rsid w:val="22FB1D2D"/>
    <w:rsid w:val="23073B84"/>
    <w:rsid w:val="23163BA0"/>
    <w:rsid w:val="231E65F2"/>
    <w:rsid w:val="232E69DD"/>
    <w:rsid w:val="23354A49"/>
    <w:rsid w:val="233D5EA2"/>
    <w:rsid w:val="23506DA2"/>
    <w:rsid w:val="23517B9F"/>
    <w:rsid w:val="23635D2D"/>
    <w:rsid w:val="238272F9"/>
    <w:rsid w:val="238E059D"/>
    <w:rsid w:val="239301B8"/>
    <w:rsid w:val="23AB32AB"/>
    <w:rsid w:val="23B109AB"/>
    <w:rsid w:val="23C358BC"/>
    <w:rsid w:val="23D700A4"/>
    <w:rsid w:val="23D74548"/>
    <w:rsid w:val="23DB1CCF"/>
    <w:rsid w:val="23E23D8E"/>
    <w:rsid w:val="23E52AFE"/>
    <w:rsid w:val="23FE7D27"/>
    <w:rsid w:val="242F044A"/>
    <w:rsid w:val="24521E21"/>
    <w:rsid w:val="246C73F8"/>
    <w:rsid w:val="24873565"/>
    <w:rsid w:val="248E4C19"/>
    <w:rsid w:val="249B1BB9"/>
    <w:rsid w:val="24B16B47"/>
    <w:rsid w:val="24B3327E"/>
    <w:rsid w:val="24BC729A"/>
    <w:rsid w:val="24CA3B50"/>
    <w:rsid w:val="24EC414F"/>
    <w:rsid w:val="24F949E9"/>
    <w:rsid w:val="25162E4E"/>
    <w:rsid w:val="252C60FC"/>
    <w:rsid w:val="253E5DD7"/>
    <w:rsid w:val="25472CE1"/>
    <w:rsid w:val="255816B9"/>
    <w:rsid w:val="255F2022"/>
    <w:rsid w:val="2567355B"/>
    <w:rsid w:val="256A5229"/>
    <w:rsid w:val="25700B18"/>
    <w:rsid w:val="2572277A"/>
    <w:rsid w:val="257B04AA"/>
    <w:rsid w:val="257D2D5F"/>
    <w:rsid w:val="2580476C"/>
    <w:rsid w:val="258162A8"/>
    <w:rsid w:val="25844589"/>
    <w:rsid w:val="25A466AC"/>
    <w:rsid w:val="25A8251E"/>
    <w:rsid w:val="25C70488"/>
    <w:rsid w:val="25C805E7"/>
    <w:rsid w:val="25D75E81"/>
    <w:rsid w:val="25D80104"/>
    <w:rsid w:val="25E140B7"/>
    <w:rsid w:val="25E36D0A"/>
    <w:rsid w:val="25F25669"/>
    <w:rsid w:val="25FE689B"/>
    <w:rsid w:val="26323CB8"/>
    <w:rsid w:val="263A1C19"/>
    <w:rsid w:val="263C68E5"/>
    <w:rsid w:val="263E265D"/>
    <w:rsid w:val="264B4B51"/>
    <w:rsid w:val="265F00CA"/>
    <w:rsid w:val="2662548D"/>
    <w:rsid w:val="2663305C"/>
    <w:rsid w:val="266F74A1"/>
    <w:rsid w:val="2674607E"/>
    <w:rsid w:val="26860465"/>
    <w:rsid w:val="269B185D"/>
    <w:rsid w:val="269B2CFD"/>
    <w:rsid w:val="26A239DF"/>
    <w:rsid w:val="26AE02C0"/>
    <w:rsid w:val="26AF1E12"/>
    <w:rsid w:val="26C30F80"/>
    <w:rsid w:val="26CA0394"/>
    <w:rsid w:val="26CE3C37"/>
    <w:rsid w:val="26D0702D"/>
    <w:rsid w:val="26D73578"/>
    <w:rsid w:val="26DB7370"/>
    <w:rsid w:val="26DC4AAD"/>
    <w:rsid w:val="271943E3"/>
    <w:rsid w:val="271A1D00"/>
    <w:rsid w:val="27220A86"/>
    <w:rsid w:val="272452DB"/>
    <w:rsid w:val="272B79BF"/>
    <w:rsid w:val="27343A60"/>
    <w:rsid w:val="27427F2B"/>
    <w:rsid w:val="27483067"/>
    <w:rsid w:val="275830FA"/>
    <w:rsid w:val="277852DF"/>
    <w:rsid w:val="27870033"/>
    <w:rsid w:val="27871F1F"/>
    <w:rsid w:val="27A42993"/>
    <w:rsid w:val="27A6495D"/>
    <w:rsid w:val="27B30B0F"/>
    <w:rsid w:val="27CA3AAD"/>
    <w:rsid w:val="27E8253D"/>
    <w:rsid w:val="27EB6814"/>
    <w:rsid w:val="27FB77E0"/>
    <w:rsid w:val="28053F6B"/>
    <w:rsid w:val="28133675"/>
    <w:rsid w:val="28196BA2"/>
    <w:rsid w:val="2831714D"/>
    <w:rsid w:val="283735AB"/>
    <w:rsid w:val="2837500E"/>
    <w:rsid w:val="28377363"/>
    <w:rsid w:val="283F090E"/>
    <w:rsid w:val="2841259C"/>
    <w:rsid w:val="28491939"/>
    <w:rsid w:val="284B5D3B"/>
    <w:rsid w:val="284E0B51"/>
    <w:rsid w:val="286502FC"/>
    <w:rsid w:val="28700291"/>
    <w:rsid w:val="28700AC7"/>
    <w:rsid w:val="287265EE"/>
    <w:rsid w:val="2874400B"/>
    <w:rsid w:val="287D6D31"/>
    <w:rsid w:val="28832658"/>
    <w:rsid w:val="288B76AF"/>
    <w:rsid w:val="28A8711C"/>
    <w:rsid w:val="28C3509B"/>
    <w:rsid w:val="28C36B3B"/>
    <w:rsid w:val="28DB6155"/>
    <w:rsid w:val="28F233AF"/>
    <w:rsid w:val="290221E5"/>
    <w:rsid w:val="290B0520"/>
    <w:rsid w:val="29114058"/>
    <w:rsid w:val="29121A71"/>
    <w:rsid w:val="29245CA8"/>
    <w:rsid w:val="293715E5"/>
    <w:rsid w:val="295470C2"/>
    <w:rsid w:val="29607934"/>
    <w:rsid w:val="29755D95"/>
    <w:rsid w:val="299060E2"/>
    <w:rsid w:val="29963B3D"/>
    <w:rsid w:val="299F184B"/>
    <w:rsid w:val="29AE6BF1"/>
    <w:rsid w:val="29BF7935"/>
    <w:rsid w:val="29C10541"/>
    <w:rsid w:val="29CE6F34"/>
    <w:rsid w:val="29DF77F4"/>
    <w:rsid w:val="29E722D1"/>
    <w:rsid w:val="29E7300B"/>
    <w:rsid w:val="29FB4465"/>
    <w:rsid w:val="2A0D63FD"/>
    <w:rsid w:val="2A166AF2"/>
    <w:rsid w:val="2A200A49"/>
    <w:rsid w:val="2A282378"/>
    <w:rsid w:val="2A2F71C5"/>
    <w:rsid w:val="2A3F5185"/>
    <w:rsid w:val="2A497A11"/>
    <w:rsid w:val="2A5D3C78"/>
    <w:rsid w:val="2A5F2BA2"/>
    <w:rsid w:val="2A6578AF"/>
    <w:rsid w:val="2A69066B"/>
    <w:rsid w:val="2A874287"/>
    <w:rsid w:val="2A8A058C"/>
    <w:rsid w:val="2A8E1129"/>
    <w:rsid w:val="2AA016B4"/>
    <w:rsid w:val="2ABB766D"/>
    <w:rsid w:val="2AC42941"/>
    <w:rsid w:val="2AD1519C"/>
    <w:rsid w:val="2AE207F0"/>
    <w:rsid w:val="2AFB6D6E"/>
    <w:rsid w:val="2B071F6C"/>
    <w:rsid w:val="2B231E21"/>
    <w:rsid w:val="2B37048F"/>
    <w:rsid w:val="2B4104F9"/>
    <w:rsid w:val="2B42542B"/>
    <w:rsid w:val="2B706FDF"/>
    <w:rsid w:val="2B717030"/>
    <w:rsid w:val="2B8C179C"/>
    <w:rsid w:val="2BC30558"/>
    <w:rsid w:val="2BE66EBF"/>
    <w:rsid w:val="2BE829BE"/>
    <w:rsid w:val="2BEB112B"/>
    <w:rsid w:val="2BF923C7"/>
    <w:rsid w:val="2C0D1E81"/>
    <w:rsid w:val="2C136339"/>
    <w:rsid w:val="2C245E51"/>
    <w:rsid w:val="2C340A16"/>
    <w:rsid w:val="2C3A1B18"/>
    <w:rsid w:val="2C451D2D"/>
    <w:rsid w:val="2C490A1E"/>
    <w:rsid w:val="2C552A7E"/>
    <w:rsid w:val="2C841260"/>
    <w:rsid w:val="2CA46F92"/>
    <w:rsid w:val="2CA62D0A"/>
    <w:rsid w:val="2CB256D4"/>
    <w:rsid w:val="2CB3185C"/>
    <w:rsid w:val="2CC80D03"/>
    <w:rsid w:val="2CC910E4"/>
    <w:rsid w:val="2CCD473A"/>
    <w:rsid w:val="2D157E8F"/>
    <w:rsid w:val="2D1F6E84"/>
    <w:rsid w:val="2D246816"/>
    <w:rsid w:val="2D2B5C12"/>
    <w:rsid w:val="2D2E54AB"/>
    <w:rsid w:val="2D4764C4"/>
    <w:rsid w:val="2D502B98"/>
    <w:rsid w:val="2D537265"/>
    <w:rsid w:val="2D67353E"/>
    <w:rsid w:val="2D6F3A37"/>
    <w:rsid w:val="2D745656"/>
    <w:rsid w:val="2D7F546D"/>
    <w:rsid w:val="2DA74F8B"/>
    <w:rsid w:val="2DB068A4"/>
    <w:rsid w:val="2DB41456"/>
    <w:rsid w:val="2DB8067B"/>
    <w:rsid w:val="2DC2737B"/>
    <w:rsid w:val="2DC37E3A"/>
    <w:rsid w:val="2DC512A6"/>
    <w:rsid w:val="2DC554E9"/>
    <w:rsid w:val="2DD27314"/>
    <w:rsid w:val="2DE5690F"/>
    <w:rsid w:val="2DF126AA"/>
    <w:rsid w:val="2E0F2B31"/>
    <w:rsid w:val="2E220013"/>
    <w:rsid w:val="2E24482E"/>
    <w:rsid w:val="2E341EA9"/>
    <w:rsid w:val="2E3E08AA"/>
    <w:rsid w:val="2E491D03"/>
    <w:rsid w:val="2E531A5C"/>
    <w:rsid w:val="2E99606A"/>
    <w:rsid w:val="2EBA782B"/>
    <w:rsid w:val="2ED973C6"/>
    <w:rsid w:val="2F002F08"/>
    <w:rsid w:val="2F0D7070"/>
    <w:rsid w:val="2F2820FC"/>
    <w:rsid w:val="2F342090"/>
    <w:rsid w:val="2F3842D0"/>
    <w:rsid w:val="2F39089A"/>
    <w:rsid w:val="2F4444AA"/>
    <w:rsid w:val="2F4E74ED"/>
    <w:rsid w:val="2F4F58DB"/>
    <w:rsid w:val="2F65799B"/>
    <w:rsid w:val="2F6603DD"/>
    <w:rsid w:val="2F6A3AD5"/>
    <w:rsid w:val="2F6A4225"/>
    <w:rsid w:val="2F6D39A0"/>
    <w:rsid w:val="2F835584"/>
    <w:rsid w:val="2F934B77"/>
    <w:rsid w:val="2F9618AF"/>
    <w:rsid w:val="2FA01C92"/>
    <w:rsid w:val="2FA1150E"/>
    <w:rsid w:val="2FA20154"/>
    <w:rsid w:val="2FB01D49"/>
    <w:rsid w:val="2FB7670C"/>
    <w:rsid w:val="2FDD6284"/>
    <w:rsid w:val="2FE87B2B"/>
    <w:rsid w:val="2FFA3A98"/>
    <w:rsid w:val="301601A6"/>
    <w:rsid w:val="30201025"/>
    <w:rsid w:val="303074BA"/>
    <w:rsid w:val="303D65B7"/>
    <w:rsid w:val="305F7D9F"/>
    <w:rsid w:val="307A5E32"/>
    <w:rsid w:val="30962E36"/>
    <w:rsid w:val="30AB4F67"/>
    <w:rsid w:val="30BD0622"/>
    <w:rsid w:val="30C47844"/>
    <w:rsid w:val="30C96FC7"/>
    <w:rsid w:val="30D22676"/>
    <w:rsid w:val="30D5423F"/>
    <w:rsid w:val="30DA0C79"/>
    <w:rsid w:val="30E82DA0"/>
    <w:rsid w:val="30ED3FAC"/>
    <w:rsid w:val="3102072B"/>
    <w:rsid w:val="31250BEA"/>
    <w:rsid w:val="31390688"/>
    <w:rsid w:val="313B224A"/>
    <w:rsid w:val="313B4368"/>
    <w:rsid w:val="31413001"/>
    <w:rsid w:val="3154664E"/>
    <w:rsid w:val="31556AAC"/>
    <w:rsid w:val="315F2C9D"/>
    <w:rsid w:val="31707702"/>
    <w:rsid w:val="3191216B"/>
    <w:rsid w:val="31961F6A"/>
    <w:rsid w:val="319B66E5"/>
    <w:rsid w:val="319D0C7E"/>
    <w:rsid w:val="31C00377"/>
    <w:rsid w:val="31DB0877"/>
    <w:rsid w:val="31DF543A"/>
    <w:rsid w:val="32002EBC"/>
    <w:rsid w:val="32033CC3"/>
    <w:rsid w:val="32195D2C"/>
    <w:rsid w:val="321C5303"/>
    <w:rsid w:val="32311090"/>
    <w:rsid w:val="326A2DAA"/>
    <w:rsid w:val="327C70B3"/>
    <w:rsid w:val="327F7178"/>
    <w:rsid w:val="328238D1"/>
    <w:rsid w:val="32B2402B"/>
    <w:rsid w:val="32BB41D7"/>
    <w:rsid w:val="32C456B4"/>
    <w:rsid w:val="32E3105D"/>
    <w:rsid w:val="32EB76C8"/>
    <w:rsid w:val="32F522F5"/>
    <w:rsid w:val="32FF131C"/>
    <w:rsid w:val="3309629A"/>
    <w:rsid w:val="330C5891"/>
    <w:rsid w:val="33315457"/>
    <w:rsid w:val="335339DB"/>
    <w:rsid w:val="335E62EA"/>
    <w:rsid w:val="33694A91"/>
    <w:rsid w:val="33707BCD"/>
    <w:rsid w:val="337F1FD8"/>
    <w:rsid w:val="338213DC"/>
    <w:rsid w:val="33894E79"/>
    <w:rsid w:val="338C3EE8"/>
    <w:rsid w:val="339660D5"/>
    <w:rsid w:val="33A1422B"/>
    <w:rsid w:val="33A930DF"/>
    <w:rsid w:val="33AB50A9"/>
    <w:rsid w:val="33CA6491"/>
    <w:rsid w:val="33D76C41"/>
    <w:rsid w:val="33D7791C"/>
    <w:rsid w:val="33EB36F8"/>
    <w:rsid w:val="33EC3772"/>
    <w:rsid w:val="33F1420C"/>
    <w:rsid w:val="33FE02F2"/>
    <w:rsid w:val="34120085"/>
    <w:rsid w:val="345C0152"/>
    <w:rsid w:val="3464003A"/>
    <w:rsid w:val="34670FD0"/>
    <w:rsid w:val="34A937EC"/>
    <w:rsid w:val="34BB30CA"/>
    <w:rsid w:val="34C226AB"/>
    <w:rsid w:val="34C65A88"/>
    <w:rsid w:val="34CF5BF4"/>
    <w:rsid w:val="34F85BB4"/>
    <w:rsid w:val="35036C92"/>
    <w:rsid w:val="350B5A89"/>
    <w:rsid w:val="35103BA2"/>
    <w:rsid w:val="351D31E2"/>
    <w:rsid w:val="355A36A5"/>
    <w:rsid w:val="355B0912"/>
    <w:rsid w:val="355C70DC"/>
    <w:rsid w:val="355F7EFA"/>
    <w:rsid w:val="356A0E22"/>
    <w:rsid w:val="3572477E"/>
    <w:rsid w:val="357F67EE"/>
    <w:rsid w:val="35814F3A"/>
    <w:rsid w:val="35831E3A"/>
    <w:rsid w:val="35926521"/>
    <w:rsid w:val="35C2600C"/>
    <w:rsid w:val="35C54B38"/>
    <w:rsid w:val="35CB1A33"/>
    <w:rsid w:val="35D96274"/>
    <w:rsid w:val="361C222A"/>
    <w:rsid w:val="36255478"/>
    <w:rsid w:val="363A47F1"/>
    <w:rsid w:val="36417483"/>
    <w:rsid w:val="3651018A"/>
    <w:rsid w:val="36575075"/>
    <w:rsid w:val="36740BC7"/>
    <w:rsid w:val="36761165"/>
    <w:rsid w:val="36826596"/>
    <w:rsid w:val="369577EC"/>
    <w:rsid w:val="36A15218"/>
    <w:rsid w:val="36DA3283"/>
    <w:rsid w:val="36DB2FA7"/>
    <w:rsid w:val="36E7289C"/>
    <w:rsid w:val="36F44886"/>
    <w:rsid w:val="36FD16F9"/>
    <w:rsid w:val="370167AA"/>
    <w:rsid w:val="37101ABC"/>
    <w:rsid w:val="37103BA1"/>
    <w:rsid w:val="37165DA2"/>
    <w:rsid w:val="371B60A2"/>
    <w:rsid w:val="372917DA"/>
    <w:rsid w:val="372E4412"/>
    <w:rsid w:val="3747039B"/>
    <w:rsid w:val="3756532C"/>
    <w:rsid w:val="375D490D"/>
    <w:rsid w:val="376828FD"/>
    <w:rsid w:val="376B527C"/>
    <w:rsid w:val="377B051A"/>
    <w:rsid w:val="377D4444"/>
    <w:rsid w:val="37824373"/>
    <w:rsid w:val="37857677"/>
    <w:rsid w:val="37902EA0"/>
    <w:rsid w:val="37A4253C"/>
    <w:rsid w:val="37AB1B1C"/>
    <w:rsid w:val="37B02DD2"/>
    <w:rsid w:val="37B87282"/>
    <w:rsid w:val="37C355F3"/>
    <w:rsid w:val="37CB2F2C"/>
    <w:rsid w:val="37CB3726"/>
    <w:rsid w:val="37D07C62"/>
    <w:rsid w:val="37D72911"/>
    <w:rsid w:val="37F232A7"/>
    <w:rsid w:val="37F478E3"/>
    <w:rsid w:val="38110938"/>
    <w:rsid w:val="38203E3A"/>
    <w:rsid w:val="38382FE4"/>
    <w:rsid w:val="384C6E5B"/>
    <w:rsid w:val="38613F89"/>
    <w:rsid w:val="386C48CC"/>
    <w:rsid w:val="386F6574"/>
    <w:rsid w:val="388451B5"/>
    <w:rsid w:val="38871C41"/>
    <w:rsid w:val="38882795"/>
    <w:rsid w:val="389A3076"/>
    <w:rsid w:val="38A851D7"/>
    <w:rsid w:val="38AD71CE"/>
    <w:rsid w:val="38B85950"/>
    <w:rsid w:val="38B90269"/>
    <w:rsid w:val="38C075B5"/>
    <w:rsid w:val="38C40174"/>
    <w:rsid w:val="38E52E0C"/>
    <w:rsid w:val="38F244D2"/>
    <w:rsid w:val="392E6561"/>
    <w:rsid w:val="393322E5"/>
    <w:rsid w:val="39340F38"/>
    <w:rsid w:val="39355B41"/>
    <w:rsid w:val="393C6D8D"/>
    <w:rsid w:val="39455658"/>
    <w:rsid w:val="3962445C"/>
    <w:rsid w:val="396F77FA"/>
    <w:rsid w:val="39706F18"/>
    <w:rsid w:val="39836C73"/>
    <w:rsid w:val="39930ABA"/>
    <w:rsid w:val="399C64C0"/>
    <w:rsid w:val="39AB5AD8"/>
    <w:rsid w:val="39C72967"/>
    <w:rsid w:val="39CF5E3B"/>
    <w:rsid w:val="39E9149C"/>
    <w:rsid w:val="39F3557E"/>
    <w:rsid w:val="39F87C7A"/>
    <w:rsid w:val="3A032486"/>
    <w:rsid w:val="3A191B12"/>
    <w:rsid w:val="3A226CDF"/>
    <w:rsid w:val="3A230C04"/>
    <w:rsid w:val="3A2B3BE2"/>
    <w:rsid w:val="3A2B484E"/>
    <w:rsid w:val="3A2B5783"/>
    <w:rsid w:val="3A3810E4"/>
    <w:rsid w:val="3A427249"/>
    <w:rsid w:val="3A4575FB"/>
    <w:rsid w:val="3A540832"/>
    <w:rsid w:val="3A541E38"/>
    <w:rsid w:val="3A6942C6"/>
    <w:rsid w:val="3A790053"/>
    <w:rsid w:val="3A7D77A0"/>
    <w:rsid w:val="3A875051"/>
    <w:rsid w:val="3A9B4A13"/>
    <w:rsid w:val="3AA53657"/>
    <w:rsid w:val="3ADD581A"/>
    <w:rsid w:val="3AED4F92"/>
    <w:rsid w:val="3AFB2473"/>
    <w:rsid w:val="3B2871F3"/>
    <w:rsid w:val="3B344B91"/>
    <w:rsid w:val="3B4227FB"/>
    <w:rsid w:val="3B427FC2"/>
    <w:rsid w:val="3B5B77A3"/>
    <w:rsid w:val="3B5D236E"/>
    <w:rsid w:val="3B6224F2"/>
    <w:rsid w:val="3B707B20"/>
    <w:rsid w:val="3B7D557D"/>
    <w:rsid w:val="3B987078"/>
    <w:rsid w:val="3BA2417D"/>
    <w:rsid w:val="3BA527DC"/>
    <w:rsid w:val="3BBA40DC"/>
    <w:rsid w:val="3BBB3951"/>
    <w:rsid w:val="3BCF235B"/>
    <w:rsid w:val="3BD07258"/>
    <w:rsid w:val="3BE4213F"/>
    <w:rsid w:val="3BE762BA"/>
    <w:rsid w:val="3BFA4E20"/>
    <w:rsid w:val="3C2052F0"/>
    <w:rsid w:val="3C261162"/>
    <w:rsid w:val="3C552056"/>
    <w:rsid w:val="3C5C0DD3"/>
    <w:rsid w:val="3C6504EB"/>
    <w:rsid w:val="3C6978B0"/>
    <w:rsid w:val="3C7602B4"/>
    <w:rsid w:val="3C8B5A78"/>
    <w:rsid w:val="3C8D3185"/>
    <w:rsid w:val="3CB00FF7"/>
    <w:rsid w:val="3CBB635D"/>
    <w:rsid w:val="3CCD6CD5"/>
    <w:rsid w:val="3CD47869"/>
    <w:rsid w:val="3CEB6417"/>
    <w:rsid w:val="3CEF24AB"/>
    <w:rsid w:val="3CF278A5"/>
    <w:rsid w:val="3CFA6C64"/>
    <w:rsid w:val="3CFF29E0"/>
    <w:rsid w:val="3D1E68EC"/>
    <w:rsid w:val="3D2D6D30"/>
    <w:rsid w:val="3D3E1119"/>
    <w:rsid w:val="3D472FE2"/>
    <w:rsid w:val="3D5B369C"/>
    <w:rsid w:val="3D5E173A"/>
    <w:rsid w:val="3D724C79"/>
    <w:rsid w:val="3D733964"/>
    <w:rsid w:val="3D89020A"/>
    <w:rsid w:val="3DA6700D"/>
    <w:rsid w:val="3DDB48AE"/>
    <w:rsid w:val="3DE9514C"/>
    <w:rsid w:val="3DFD1787"/>
    <w:rsid w:val="3E36060F"/>
    <w:rsid w:val="3E416D36"/>
    <w:rsid w:val="3E42660A"/>
    <w:rsid w:val="3E730435"/>
    <w:rsid w:val="3E834C59"/>
    <w:rsid w:val="3E900148"/>
    <w:rsid w:val="3EB8361A"/>
    <w:rsid w:val="3EBC24F5"/>
    <w:rsid w:val="3ED656D0"/>
    <w:rsid w:val="3ED7183C"/>
    <w:rsid w:val="3EDF29A1"/>
    <w:rsid w:val="3EEF7309"/>
    <w:rsid w:val="3F161D48"/>
    <w:rsid w:val="3F21448F"/>
    <w:rsid w:val="3F3348D1"/>
    <w:rsid w:val="3F362F75"/>
    <w:rsid w:val="3F397A0D"/>
    <w:rsid w:val="3F3E5024"/>
    <w:rsid w:val="3F47212A"/>
    <w:rsid w:val="3F4831D6"/>
    <w:rsid w:val="3F501870"/>
    <w:rsid w:val="3F562694"/>
    <w:rsid w:val="3F6D02CB"/>
    <w:rsid w:val="3F7659E2"/>
    <w:rsid w:val="3F781418"/>
    <w:rsid w:val="3F7B6278"/>
    <w:rsid w:val="3F8F687A"/>
    <w:rsid w:val="3F9703A6"/>
    <w:rsid w:val="3F9F717B"/>
    <w:rsid w:val="3FA118A5"/>
    <w:rsid w:val="3FAC01DF"/>
    <w:rsid w:val="3FCD382F"/>
    <w:rsid w:val="3FD054C6"/>
    <w:rsid w:val="3FD26A55"/>
    <w:rsid w:val="3FDD61E6"/>
    <w:rsid w:val="3FEF22C5"/>
    <w:rsid w:val="3FFD0A3B"/>
    <w:rsid w:val="401D3588"/>
    <w:rsid w:val="40382492"/>
    <w:rsid w:val="403E177F"/>
    <w:rsid w:val="404212A3"/>
    <w:rsid w:val="40423687"/>
    <w:rsid w:val="405A5C50"/>
    <w:rsid w:val="40760B19"/>
    <w:rsid w:val="40962469"/>
    <w:rsid w:val="40A25301"/>
    <w:rsid w:val="40AE4D0F"/>
    <w:rsid w:val="40CB0B39"/>
    <w:rsid w:val="40CB294D"/>
    <w:rsid w:val="40D72FB1"/>
    <w:rsid w:val="40E1210B"/>
    <w:rsid w:val="41164652"/>
    <w:rsid w:val="41384420"/>
    <w:rsid w:val="41391F47"/>
    <w:rsid w:val="413A47B1"/>
    <w:rsid w:val="41477312"/>
    <w:rsid w:val="4148332F"/>
    <w:rsid w:val="414F3518"/>
    <w:rsid w:val="41507295"/>
    <w:rsid w:val="415B3C6B"/>
    <w:rsid w:val="41C21F3C"/>
    <w:rsid w:val="41D405D7"/>
    <w:rsid w:val="41E53E7C"/>
    <w:rsid w:val="41EC1ECC"/>
    <w:rsid w:val="42092376"/>
    <w:rsid w:val="421655DC"/>
    <w:rsid w:val="4226793E"/>
    <w:rsid w:val="423544BC"/>
    <w:rsid w:val="42354608"/>
    <w:rsid w:val="4264647B"/>
    <w:rsid w:val="427E6271"/>
    <w:rsid w:val="42825EA5"/>
    <w:rsid w:val="428A301F"/>
    <w:rsid w:val="42D32CE3"/>
    <w:rsid w:val="42D84B29"/>
    <w:rsid w:val="42E421CA"/>
    <w:rsid w:val="42F010F1"/>
    <w:rsid w:val="42F91C42"/>
    <w:rsid w:val="43110FF2"/>
    <w:rsid w:val="431307A8"/>
    <w:rsid w:val="43195B8C"/>
    <w:rsid w:val="431E7200"/>
    <w:rsid w:val="43206370"/>
    <w:rsid w:val="43264940"/>
    <w:rsid w:val="43363706"/>
    <w:rsid w:val="433D29B0"/>
    <w:rsid w:val="43496D52"/>
    <w:rsid w:val="435B21ED"/>
    <w:rsid w:val="43686B13"/>
    <w:rsid w:val="43691BCF"/>
    <w:rsid w:val="43696E6D"/>
    <w:rsid w:val="4369773A"/>
    <w:rsid w:val="43760D68"/>
    <w:rsid w:val="439F481E"/>
    <w:rsid w:val="43A50A47"/>
    <w:rsid w:val="43AD4526"/>
    <w:rsid w:val="43BA29DA"/>
    <w:rsid w:val="43BE4985"/>
    <w:rsid w:val="43C4749D"/>
    <w:rsid w:val="43DF7007"/>
    <w:rsid w:val="43FC0699"/>
    <w:rsid w:val="44002A86"/>
    <w:rsid w:val="44004F9E"/>
    <w:rsid w:val="44047066"/>
    <w:rsid w:val="44072815"/>
    <w:rsid w:val="441E71AF"/>
    <w:rsid w:val="443E1151"/>
    <w:rsid w:val="443E7B98"/>
    <w:rsid w:val="44501DEF"/>
    <w:rsid w:val="445C56FF"/>
    <w:rsid w:val="44682E92"/>
    <w:rsid w:val="446B31F6"/>
    <w:rsid w:val="44711D77"/>
    <w:rsid w:val="447269D6"/>
    <w:rsid w:val="44727C49"/>
    <w:rsid w:val="44733D16"/>
    <w:rsid w:val="4473655F"/>
    <w:rsid w:val="447D65EE"/>
    <w:rsid w:val="447F2366"/>
    <w:rsid w:val="4486114D"/>
    <w:rsid w:val="448919A2"/>
    <w:rsid w:val="449A4F15"/>
    <w:rsid w:val="449D0AF2"/>
    <w:rsid w:val="44A54698"/>
    <w:rsid w:val="44B7697D"/>
    <w:rsid w:val="44B9372F"/>
    <w:rsid w:val="44C41BAF"/>
    <w:rsid w:val="44CD57B2"/>
    <w:rsid w:val="44CE2594"/>
    <w:rsid w:val="44CE7AD5"/>
    <w:rsid w:val="450176F0"/>
    <w:rsid w:val="45107462"/>
    <w:rsid w:val="45366C08"/>
    <w:rsid w:val="454454F1"/>
    <w:rsid w:val="45544C05"/>
    <w:rsid w:val="45637419"/>
    <w:rsid w:val="45647C5E"/>
    <w:rsid w:val="456D5FEC"/>
    <w:rsid w:val="456F5CA5"/>
    <w:rsid w:val="4585213E"/>
    <w:rsid w:val="45945924"/>
    <w:rsid w:val="45992FB4"/>
    <w:rsid w:val="45A656D1"/>
    <w:rsid w:val="45A73834"/>
    <w:rsid w:val="45B026DA"/>
    <w:rsid w:val="45BB3B86"/>
    <w:rsid w:val="45D7094F"/>
    <w:rsid w:val="46004DE1"/>
    <w:rsid w:val="46105756"/>
    <w:rsid w:val="46155B08"/>
    <w:rsid w:val="46216086"/>
    <w:rsid w:val="46254C85"/>
    <w:rsid w:val="463D6035"/>
    <w:rsid w:val="4648164C"/>
    <w:rsid w:val="464B1B2F"/>
    <w:rsid w:val="465503CA"/>
    <w:rsid w:val="465A0995"/>
    <w:rsid w:val="465F4FD9"/>
    <w:rsid w:val="466C34CF"/>
    <w:rsid w:val="466F3B42"/>
    <w:rsid w:val="467B35BD"/>
    <w:rsid w:val="46810B28"/>
    <w:rsid w:val="468C0E3A"/>
    <w:rsid w:val="46B45763"/>
    <w:rsid w:val="46B7185D"/>
    <w:rsid w:val="46BB3379"/>
    <w:rsid w:val="46E84E16"/>
    <w:rsid w:val="46E97F6B"/>
    <w:rsid w:val="46F4629F"/>
    <w:rsid w:val="46FA4322"/>
    <w:rsid w:val="47071753"/>
    <w:rsid w:val="4723522B"/>
    <w:rsid w:val="47247248"/>
    <w:rsid w:val="47270F9A"/>
    <w:rsid w:val="473A7830"/>
    <w:rsid w:val="47423355"/>
    <w:rsid w:val="47431429"/>
    <w:rsid w:val="474451A1"/>
    <w:rsid w:val="47452A0A"/>
    <w:rsid w:val="47514501"/>
    <w:rsid w:val="475C2A97"/>
    <w:rsid w:val="47615EF9"/>
    <w:rsid w:val="476F0470"/>
    <w:rsid w:val="477A4278"/>
    <w:rsid w:val="477A68EB"/>
    <w:rsid w:val="479E2E44"/>
    <w:rsid w:val="47AA05D4"/>
    <w:rsid w:val="47BC55A6"/>
    <w:rsid w:val="47C577F2"/>
    <w:rsid w:val="47CA42A2"/>
    <w:rsid w:val="47DA3B9D"/>
    <w:rsid w:val="4805102B"/>
    <w:rsid w:val="483B65A4"/>
    <w:rsid w:val="483E4667"/>
    <w:rsid w:val="48446A2D"/>
    <w:rsid w:val="48523179"/>
    <w:rsid w:val="4868708A"/>
    <w:rsid w:val="48691363"/>
    <w:rsid w:val="48952594"/>
    <w:rsid w:val="48AB197C"/>
    <w:rsid w:val="48D11064"/>
    <w:rsid w:val="48DC36A5"/>
    <w:rsid w:val="48E1714C"/>
    <w:rsid w:val="48F13107"/>
    <w:rsid w:val="491204AD"/>
    <w:rsid w:val="49270B85"/>
    <w:rsid w:val="49276B29"/>
    <w:rsid w:val="4933527D"/>
    <w:rsid w:val="49540028"/>
    <w:rsid w:val="497148DC"/>
    <w:rsid w:val="49804BB7"/>
    <w:rsid w:val="498A5978"/>
    <w:rsid w:val="498D3A3E"/>
    <w:rsid w:val="49A54612"/>
    <w:rsid w:val="49A62C56"/>
    <w:rsid w:val="49AB1508"/>
    <w:rsid w:val="49BA72E2"/>
    <w:rsid w:val="49BB7386"/>
    <w:rsid w:val="49C3573C"/>
    <w:rsid w:val="49C40AD5"/>
    <w:rsid w:val="49CD58BA"/>
    <w:rsid w:val="4A37100C"/>
    <w:rsid w:val="4A372676"/>
    <w:rsid w:val="4A37312A"/>
    <w:rsid w:val="4A413C1A"/>
    <w:rsid w:val="4A475C35"/>
    <w:rsid w:val="4A51360A"/>
    <w:rsid w:val="4A652FCA"/>
    <w:rsid w:val="4A7D647A"/>
    <w:rsid w:val="4A8204BA"/>
    <w:rsid w:val="4AA743C5"/>
    <w:rsid w:val="4AB663B6"/>
    <w:rsid w:val="4AB80380"/>
    <w:rsid w:val="4AB97C54"/>
    <w:rsid w:val="4ABA3966"/>
    <w:rsid w:val="4ABD0075"/>
    <w:rsid w:val="4AC42881"/>
    <w:rsid w:val="4AD93E52"/>
    <w:rsid w:val="4AE12A86"/>
    <w:rsid w:val="4AFC3B4C"/>
    <w:rsid w:val="4AFD3FE5"/>
    <w:rsid w:val="4B135871"/>
    <w:rsid w:val="4B192D95"/>
    <w:rsid w:val="4B26353C"/>
    <w:rsid w:val="4B49547C"/>
    <w:rsid w:val="4B59218C"/>
    <w:rsid w:val="4B645C7A"/>
    <w:rsid w:val="4B92297F"/>
    <w:rsid w:val="4B9B687E"/>
    <w:rsid w:val="4BA55E15"/>
    <w:rsid w:val="4BBD5522"/>
    <w:rsid w:val="4BEE392E"/>
    <w:rsid w:val="4BF3430F"/>
    <w:rsid w:val="4C0F596A"/>
    <w:rsid w:val="4C1C493F"/>
    <w:rsid w:val="4C3078C6"/>
    <w:rsid w:val="4C40066C"/>
    <w:rsid w:val="4C545E87"/>
    <w:rsid w:val="4C681A65"/>
    <w:rsid w:val="4C7B624B"/>
    <w:rsid w:val="4C8449BE"/>
    <w:rsid w:val="4C8936D2"/>
    <w:rsid w:val="4C8C5620"/>
    <w:rsid w:val="4C9A0652"/>
    <w:rsid w:val="4C9A7E3E"/>
    <w:rsid w:val="4CA26E90"/>
    <w:rsid w:val="4CA41E66"/>
    <w:rsid w:val="4CA42EC6"/>
    <w:rsid w:val="4CAC181F"/>
    <w:rsid w:val="4CC74EE5"/>
    <w:rsid w:val="4CCB706C"/>
    <w:rsid w:val="4CCC4E16"/>
    <w:rsid w:val="4CD81552"/>
    <w:rsid w:val="4CF6005A"/>
    <w:rsid w:val="4CFD5418"/>
    <w:rsid w:val="4CFF4044"/>
    <w:rsid w:val="4D1A0E7E"/>
    <w:rsid w:val="4D1C1598"/>
    <w:rsid w:val="4D294E8D"/>
    <w:rsid w:val="4D3A32CE"/>
    <w:rsid w:val="4D4203D5"/>
    <w:rsid w:val="4D583EAE"/>
    <w:rsid w:val="4D662E79"/>
    <w:rsid w:val="4D6E4484"/>
    <w:rsid w:val="4D75339F"/>
    <w:rsid w:val="4D847445"/>
    <w:rsid w:val="4D9328D3"/>
    <w:rsid w:val="4D9D5E39"/>
    <w:rsid w:val="4DB60A87"/>
    <w:rsid w:val="4DBD1B0B"/>
    <w:rsid w:val="4DCD0D5A"/>
    <w:rsid w:val="4DF25957"/>
    <w:rsid w:val="4DF63713"/>
    <w:rsid w:val="4E0727A3"/>
    <w:rsid w:val="4E1F4B41"/>
    <w:rsid w:val="4E393FCB"/>
    <w:rsid w:val="4E54216E"/>
    <w:rsid w:val="4E573921"/>
    <w:rsid w:val="4E683E6B"/>
    <w:rsid w:val="4E724CEA"/>
    <w:rsid w:val="4E7740AE"/>
    <w:rsid w:val="4E7779A7"/>
    <w:rsid w:val="4E82397E"/>
    <w:rsid w:val="4EAA6232"/>
    <w:rsid w:val="4EC37C7D"/>
    <w:rsid w:val="4EE52608"/>
    <w:rsid w:val="4EFC6035"/>
    <w:rsid w:val="4F22226C"/>
    <w:rsid w:val="4F2809B4"/>
    <w:rsid w:val="4F402808"/>
    <w:rsid w:val="4F521D8E"/>
    <w:rsid w:val="4F5C39D0"/>
    <w:rsid w:val="4F6D3BEF"/>
    <w:rsid w:val="4F756EEE"/>
    <w:rsid w:val="4F8922EB"/>
    <w:rsid w:val="4F9D6DAE"/>
    <w:rsid w:val="4FA709C3"/>
    <w:rsid w:val="4FA94734"/>
    <w:rsid w:val="4FAE6856"/>
    <w:rsid w:val="4FB13DD1"/>
    <w:rsid w:val="5020424C"/>
    <w:rsid w:val="50236940"/>
    <w:rsid w:val="502441B0"/>
    <w:rsid w:val="50250266"/>
    <w:rsid w:val="50632B3C"/>
    <w:rsid w:val="5069089B"/>
    <w:rsid w:val="506B19F1"/>
    <w:rsid w:val="508618BA"/>
    <w:rsid w:val="508B739E"/>
    <w:rsid w:val="50A21A20"/>
    <w:rsid w:val="50C23D07"/>
    <w:rsid w:val="50CF3D2E"/>
    <w:rsid w:val="50D778BC"/>
    <w:rsid w:val="50E27F05"/>
    <w:rsid w:val="50F4058D"/>
    <w:rsid w:val="51330760"/>
    <w:rsid w:val="513F1174"/>
    <w:rsid w:val="515643BC"/>
    <w:rsid w:val="516A1470"/>
    <w:rsid w:val="518A40F8"/>
    <w:rsid w:val="518C66BB"/>
    <w:rsid w:val="518F583E"/>
    <w:rsid w:val="519216B7"/>
    <w:rsid w:val="5194445B"/>
    <w:rsid w:val="51A159FE"/>
    <w:rsid w:val="51A235E1"/>
    <w:rsid w:val="51AA348A"/>
    <w:rsid w:val="51CD3A40"/>
    <w:rsid w:val="51E710E2"/>
    <w:rsid w:val="51FA302C"/>
    <w:rsid w:val="51FC2B7B"/>
    <w:rsid w:val="520D2296"/>
    <w:rsid w:val="52291B63"/>
    <w:rsid w:val="52397FF8"/>
    <w:rsid w:val="526A01B2"/>
    <w:rsid w:val="52753E57"/>
    <w:rsid w:val="52A42F98"/>
    <w:rsid w:val="52AF2069"/>
    <w:rsid w:val="52B21B59"/>
    <w:rsid w:val="52BB1EEA"/>
    <w:rsid w:val="52C20D8E"/>
    <w:rsid w:val="52CC4536"/>
    <w:rsid w:val="52D94894"/>
    <w:rsid w:val="52F91536"/>
    <w:rsid w:val="532365B3"/>
    <w:rsid w:val="5325300A"/>
    <w:rsid w:val="53484D00"/>
    <w:rsid w:val="535F3238"/>
    <w:rsid w:val="5360703D"/>
    <w:rsid w:val="53611404"/>
    <w:rsid w:val="536705F5"/>
    <w:rsid w:val="53670B95"/>
    <w:rsid w:val="53683FB3"/>
    <w:rsid w:val="53684416"/>
    <w:rsid w:val="53740BBC"/>
    <w:rsid w:val="53784A9C"/>
    <w:rsid w:val="537C3AFB"/>
    <w:rsid w:val="537E7EE6"/>
    <w:rsid w:val="538452A3"/>
    <w:rsid w:val="538455F0"/>
    <w:rsid w:val="53987C6B"/>
    <w:rsid w:val="53A85A70"/>
    <w:rsid w:val="53B13BBE"/>
    <w:rsid w:val="53B37061"/>
    <w:rsid w:val="53C75190"/>
    <w:rsid w:val="53DD2B28"/>
    <w:rsid w:val="53FC752F"/>
    <w:rsid w:val="54025590"/>
    <w:rsid w:val="54077A5A"/>
    <w:rsid w:val="540A3C5A"/>
    <w:rsid w:val="540E381C"/>
    <w:rsid w:val="544762D1"/>
    <w:rsid w:val="544931DC"/>
    <w:rsid w:val="545632E9"/>
    <w:rsid w:val="546867FA"/>
    <w:rsid w:val="54771647"/>
    <w:rsid w:val="5484363F"/>
    <w:rsid w:val="548C426F"/>
    <w:rsid w:val="54901A26"/>
    <w:rsid w:val="54922E39"/>
    <w:rsid w:val="549A4653"/>
    <w:rsid w:val="549E2395"/>
    <w:rsid w:val="54A14D47"/>
    <w:rsid w:val="54AF45A2"/>
    <w:rsid w:val="54B43966"/>
    <w:rsid w:val="54B75123"/>
    <w:rsid w:val="54B942FC"/>
    <w:rsid w:val="54BD0F8F"/>
    <w:rsid w:val="54D22CE3"/>
    <w:rsid w:val="54E81862"/>
    <w:rsid w:val="552A7FFA"/>
    <w:rsid w:val="5531145B"/>
    <w:rsid w:val="554A6079"/>
    <w:rsid w:val="554C1057"/>
    <w:rsid w:val="554C211A"/>
    <w:rsid w:val="55522FCF"/>
    <w:rsid w:val="555D2250"/>
    <w:rsid w:val="55627866"/>
    <w:rsid w:val="55651104"/>
    <w:rsid w:val="55677F49"/>
    <w:rsid w:val="55864C77"/>
    <w:rsid w:val="558A2D2C"/>
    <w:rsid w:val="559D43FA"/>
    <w:rsid w:val="55AF4640"/>
    <w:rsid w:val="55D07DAB"/>
    <w:rsid w:val="55F21D17"/>
    <w:rsid w:val="56091A90"/>
    <w:rsid w:val="560A48A4"/>
    <w:rsid w:val="560F5AA0"/>
    <w:rsid w:val="561843C9"/>
    <w:rsid w:val="561D6ED6"/>
    <w:rsid w:val="56242D6E"/>
    <w:rsid w:val="566370A7"/>
    <w:rsid w:val="5671438A"/>
    <w:rsid w:val="56714628"/>
    <w:rsid w:val="56750E0A"/>
    <w:rsid w:val="569039D6"/>
    <w:rsid w:val="569E562B"/>
    <w:rsid w:val="56BF4B93"/>
    <w:rsid w:val="56C11693"/>
    <w:rsid w:val="56C269F2"/>
    <w:rsid w:val="56C61B5C"/>
    <w:rsid w:val="56EB62F7"/>
    <w:rsid w:val="56EB73E7"/>
    <w:rsid w:val="56FB24A8"/>
    <w:rsid w:val="56FD6E02"/>
    <w:rsid w:val="5730310A"/>
    <w:rsid w:val="573266B1"/>
    <w:rsid w:val="57361328"/>
    <w:rsid w:val="57410F8C"/>
    <w:rsid w:val="574C3CEC"/>
    <w:rsid w:val="57563D2D"/>
    <w:rsid w:val="57635426"/>
    <w:rsid w:val="57672F12"/>
    <w:rsid w:val="576D7109"/>
    <w:rsid w:val="57725AAD"/>
    <w:rsid w:val="577B514B"/>
    <w:rsid w:val="578313D3"/>
    <w:rsid w:val="57AD28EF"/>
    <w:rsid w:val="57AD60A6"/>
    <w:rsid w:val="57AF53EA"/>
    <w:rsid w:val="57B23D6F"/>
    <w:rsid w:val="57C4203E"/>
    <w:rsid w:val="57D3128D"/>
    <w:rsid w:val="57FE449B"/>
    <w:rsid w:val="58004212"/>
    <w:rsid w:val="582428B4"/>
    <w:rsid w:val="582E1BE8"/>
    <w:rsid w:val="58313520"/>
    <w:rsid w:val="58445C19"/>
    <w:rsid w:val="585A673D"/>
    <w:rsid w:val="585B234B"/>
    <w:rsid w:val="585D4315"/>
    <w:rsid w:val="585F5E37"/>
    <w:rsid w:val="586E4FF2"/>
    <w:rsid w:val="588C69A8"/>
    <w:rsid w:val="58902063"/>
    <w:rsid w:val="58965F8A"/>
    <w:rsid w:val="58BD6B62"/>
    <w:rsid w:val="58CA1AB9"/>
    <w:rsid w:val="58CA7BFC"/>
    <w:rsid w:val="5929225B"/>
    <w:rsid w:val="592B3A21"/>
    <w:rsid w:val="59305585"/>
    <w:rsid w:val="593908DE"/>
    <w:rsid w:val="59505571"/>
    <w:rsid w:val="595E6596"/>
    <w:rsid w:val="596C7578"/>
    <w:rsid w:val="597053F3"/>
    <w:rsid w:val="59777B12"/>
    <w:rsid w:val="597B0EF6"/>
    <w:rsid w:val="598F04FE"/>
    <w:rsid w:val="59925576"/>
    <w:rsid w:val="59B368E2"/>
    <w:rsid w:val="59C03FFF"/>
    <w:rsid w:val="59CC01B7"/>
    <w:rsid w:val="59D60658"/>
    <w:rsid w:val="5A1D4A47"/>
    <w:rsid w:val="5A1E1882"/>
    <w:rsid w:val="5A423290"/>
    <w:rsid w:val="5A4F04A4"/>
    <w:rsid w:val="5A50165F"/>
    <w:rsid w:val="5A5B2AD6"/>
    <w:rsid w:val="5A5B6C78"/>
    <w:rsid w:val="5A5D1A42"/>
    <w:rsid w:val="5A6220B6"/>
    <w:rsid w:val="5A703824"/>
    <w:rsid w:val="5A851901"/>
    <w:rsid w:val="5A867B53"/>
    <w:rsid w:val="5AA133F4"/>
    <w:rsid w:val="5AB17793"/>
    <w:rsid w:val="5AB3021C"/>
    <w:rsid w:val="5AB741B0"/>
    <w:rsid w:val="5ABD5A58"/>
    <w:rsid w:val="5AC42429"/>
    <w:rsid w:val="5AC52C0D"/>
    <w:rsid w:val="5AC666EE"/>
    <w:rsid w:val="5AF23713"/>
    <w:rsid w:val="5B07516B"/>
    <w:rsid w:val="5B131C21"/>
    <w:rsid w:val="5B303D3E"/>
    <w:rsid w:val="5B3B2787"/>
    <w:rsid w:val="5B6112AE"/>
    <w:rsid w:val="5B61282B"/>
    <w:rsid w:val="5B627B86"/>
    <w:rsid w:val="5BA4786C"/>
    <w:rsid w:val="5BB52BA8"/>
    <w:rsid w:val="5BB66216"/>
    <w:rsid w:val="5BCB2C40"/>
    <w:rsid w:val="5BCD571B"/>
    <w:rsid w:val="5BE87D5B"/>
    <w:rsid w:val="5BF84404"/>
    <w:rsid w:val="5C0532A5"/>
    <w:rsid w:val="5C295588"/>
    <w:rsid w:val="5C2E164A"/>
    <w:rsid w:val="5C3013D7"/>
    <w:rsid w:val="5C301B36"/>
    <w:rsid w:val="5C35735F"/>
    <w:rsid w:val="5C5477DD"/>
    <w:rsid w:val="5C593045"/>
    <w:rsid w:val="5C5B368F"/>
    <w:rsid w:val="5C5F523E"/>
    <w:rsid w:val="5C783FFA"/>
    <w:rsid w:val="5C8310BE"/>
    <w:rsid w:val="5C84210D"/>
    <w:rsid w:val="5C895722"/>
    <w:rsid w:val="5C8C1741"/>
    <w:rsid w:val="5C9A276D"/>
    <w:rsid w:val="5CA813C0"/>
    <w:rsid w:val="5CAE773A"/>
    <w:rsid w:val="5CB847C3"/>
    <w:rsid w:val="5CBA3AE4"/>
    <w:rsid w:val="5CC30D13"/>
    <w:rsid w:val="5CD87BC2"/>
    <w:rsid w:val="5CEB5C4E"/>
    <w:rsid w:val="5D02548B"/>
    <w:rsid w:val="5D043EBE"/>
    <w:rsid w:val="5D0E235E"/>
    <w:rsid w:val="5D1319BB"/>
    <w:rsid w:val="5D290C69"/>
    <w:rsid w:val="5D3112EF"/>
    <w:rsid w:val="5D3F048D"/>
    <w:rsid w:val="5D440FA8"/>
    <w:rsid w:val="5D4455C2"/>
    <w:rsid w:val="5D567C0A"/>
    <w:rsid w:val="5D612327"/>
    <w:rsid w:val="5D6972B8"/>
    <w:rsid w:val="5DAE1D8D"/>
    <w:rsid w:val="5DBE11AB"/>
    <w:rsid w:val="5DD532EB"/>
    <w:rsid w:val="5DDB01B6"/>
    <w:rsid w:val="5DDC5833"/>
    <w:rsid w:val="5DE73E9F"/>
    <w:rsid w:val="5DF305F9"/>
    <w:rsid w:val="5DF50B4C"/>
    <w:rsid w:val="5DF82873"/>
    <w:rsid w:val="5E08649D"/>
    <w:rsid w:val="5E1718AE"/>
    <w:rsid w:val="5E3F1072"/>
    <w:rsid w:val="5E4F2952"/>
    <w:rsid w:val="5E553241"/>
    <w:rsid w:val="5E655825"/>
    <w:rsid w:val="5E80568B"/>
    <w:rsid w:val="5EA33456"/>
    <w:rsid w:val="5EA73928"/>
    <w:rsid w:val="5ED42B2B"/>
    <w:rsid w:val="5EFC065E"/>
    <w:rsid w:val="5F023113"/>
    <w:rsid w:val="5F200137"/>
    <w:rsid w:val="5F2B1391"/>
    <w:rsid w:val="5F330F86"/>
    <w:rsid w:val="5F5521EA"/>
    <w:rsid w:val="5FA5209F"/>
    <w:rsid w:val="5FB46F10"/>
    <w:rsid w:val="5FBB6E0B"/>
    <w:rsid w:val="5FDC0215"/>
    <w:rsid w:val="60011BE0"/>
    <w:rsid w:val="600C42E1"/>
    <w:rsid w:val="60193147"/>
    <w:rsid w:val="601B3ABE"/>
    <w:rsid w:val="602D34E0"/>
    <w:rsid w:val="60316D68"/>
    <w:rsid w:val="603911C4"/>
    <w:rsid w:val="603A4076"/>
    <w:rsid w:val="603D2140"/>
    <w:rsid w:val="603E5F06"/>
    <w:rsid w:val="60424C4A"/>
    <w:rsid w:val="60443FF5"/>
    <w:rsid w:val="605129B1"/>
    <w:rsid w:val="605230F3"/>
    <w:rsid w:val="60641A81"/>
    <w:rsid w:val="60AF0A0E"/>
    <w:rsid w:val="60BD3BA3"/>
    <w:rsid w:val="60BF6DD5"/>
    <w:rsid w:val="60BF7D8C"/>
    <w:rsid w:val="60CB0DBA"/>
    <w:rsid w:val="60D31618"/>
    <w:rsid w:val="60E30D2C"/>
    <w:rsid w:val="61147A08"/>
    <w:rsid w:val="61365606"/>
    <w:rsid w:val="613F0A5C"/>
    <w:rsid w:val="614222FA"/>
    <w:rsid w:val="615A3AE7"/>
    <w:rsid w:val="61693D2A"/>
    <w:rsid w:val="61915F1E"/>
    <w:rsid w:val="61A3724B"/>
    <w:rsid w:val="61A60ADB"/>
    <w:rsid w:val="61AE42F6"/>
    <w:rsid w:val="61AF3E33"/>
    <w:rsid w:val="61DC78F0"/>
    <w:rsid w:val="61FA2BD4"/>
    <w:rsid w:val="62041B64"/>
    <w:rsid w:val="620A0A24"/>
    <w:rsid w:val="62281269"/>
    <w:rsid w:val="622F287E"/>
    <w:rsid w:val="62364F82"/>
    <w:rsid w:val="62483394"/>
    <w:rsid w:val="62554FFB"/>
    <w:rsid w:val="62555998"/>
    <w:rsid w:val="62565787"/>
    <w:rsid w:val="62571DD5"/>
    <w:rsid w:val="62593D9F"/>
    <w:rsid w:val="625E2F3A"/>
    <w:rsid w:val="62652744"/>
    <w:rsid w:val="62691B04"/>
    <w:rsid w:val="627174D7"/>
    <w:rsid w:val="62727C0B"/>
    <w:rsid w:val="6276422F"/>
    <w:rsid w:val="62830E1C"/>
    <w:rsid w:val="62861B77"/>
    <w:rsid w:val="62A349AE"/>
    <w:rsid w:val="62BA1E66"/>
    <w:rsid w:val="62C41E40"/>
    <w:rsid w:val="62CB754B"/>
    <w:rsid w:val="62CD4ACF"/>
    <w:rsid w:val="6308697F"/>
    <w:rsid w:val="631D7521"/>
    <w:rsid w:val="6333639E"/>
    <w:rsid w:val="633F12D6"/>
    <w:rsid w:val="63452778"/>
    <w:rsid w:val="63554A0D"/>
    <w:rsid w:val="63584057"/>
    <w:rsid w:val="63632A4B"/>
    <w:rsid w:val="6369376B"/>
    <w:rsid w:val="636C5F14"/>
    <w:rsid w:val="63952E93"/>
    <w:rsid w:val="63AD5FAC"/>
    <w:rsid w:val="63B1070C"/>
    <w:rsid w:val="63B96CED"/>
    <w:rsid w:val="63DC7772"/>
    <w:rsid w:val="63E23006"/>
    <w:rsid w:val="63F20C47"/>
    <w:rsid w:val="63FA08FC"/>
    <w:rsid w:val="63FE4BFE"/>
    <w:rsid w:val="64112A9D"/>
    <w:rsid w:val="64161638"/>
    <w:rsid w:val="642D7F96"/>
    <w:rsid w:val="6441108B"/>
    <w:rsid w:val="644665A5"/>
    <w:rsid w:val="644F1CB2"/>
    <w:rsid w:val="64643ACA"/>
    <w:rsid w:val="646B45F7"/>
    <w:rsid w:val="647D0ADB"/>
    <w:rsid w:val="648C521A"/>
    <w:rsid w:val="64917D45"/>
    <w:rsid w:val="64B21C19"/>
    <w:rsid w:val="64B36B21"/>
    <w:rsid w:val="64B72218"/>
    <w:rsid w:val="64BF6B8F"/>
    <w:rsid w:val="64C3704F"/>
    <w:rsid w:val="64C62CA5"/>
    <w:rsid w:val="64E831B8"/>
    <w:rsid w:val="64E84617"/>
    <w:rsid w:val="64E976D8"/>
    <w:rsid w:val="64ED6615"/>
    <w:rsid w:val="64FE0F25"/>
    <w:rsid w:val="65032DF9"/>
    <w:rsid w:val="65035A40"/>
    <w:rsid w:val="65130235"/>
    <w:rsid w:val="651A6920"/>
    <w:rsid w:val="65271CA0"/>
    <w:rsid w:val="65293EFC"/>
    <w:rsid w:val="655D271B"/>
    <w:rsid w:val="655F3197"/>
    <w:rsid w:val="657972C7"/>
    <w:rsid w:val="657C45D0"/>
    <w:rsid w:val="657D7565"/>
    <w:rsid w:val="658168F5"/>
    <w:rsid w:val="658566B1"/>
    <w:rsid w:val="658B50AB"/>
    <w:rsid w:val="659550EE"/>
    <w:rsid w:val="65975DB9"/>
    <w:rsid w:val="65A27BF1"/>
    <w:rsid w:val="65A55DB7"/>
    <w:rsid w:val="65AA2E9F"/>
    <w:rsid w:val="65AF6FD5"/>
    <w:rsid w:val="65B2188B"/>
    <w:rsid w:val="65B35F8F"/>
    <w:rsid w:val="65B86A3A"/>
    <w:rsid w:val="65C749F6"/>
    <w:rsid w:val="65D676FC"/>
    <w:rsid w:val="65DC0F6F"/>
    <w:rsid w:val="65EC4C54"/>
    <w:rsid w:val="65FE7137"/>
    <w:rsid w:val="66135363"/>
    <w:rsid w:val="662326FA"/>
    <w:rsid w:val="662445B5"/>
    <w:rsid w:val="6645236F"/>
    <w:rsid w:val="664A412A"/>
    <w:rsid w:val="664D0716"/>
    <w:rsid w:val="66540B05"/>
    <w:rsid w:val="6673304D"/>
    <w:rsid w:val="66734E89"/>
    <w:rsid w:val="669B07F5"/>
    <w:rsid w:val="66B077FE"/>
    <w:rsid w:val="66B477F6"/>
    <w:rsid w:val="66B67513"/>
    <w:rsid w:val="66C42832"/>
    <w:rsid w:val="66C64D00"/>
    <w:rsid w:val="66CE78CB"/>
    <w:rsid w:val="66D431C5"/>
    <w:rsid w:val="66DE0D17"/>
    <w:rsid w:val="66E77D50"/>
    <w:rsid w:val="67016DE2"/>
    <w:rsid w:val="672A3759"/>
    <w:rsid w:val="676F1572"/>
    <w:rsid w:val="6775314C"/>
    <w:rsid w:val="677E1BB2"/>
    <w:rsid w:val="678169CB"/>
    <w:rsid w:val="67931B01"/>
    <w:rsid w:val="67A05FCC"/>
    <w:rsid w:val="67B67E9A"/>
    <w:rsid w:val="67BB60EE"/>
    <w:rsid w:val="67BC1058"/>
    <w:rsid w:val="67D46A21"/>
    <w:rsid w:val="67EA5450"/>
    <w:rsid w:val="680A7037"/>
    <w:rsid w:val="681B74A6"/>
    <w:rsid w:val="682E0C6B"/>
    <w:rsid w:val="684D7F02"/>
    <w:rsid w:val="684F533F"/>
    <w:rsid w:val="68525518"/>
    <w:rsid w:val="68534DEC"/>
    <w:rsid w:val="687525D8"/>
    <w:rsid w:val="688D0B09"/>
    <w:rsid w:val="68A60CB7"/>
    <w:rsid w:val="68A815DC"/>
    <w:rsid w:val="68BE2BAE"/>
    <w:rsid w:val="68CD216A"/>
    <w:rsid w:val="68EF4BB6"/>
    <w:rsid w:val="68FD5A3F"/>
    <w:rsid w:val="692C02BD"/>
    <w:rsid w:val="692E64A8"/>
    <w:rsid w:val="697274F4"/>
    <w:rsid w:val="6990454A"/>
    <w:rsid w:val="69A1736A"/>
    <w:rsid w:val="69A62BF5"/>
    <w:rsid w:val="69AD2A74"/>
    <w:rsid w:val="69AD3587"/>
    <w:rsid w:val="69B2279E"/>
    <w:rsid w:val="69BD1A42"/>
    <w:rsid w:val="69DA12FC"/>
    <w:rsid w:val="69EB6DCA"/>
    <w:rsid w:val="69F755AC"/>
    <w:rsid w:val="69F777CD"/>
    <w:rsid w:val="6A0937AA"/>
    <w:rsid w:val="6A0A597F"/>
    <w:rsid w:val="6A2065A1"/>
    <w:rsid w:val="6A4F758F"/>
    <w:rsid w:val="6A555347"/>
    <w:rsid w:val="6A576E16"/>
    <w:rsid w:val="6A6F1133"/>
    <w:rsid w:val="6A7B433D"/>
    <w:rsid w:val="6A7C687C"/>
    <w:rsid w:val="6A813E93"/>
    <w:rsid w:val="6AA70E28"/>
    <w:rsid w:val="6AA81420"/>
    <w:rsid w:val="6AA87672"/>
    <w:rsid w:val="6AAE27AE"/>
    <w:rsid w:val="6AC3782C"/>
    <w:rsid w:val="6AC66C4D"/>
    <w:rsid w:val="6AD22940"/>
    <w:rsid w:val="6AE461D0"/>
    <w:rsid w:val="6AE77783"/>
    <w:rsid w:val="6B19383A"/>
    <w:rsid w:val="6B2579D2"/>
    <w:rsid w:val="6B345861"/>
    <w:rsid w:val="6B5359D4"/>
    <w:rsid w:val="6B694EA9"/>
    <w:rsid w:val="6B8137BE"/>
    <w:rsid w:val="6B874966"/>
    <w:rsid w:val="6B881251"/>
    <w:rsid w:val="6B8E4F61"/>
    <w:rsid w:val="6BA063DE"/>
    <w:rsid w:val="6BAD2A66"/>
    <w:rsid w:val="6BBD045D"/>
    <w:rsid w:val="6BC94930"/>
    <w:rsid w:val="6BF57B6C"/>
    <w:rsid w:val="6BF90031"/>
    <w:rsid w:val="6BF97573"/>
    <w:rsid w:val="6BFC151F"/>
    <w:rsid w:val="6C007039"/>
    <w:rsid w:val="6C0560A8"/>
    <w:rsid w:val="6C0D1789"/>
    <w:rsid w:val="6C1F1BB5"/>
    <w:rsid w:val="6C311483"/>
    <w:rsid w:val="6C522FE7"/>
    <w:rsid w:val="6C547FF7"/>
    <w:rsid w:val="6C5555D7"/>
    <w:rsid w:val="6C6D37B0"/>
    <w:rsid w:val="6C95040D"/>
    <w:rsid w:val="6CA541A6"/>
    <w:rsid w:val="6CA67BE1"/>
    <w:rsid w:val="6CB0280D"/>
    <w:rsid w:val="6CC85DA9"/>
    <w:rsid w:val="6CD4595D"/>
    <w:rsid w:val="6CDE2770"/>
    <w:rsid w:val="6CE6684F"/>
    <w:rsid w:val="6CEB1A97"/>
    <w:rsid w:val="6CF15E5F"/>
    <w:rsid w:val="6CF95571"/>
    <w:rsid w:val="6D044A09"/>
    <w:rsid w:val="6D0A3F6D"/>
    <w:rsid w:val="6D107530"/>
    <w:rsid w:val="6D38269A"/>
    <w:rsid w:val="6D390EC0"/>
    <w:rsid w:val="6D435B54"/>
    <w:rsid w:val="6D4713C4"/>
    <w:rsid w:val="6D4C4EA1"/>
    <w:rsid w:val="6D536D97"/>
    <w:rsid w:val="6D7970A3"/>
    <w:rsid w:val="6D7C46B1"/>
    <w:rsid w:val="6D8569B3"/>
    <w:rsid w:val="6D9028D0"/>
    <w:rsid w:val="6D9F5FA5"/>
    <w:rsid w:val="6DA94F7E"/>
    <w:rsid w:val="6DAA3701"/>
    <w:rsid w:val="6DAD5D63"/>
    <w:rsid w:val="6DB620A5"/>
    <w:rsid w:val="6DC5343F"/>
    <w:rsid w:val="6DC566CE"/>
    <w:rsid w:val="6DCA5B51"/>
    <w:rsid w:val="6DD80BDE"/>
    <w:rsid w:val="6DEC1CE0"/>
    <w:rsid w:val="6DF402A1"/>
    <w:rsid w:val="6E0B38F0"/>
    <w:rsid w:val="6E0B7381"/>
    <w:rsid w:val="6E182D60"/>
    <w:rsid w:val="6E195F1A"/>
    <w:rsid w:val="6E2870F0"/>
    <w:rsid w:val="6E2E7E8E"/>
    <w:rsid w:val="6E2F0141"/>
    <w:rsid w:val="6E624451"/>
    <w:rsid w:val="6E692F47"/>
    <w:rsid w:val="6E767BAA"/>
    <w:rsid w:val="6E7D2BC3"/>
    <w:rsid w:val="6E7D55DC"/>
    <w:rsid w:val="6E8757F0"/>
    <w:rsid w:val="6E921CE9"/>
    <w:rsid w:val="6EAF1E0E"/>
    <w:rsid w:val="6EBA15CC"/>
    <w:rsid w:val="6EDB124E"/>
    <w:rsid w:val="6EEF2C37"/>
    <w:rsid w:val="6F057CF9"/>
    <w:rsid w:val="6F0B6421"/>
    <w:rsid w:val="6F28705A"/>
    <w:rsid w:val="6F3F02C3"/>
    <w:rsid w:val="6F4750C8"/>
    <w:rsid w:val="6F4B1DF4"/>
    <w:rsid w:val="6F543924"/>
    <w:rsid w:val="6F5A0321"/>
    <w:rsid w:val="6F5E29F5"/>
    <w:rsid w:val="6F616041"/>
    <w:rsid w:val="6F654D46"/>
    <w:rsid w:val="6F6B44C9"/>
    <w:rsid w:val="6F7F141A"/>
    <w:rsid w:val="6F8F0E00"/>
    <w:rsid w:val="6FAF4FFE"/>
    <w:rsid w:val="6FB53C04"/>
    <w:rsid w:val="6FC7032C"/>
    <w:rsid w:val="6FCC2FB1"/>
    <w:rsid w:val="6FCF3AC9"/>
    <w:rsid w:val="6FE063EA"/>
    <w:rsid w:val="6FE078AE"/>
    <w:rsid w:val="6FE729EA"/>
    <w:rsid w:val="70025A76"/>
    <w:rsid w:val="70076F03"/>
    <w:rsid w:val="70257533"/>
    <w:rsid w:val="70333948"/>
    <w:rsid w:val="704936A5"/>
    <w:rsid w:val="7055204A"/>
    <w:rsid w:val="70602FEC"/>
    <w:rsid w:val="707C6950"/>
    <w:rsid w:val="70A636C9"/>
    <w:rsid w:val="70A70738"/>
    <w:rsid w:val="70A86A93"/>
    <w:rsid w:val="70AE3508"/>
    <w:rsid w:val="70C74167"/>
    <w:rsid w:val="70C86C1F"/>
    <w:rsid w:val="70D4442E"/>
    <w:rsid w:val="70D867D7"/>
    <w:rsid w:val="70EC16BF"/>
    <w:rsid w:val="70EC2098"/>
    <w:rsid w:val="71085B27"/>
    <w:rsid w:val="711041C2"/>
    <w:rsid w:val="7132580E"/>
    <w:rsid w:val="71493231"/>
    <w:rsid w:val="716B1BD6"/>
    <w:rsid w:val="719A548B"/>
    <w:rsid w:val="71A16BC9"/>
    <w:rsid w:val="71D7083C"/>
    <w:rsid w:val="71FF3FD7"/>
    <w:rsid w:val="720B5784"/>
    <w:rsid w:val="72306EC0"/>
    <w:rsid w:val="725119E5"/>
    <w:rsid w:val="72541E8D"/>
    <w:rsid w:val="726227FC"/>
    <w:rsid w:val="726C57D5"/>
    <w:rsid w:val="727442DD"/>
    <w:rsid w:val="72784686"/>
    <w:rsid w:val="727A08EF"/>
    <w:rsid w:val="727A3C18"/>
    <w:rsid w:val="72872230"/>
    <w:rsid w:val="7298621E"/>
    <w:rsid w:val="729C32F3"/>
    <w:rsid w:val="72BC22AC"/>
    <w:rsid w:val="72DF2CFF"/>
    <w:rsid w:val="72E25F9B"/>
    <w:rsid w:val="72E27499"/>
    <w:rsid w:val="72E70F53"/>
    <w:rsid w:val="72E7174A"/>
    <w:rsid w:val="72EE408F"/>
    <w:rsid w:val="72F958E2"/>
    <w:rsid w:val="73125FD0"/>
    <w:rsid w:val="731768EE"/>
    <w:rsid w:val="73465C7A"/>
    <w:rsid w:val="734B14E2"/>
    <w:rsid w:val="735812E0"/>
    <w:rsid w:val="73590214"/>
    <w:rsid w:val="735935F3"/>
    <w:rsid w:val="73716C71"/>
    <w:rsid w:val="737532B7"/>
    <w:rsid w:val="737E10A7"/>
    <w:rsid w:val="738B6B00"/>
    <w:rsid w:val="73A330CC"/>
    <w:rsid w:val="73A62BBC"/>
    <w:rsid w:val="73AD5CF9"/>
    <w:rsid w:val="73CA1773"/>
    <w:rsid w:val="73D74EB5"/>
    <w:rsid w:val="73D826E8"/>
    <w:rsid w:val="73D84708"/>
    <w:rsid w:val="73F816C8"/>
    <w:rsid w:val="74044A4B"/>
    <w:rsid w:val="74100036"/>
    <w:rsid w:val="741E3048"/>
    <w:rsid w:val="742B3769"/>
    <w:rsid w:val="74315285"/>
    <w:rsid w:val="743C7E11"/>
    <w:rsid w:val="745368A0"/>
    <w:rsid w:val="745A113A"/>
    <w:rsid w:val="745A5839"/>
    <w:rsid w:val="74640AAD"/>
    <w:rsid w:val="74642285"/>
    <w:rsid w:val="748D7DBE"/>
    <w:rsid w:val="74967430"/>
    <w:rsid w:val="749F0574"/>
    <w:rsid w:val="74AD2C65"/>
    <w:rsid w:val="74B25BE2"/>
    <w:rsid w:val="74CB0B2C"/>
    <w:rsid w:val="75003489"/>
    <w:rsid w:val="75110645"/>
    <w:rsid w:val="75232716"/>
    <w:rsid w:val="752E2E69"/>
    <w:rsid w:val="752E4FE3"/>
    <w:rsid w:val="753F55DD"/>
    <w:rsid w:val="754D1541"/>
    <w:rsid w:val="75546F0E"/>
    <w:rsid w:val="75681D33"/>
    <w:rsid w:val="75683A40"/>
    <w:rsid w:val="756920F3"/>
    <w:rsid w:val="756A08DC"/>
    <w:rsid w:val="756A5E7A"/>
    <w:rsid w:val="75967508"/>
    <w:rsid w:val="759712C6"/>
    <w:rsid w:val="75A1188D"/>
    <w:rsid w:val="75B07D22"/>
    <w:rsid w:val="75B4494A"/>
    <w:rsid w:val="75D21F0E"/>
    <w:rsid w:val="75E53983"/>
    <w:rsid w:val="75E65816"/>
    <w:rsid w:val="75E8126A"/>
    <w:rsid w:val="75E825C1"/>
    <w:rsid w:val="75EB0D5A"/>
    <w:rsid w:val="762A7F2C"/>
    <w:rsid w:val="763B31A3"/>
    <w:rsid w:val="76481D09"/>
    <w:rsid w:val="765032DA"/>
    <w:rsid w:val="76964765"/>
    <w:rsid w:val="769A1F19"/>
    <w:rsid w:val="76E4419B"/>
    <w:rsid w:val="76EB6EF6"/>
    <w:rsid w:val="770352E0"/>
    <w:rsid w:val="77064B05"/>
    <w:rsid w:val="771D4F43"/>
    <w:rsid w:val="772649A0"/>
    <w:rsid w:val="77297D8C"/>
    <w:rsid w:val="773329B9"/>
    <w:rsid w:val="773D55E5"/>
    <w:rsid w:val="774312C7"/>
    <w:rsid w:val="77536BB7"/>
    <w:rsid w:val="775748F9"/>
    <w:rsid w:val="7764453D"/>
    <w:rsid w:val="77664B3C"/>
    <w:rsid w:val="777C430C"/>
    <w:rsid w:val="778356EE"/>
    <w:rsid w:val="778D20C9"/>
    <w:rsid w:val="77903967"/>
    <w:rsid w:val="77923244"/>
    <w:rsid w:val="77974721"/>
    <w:rsid w:val="77990AFB"/>
    <w:rsid w:val="77A45665"/>
    <w:rsid w:val="77B84C6C"/>
    <w:rsid w:val="77BC475C"/>
    <w:rsid w:val="77BD2282"/>
    <w:rsid w:val="77C2696E"/>
    <w:rsid w:val="77CC1A22"/>
    <w:rsid w:val="77CC6B1A"/>
    <w:rsid w:val="77E52E18"/>
    <w:rsid w:val="77EC4C26"/>
    <w:rsid w:val="78140CF8"/>
    <w:rsid w:val="781B42C8"/>
    <w:rsid w:val="783256B5"/>
    <w:rsid w:val="783C3769"/>
    <w:rsid w:val="7840260B"/>
    <w:rsid w:val="78411105"/>
    <w:rsid w:val="78415502"/>
    <w:rsid w:val="78514DBB"/>
    <w:rsid w:val="78576DA0"/>
    <w:rsid w:val="7858069A"/>
    <w:rsid w:val="78783AE0"/>
    <w:rsid w:val="787C3EEC"/>
    <w:rsid w:val="787E7C64"/>
    <w:rsid w:val="78814FFE"/>
    <w:rsid w:val="788445BD"/>
    <w:rsid w:val="78AA2807"/>
    <w:rsid w:val="78AE1E1E"/>
    <w:rsid w:val="78C95383"/>
    <w:rsid w:val="78EF0B61"/>
    <w:rsid w:val="79022643"/>
    <w:rsid w:val="791F159A"/>
    <w:rsid w:val="794A6948"/>
    <w:rsid w:val="7950097F"/>
    <w:rsid w:val="79556147"/>
    <w:rsid w:val="795F7248"/>
    <w:rsid w:val="79625346"/>
    <w:rsid w:val="799C2A97"/>
    <w:rsid w:val="79AF4C07"/>
    <w:rsid w:val="79C21F95"/>
    <w:rsid w:val="79C35F41"/>
    <w:rsid w:val="79C43D9C"/>
    <w:rsid w:val="79C92052"/>
    <w:rsid w:val="79D97847"/>
    <w:rsid w:val="79E32A48"/>
    <w:rsid w:val="79EB57DC"/>
    <w:rsid w:val="79F36E99"/>
    <w:rsid w:val="7A280C5D"/>
    <w:rsid w:val="7A391D45"/>
    <w:rsid w:val="7A5A1319"/>
    <w:rsid w:val="7A684B32"/>
    <w:rsid w:val="7A930A53"/>
    <w:rsid w:val="7A961467"/>
    <w:rsid w:val="7A980B94"/>
    <w:rsid w:val="7AA15E8B"/>
    <w:rsid w:val="7AA37E55"/>
    <w:rsid w:val="7AA5597C"/>
    <w:rsid w:val="7AC36E7E"/>
    <w:rsid w:val="7ADB0320"/>
    <w:rsid w:val="7ADC0FD3"/>
    <w:rsid w:val="7AF638C2"/>
    <w:rsid w:val="7AFE016B"/>
    <w:rsid w:val="7B0D67CF"/>
    <w:rsid w:val="7B1953D2"/>
    <w:rsid w:val="7B2A7C2F"/>
    <w:rsid w:val="7B2E138A"/>
    <w:rsid w:val="7B42766E"/>
    <w:rsid w:val="7B5A49B8"/>
    <w:rsid w:val="7B6112F3"/>
    <w:rsid w:val="7B6A6DBE"/>
    <w:rsid w:val="7B6E5147"/>
    <w:rsid w:val="7B8408D3"/>
    <w:rsid w:val="7B8C6B3B"/>
    <w:rsid w:val="7B964991"/>
    <w:rsid w:val="7B97389C"/>
    <w:rsid w:val="7B9B0B33"/>
    <w:rsid w:val="7BA5075E"/>
    <w:rsid w:val="7BAF18BE"/>
    <w:rsid w:val="7BBA2129"/>
    <w:rsid w:val="7BC03619"/>
    <w:rsid w:val="7BC6204D"/>
    <w:rsid w:val="7BDF340C"/>
    <w:rsid w:val="7BE73D72"/>
    <w:rsid w:val="7BFD3595"/>
    <w:rsid w:val="7C073499"/>
    <w:rsid w:val="7C074673"/>
    <w:rsid w:val="7C143A76"/>
    <w:rsid w:val="7C2522CA"/>
    <w:rsid w:val="7C3D1563"/>
    <w:rsid w:val="7C492048"/>
    <w:rsid w:val="7C5B1DFC"/>
    <w:rsid w:val="7C6D071B"/>
    <w:rsid w:val="7C79393B"/>
    <w:rsid w:val="7C7D3495"/>
    <w:rsid w:val="7C866193"/>
    <w:rsid w:val="7C887453"/>
    <w:rsid w:val="7C8F243F"/>
    <w:rsid w:val="7C947033"/>
    <w:rsid w:val="7C964C41"/>
    <w:rsid w:val="7CAB77AD"/>
    <w:rsid w:val="7CAC67AD"/>
    <w:rsid w:val="7CB617E3"/>
    <w:rsid w:val="7CC0265F"/>
    <w:rsid w:val="7CEC7720"/>
    <w:rsid w:val="7CED7C9A"/>
    <w:rsid w:val="7CEF7382"/>
    <w:rsid w:val="7D004FC6"/>
    <w:rsid w:val="7D051418"/>
    <w:rsid w:val="7D497CCB"/>
    <w:rsid w:val="7D502EE3"/>
    <w:rsid w:val="7D543484"/>
    <w:rsid w:val="7D567401"/>
    <w:rsid w:val="7D7D5C6F"/>
    <w:rsid w:val="7D83069C"/>
    <w:rsid w:val="7D904874"/>
    <w:rsid w:val="7D9C2F72"/>
    <w:rsid w:val="7DA95783"/>
    <w:rsid w:val="7DAF12EE"/>
    <w:rsid w:val="7DB52379"/>
    <w:rsid w:val="7DBA173E"/>
    <w:rsid w:val="7DBE01F2"/>
    <w:rsid w:val="7DBE20E8"/>
    <w:rsid w:val="7DBE29EF"/>
    <w:rsid w:val="7DDA1DE0"/>
    <w:rsid w:val="7DE7403B"/>
    <w:rsid w:val="7DF06F0E"/>
    <w:rsid w:val="7DF10ED8"/>
    <w:rsid w:val="7E2404B3"/>
    <w:rsid w:val="7E2D4DD6"/>
    <w:rsid w:val="7E3029F8"/>
    <w:rsid w:val="7E3A63DB"/>
    <w:rsid w:val="7E472433"/>
    <w:rsid w:val="7E4E01DD"/>
    <w:rsid w:val="7E5008E7"/>
    <w:rsid w:val="7E5C27F5"/>
    <w:rsid w:val="7E5C59B5"/>
    <w:rsid w:val="7E747C88"/>
    <w:rsid w:val="7E786B3E"/>
    <w:rsid w:val="7E7933A7"/>
    <w:rsid w:val="7E7A39CC"/>
    <w:rsid w:val="7E8104AE"/>
    <w:rsid w:val="7EAF254D"/>
    <w:rsid w:val="7EB43D17"/>
    <w:rsid w:val="7EB663A9"/>
    <w:rsid w:val="7EBA3625"/>
    <w:rsid w:val="7ECD781F"/>
    <w:rsid w:val="7EF34F96"/>
    <w:rsid w:val="7F090428"/>
    <w:rsid w:val="7F14777D"/>
    <w:rsid w:val="7F183FF7"/>
    <w:rsid w:val="7F2623F3"/>
    <w:rsid w:val="7F5115E8"/>
    <w:rsid w:val="7F5259A6"/>
    <w:rsid w:val="7F552A10"/>
    <w:rsid w:val="7F61222B"/>
    <w:rsid w:val="7F77201C"/>
    <w:rsid w:val="7F83434C"/>
    <w:rsid w:val="7F84697A"/>
    <w:rsid w:val="7F8B4A04"/>
    <w:rsid w:val="7FAE52D2"/>
    <w:rsid w:val="7FB34697"/>
    <w:rsid w:val="7FCE14D1"/>
    <w:rsid w:val="7FD011E5"/>
    <w:rsid w:val="7FD64F8C"/>
    <w:rsid w:val="7FDB3475"/>
    <w:rsid w:val="7FDB3BED"/>
    <w:rsid w:val="7FF212CB"/>
    <w:rsid w:val="7FFA1E2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qFormat="1"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72"/>
    <w:qFormat/>
    <w:uiPriority w:val="0"/>
    <w:pPr>
      <w:keepNext/>
      <w:keepLines/>
      <w:spacing w:before="340" w:after="330" w:line="576" w:lineRule="auto"/>
      <w:jc w:val="center"/>
      <w:outlineLvl w:val="0"/>
    </w:pPr>
    <w:rPr>
      <w:rFonts w:eastAsia="黑体"/>
      <w:b/>
      <w:kern w:val="44"/>
      <w:sz w:val="36"/>
    </w:rPr>
  </w:style>
  <w:style w:type="paragraph" w:styleId="3">
    <w:name w:val="heading 2"/>
    <w:basedOn w:val="1"/>
    <w:next w:val="1"/>
    <w:link w:val="73"/>
    <w:qFormat/>
    <w:uiPriority w:val="0"/>
    <w:pPr>
      <w:keepNext/>
      <w:keepLines/>
      <w:spacing w:before="260" w:after="260" w:line="413" w:lineRule="auto"/>
      <w:jc w:val="center"/>
      <w:outlineLvl w:val="1"/>
    </w:pPr>
    <w:rPr>
      <w:rFonts w:ascii="Cambria" w:hAnsi="Cambria"/>
      <w:b/>
      <w:bCs/>
      <w:kern w:val="0"/>
      <w:sz w:val="32"/>
      <w:szCs w:val="32"/>
    </w:rPr>
  </w:style>
  <w:style w:type="paragraph" w:styleId="4">
    <w:name w:val="heading 3"/>
    <w:basedOn w:val="1"/>
    <w:next w:val="1"/>
    <w:link w:val="74"/>
    <w:qFormat/>
    <w:uiPriority w:val="0"/>
    <w:pPr>
      <w:keepNext/>
      <w:keepLines/>
      <w:tabs>
        <w:tab w:val="left" w:pos="5852"/>
      </w:tabs>
      <w:snapToGrid w:val="0"/>
      <w:spacing w:before="360" w:line="240" w:lineRule="exact"/>
      <w:ind w:left="425" w:hanging="425"/>
      <w:outlineLvl w:val="2"/>
    </w:pPr>
    <w:rPr>
      <w:b/>
      <w:sz w:val="28"/>
    </w:rPr>
  </w:style>
  <w:style w:type="paragraph" w:styleId="5">
    <w:name w:val="heading 4"/>
    <w:basedOn w:val="1"/>
    <w:next w:val="1"/>
    <w:link w:val="75"/>
    <w:qFormat/>
    <w:uiPriority w:val="0"/>
    <w:pPr>
      <w:keepNext/>
      <w:keepLines/>
      <w:tabs>
        <w:tab w:val="left" w:pos="425"/>
      </w:tabs>
      <w:spacing w:before="360" w:line="240" w:lineRule="exact"/>
      <w:ind w:left="425" w:hanging="425"/>
      <w:outlineLvl w:val="3"/>
    </w:pPr>
    <w:rPr>
      <w:rFonts w:ascii="宋体"/>
      <w:b/>
      <w:sz w:val="28"/>
    </w:rPr>
  </w:style>
  <w:style w:type="paragraph" w:styleId="6">
    <w:name w:val="heading 5"/>
    <w:basedOn w:val="1"/>
    <w:next w:val="7"/>
    <w:link w:val="76"/>
    <w:qFormat/>
    <w:uiPriority w:val="0"/>
    <w:pPr>
      <w:keepNext/>
      <w:keepLines/>
      <w:spacing w:before="280" w:after="290" w:line="372" w:lineRule="auto"/>
      <w:outlineLvl w:val="4"/>
    </w:pPr>
    <w:rPr>
      <w:b/>
      <w:sz w:val="28"/>
    </w:rPr>
  </w:style>
  <w:style w:type="paragraph" w:styleId="8">
    <w:name w:val="heading 6"/>
    <w:basedOn w:val="1"/>
    <w:next w:val="1"/>
    <w:link w:val="78"/>
    <w:qFormat/>
    <w:uiPriority w:val="0"/>
    <w:pPr>
      <w:keepNext/>
      <w:keepLines/>
      <w:spacing w:before="240" w:after="64" w:line="317" w:lineRule="auto"/>
      <w:outlineLvl w:val="5"/>
    </w:pPr>
    <w:rPr>
      <w:rFonts w:ascii="Arial" w:hAnsi="Arial" w:eastAsia="黑体"/>
      <w:b/>
      <w:sz w:val="24"/>
    </w:rPr>
  </w:style>
  <w:style w:type="paragraph" w:styleId="9">
    <w:name w:val="heading 7"/>
    <w:basedOn w:val="1"/>
    <w:next w:val="7"/>
    <w:link w:val="79"/>
    <w:qFormat/>
    <w:uiPriority w:val="0"/>
    <w:pPr>
      <w:keepNext/>
      <w:keepLines/>
      <w:spacing w:before="240" w:after="64" w:line="317" w:lineRule="auto"/>
      <w:outlineLvl w:val="6"/>
    </w:pPr>
    <w:rPr>
      <w:b/>
      <w:sz w:val="24"/>
    </w:rPr>
  </w:style>
  <w:style w:type="paragraph" w:styleId="10">
    <w:name w:val="heading 8"/>
    <w:basedOn w:val="1"/>
    <w:next w:val="7"/>
    <w:qFormat/>
    <w:uiPriority w:val="0"/>
    <w:pPr>
      <w:keepNext/>
      <w:keepLines/>
      <w:spacing w:before="240" w:after="64" w:line="317" w:lineRule="auto"/>
      <w:outlineLvl w:val="7"/>
    </w:pPr>
    <w:rPr>
      <w:rFonts w:ascii="Arial" w:hAnsi="Arial" w:eastAsia="黑体"/>
      <w:sz w:val="24"/>
    </w:rPr>
  </w:style>
  <w:style w:type="paragraph" w:styleId="11">
    <w:name w:val="heading 9"/>
    <w:basedOn w:val="1"/>
    <w:next w:val="7"/>
    <w:qFormat/>
    <w:uiPriority w:val="0"/>
    <w:pPr>
      <w:keepNext/>
      <w:keepLines/>
      <w:spacing w:before="240" w:after="64" w:line="317" w:lineRule="auto"/>
      <w:outlineLvl w:val="8"/>
    </w:pPr>
    <w:rPr>
      <w:rFonts w:ascii="Arial" w:hAnsi="Arial" w:eastAsia="黑体"/>
    </w:rPr>
  </w:style>
  <w:style w:type="character" w:default="1" w:styleId="51">
    <w:name w:val="Default Paragraph Font"/>
    <w:semiHidden/>
    <w:unhideWhenUsed/>
    <w:qFormat/>
    <w:uiPriority w:val="1"/>
  </w:style>
  <w:style w:type="table" w:default="1" w:styleId="49">
    <w:name w:val="Normal Table"/>
    <w:semiHidden/>
    <w:unhideWhenUsed/>
    <w:qFormat/>
    <w:uiPriority w:val="99"/>
    <w:tblPr>
      <w:tblCellMar>
        <w:top w:w="0" w:type="dxa"/>
        <w:left w:w="108" w:type="dxa"/>
        <w:bottom w:w="0" w:type="dxa"/>
        <w:right w:w="108" w:type="dxa"/>
      </w:tblCellMar>
    </w:tblPr>
  </w:style>
  <w:style w:type="paragraph" w:styleId="7">
    <w:name w:val="Normal Indent"/>
    <w:basedOn w:val="1"/>
    <w:link w:val="77"/>
    <w:qFormat/>
    <w:uiPriority w:val="0"/>
    <w:pPr>
      <w:ind w:firstLine="420"/>
    </w:pPr>
  </w:style>
  <w:style w:type="paragraph" w:styleId="12">
    <w:name w:val="List 3"/>
    <w:basedOn w:val="1"/>
    <w:qFormat/>
    <w:uiPriority w:val="0"/>
    <w:pPr>
      <w:ind w:left="100" w:leftChars="400" w:hanging="200" w:hangingChars="200"/>
    </w:pPr>
    <w:rPr>
      <w:szCs w:val="24"/>
    </w:rPr>
  </w:style>
  <w:style w:type="paragraph" w:styleId="13">
    <w:name w:val="toc 7"/>
    <w:basedOn w:val="1"/>
    <w:next w:val="1"/>
    <w:qFormat/>
    <w:uiPriority w:val="0"/>
    <w:pPr>
      <w:ind w:left="1260"/>
      <w:jc w:val="left"/>
    </w:pPr>
    <w:rPr>
      <w:sz w:val="18"/>
      <w:szCs w:val="18"/>
    </w:rPr>
  </w:style>
  <w:style w:type="paragraph" w:styleId="14">
    <w:name w:val="Note Heading"/>
    <w:basedOn w:val="1"/>
    <w:next w:val="1"/>
    <w:qFormat/>
    <w:uiPriority w:val="0"/>
    <w:pPr>
      <w:adjustRightInd w:val="0"/>
      <w:jc w:val="center"/>
      <w:textAlignment w:val="baseline"/>
    </w:pPr>
    <w:rPr>
      <w:rFonts w:ascii="宋体" w:hAnsi="宋体" w:eastAsia="Times New Roman"/>
      <w:kern w:val="0"/>
      <w:sz w:val="24"/>
      <w:szCs w:val="24"/>
    </w:rPr>
  </w:style>
  <w:style w:type="paragraph" w:styleId="15">
    <w:name w:val="List Bullet 4"/>
    <w:basedOn w:val="1"/>
    <w:qFormat/>
    <w:uiPriority w:val="0"/>
    <w:pPr>
      <w:numPr>
        <w:ilvl w:val="0"/>
        <w:numId w:val="1"/>
      </w:numPr>
      <w:tabs>
        <w:tab w:val="left" w:pos="1620"/>
      </w:tabs>
    </w:pPr>
    <w:rPr>
      <w:szCs w:val="24"/>
    </w:rPr>
  </w:style>
  <w:style w:type="paragraph" w:styleId="16">
    <w:name w:val="caption"/>
    <w:basedOn w:val="1"/>
    <w:next w:val="1"/>
    <w:qFormat/>
    <w:uiPriority w:val="0"/>
    <w:pPr>
      <w:spacing w:before="152" w:after="160"/>
    </w:pPr>
    <w:rPr>
      <w:rFonts w:ascii="Arial" w:hAnsi="Arial" w:eastAsia="黑体" w:cs="Arial"/>
      <w:snapToGrid w:val="0"/>
      <w:kern w:val="0"/>
      <w:sz w:val="20"/>
    </w:rPr>
  </w:style>
  <w:style w:type="paragraph" w:styleId="17">
    <w:name w:val="Document Map"/>
    <w:basedOn w:val="1"/>
    <w:qFormat/>
    <w:uiPriority w:val="0"/>
    <w:pPr>
      <w:shd w:val="clear" w:color="auto" w:fill="000080"/>
    </w:pPr>
  </w:style>
  <w:style w:type="paragraph" w:styleId="18">
    <w:name w:val="annotation text"/>
    <w:basedOn w:val="1"/>
    <w:link w:val="354"/>
    <w:qFormat/>
    <w:uiPriority w:val="0"/>
    <w:pPr>
      <w:jc w:val="left"/>
    </w:pPr>
  </w:style>
  <w:style w:type="paragraph" w:styleId="19">
    <w:name w:val="Body Text 3"/>
    <w:basedOn w:val="1"/>
    <w:qFormat/>
    <w:uiPriority w:val="0"/>
    <w:pPr>
      <w:adjustRightInd w:val="0"/>
      <w:spacing w:line="720" w:lineRule="exact"/>
      <w:jc w:val="center"/>
      <w:textAlignment w:val="baseline"/>
    </w:pPr>
    <w:rPr>
      <w:rFonts w:ascii="黑体" w:eastAsia="黑体"/>
      <w:sz w:val="84"/>
    </w:rPr>
  </w:style>
  <w:style w:type="paragraph" w:styleId="20">
    <w:name w:val="Body Text"/>
    <w:basedOn w:val="1"/>
    <w:next w:val="1"/>
    <w:qFormat/>
    <w:uiPriority w:val="0"/>
    <w:pPr>
      <w:spacing w:line="380" w:lineRule="exact"/>
    </w:pPr>
    <w:rPr>
      <w:sz w:val="24"/>
    </w:rPr>
  </w:style>
  <w:style w:type="paragraph" w:styleId="21">
    <w:name w:val="Body Text Indent"/>
    <w:basedOn w:val="1"/>
    <w:next w:val="1"/>
    <w:qFormat/>
    <w:uiPriority w:val="0"/>
    <w:pPr>
      <w:spacing w:after="120"/>
      <w:ind w:left="420" w:leftChars="200"/>
    </w:pPr>
  </w:style>
  <w:style w:type="paragraph" w:styleId="22">
    <w:name w:val="List 2"/>
    <w:basedOn w:val="1"/>
    <w:qFormat/>
    <w:uiPriority w:val="0"/>
    <w:pPr>
      <w:ind w:left="100" w:leftChars="200" w:hanging="200" w:hangingChars="200"/>
    </w:pPr>
    <w:rPr>
      <w:szCs w:val="24"/>
    </w:rPr>
  </w:style>
  <w:style w:type="paragraph" w:styleId="23">
    <w:name w:val="Block Text"/>
    <w:basedOn w:val="1"/>
    <w:qFormat/>
    <w:uiPriority w:val="0"/>
    <w:pPr>
      <w:ind w:left="392" w:leftChars="131" w:right="-34" w:rightChars="-16" w:hanging="117" w:hangingChars="65"/>
    </w:pPr>
    <w:rPr>
      <w:sz w:val="18"/>
      <w:szCs w:val="24"/>
    </w:rPr>
  </w:style>
  <w:style w:type="paragraph" w:styleId="24">
    <w:name w:val="List Bullet 2"/>
    <w:basedOn w:val="1"/>
    <w:qFormat/>
    <w:uiPriority w:val="0"/>
    <w:pPr>
      <w:tabs>
        <w:tab w:val="left" w:pos="780"/>
      </w:tabs>
      <w:adjustRightInd w:val="0"/>
      <w:spacing w:line="500" w:lineRule="exact"/>
      <w:ind w:firstLine="562" w:firstLineChars="200"/>
      <w:textAlignment w:val="baseline"/>
    </w:pPr>
    <w:rPr>
      <w:rFonts w:ascii="宋体" w:hAnsi="宋体"/>
      <w:b/>
      <w:sz w:val="28"/>
      <w:szCs w:val="28"/>
    </w:rPr>
  </w:style>
  <w:style w:type="paragraph" w:styleId="25">
    <w:name w:val="toc 5"/>
    <w:basedOn w:val="1"/>
    <w:next w:val="1"/>
    <w:qFormat/>
    <w:uiPriority w:val="0"/>
    <w:pPr>
      <w:ind w:left="840"/>
      <w:jc w:val="left"/>
    </w:pPr>
    <w:rPr>
      <w:sz w:val="18"/>
      <w:szCs w:val="18"/>
    </w:rPr>
  </w:style>
  <w:style w:type="paragraph" w:styleId="26">
    <w:name w:val="toc 3"/>
    <w:basedOn w:val="1"/>
    <w:next w:val="1"/>
    <w:qFormat/>
    <w:uiPriority w:val="0"/>
    <w:pPr>
      <w:ind w:left="400" w:leftChars="400"/>
    </w:pPr>
    <w:rPr>
      <w:szCs w:val="24"/>
    </w:rPr>
  </w:style>
  <w:style w:type="paragraph" w:styleId="27">
    <w:name w:val="Plain Text"/>
    <w:basedOn w:val="1"/>
    <w:link w:val="80"/>
    <w:qFormat/>
    <w:uiPriority w:val="0"/>
    <w:rPr>
      <w:rFonts w:ascii="宋体" w:hAnsi="Courier New"/>
    </w:rPr>
  </w:style>
  <w:style w:type="paragraph" w:styleId="28">
    <w:name w:val="toc 8"/>
    <w:basedOn w:val="1"/>
    <w:next w:val="1"/>
    <w:qFormat/>
    <w:uiPriority w:val="0"/>
    <w:pPr>
      <w:ind w:left="1470"/>
      <w:jc w:val="left"/>
    </w:pPr>
    <w:rPr>
      <w:sz w:val="18"/>
      <w:szCs w:val="18"/>
    </w:rPr>
  </w:style>
  <w:style w:type="paragraph" w:styleId="29">
    <w:name w:val="Date"/>
    <w:basedOn w:val="1"/>
    <w:next w:val="1"/>
    <w:link w:val="81"/>
    <w:qFormat/>
    <w:uiPriority w:val="0"/>
    <w:rPr>
      <w:sz w:val="28"/>
    </w:rPr>
  </w:style>
  <w:style w:type="paragraph" w:styleId="30">
    <w:name w:val="Body Text Indent 2"/>
    <w:basedOn w:val="1"/>
    <w:qFormat/>
    <w:uiPriority w:val="0"/>
    <w:pPr>
      <w:spacing w:after="120" w:line="480" w:lineRule="auto"/>
      <w:ind w:left="420" w:leftChars="200"/>
    </w:pPr>
  </w:style>
  <w:style w:type="paragraph" w:styleId="31">
    <w:name w:val="Balloon Text"/>
    <w:basedOn w:val="1"/>
    <w:qFormat/>
    <w:uiPriority w:val="0"/>
    <w:rPr>
      <w:sz w:val="18"/>
    </w:rPr>
  </w:style>
  <w:style w:type="paragraph" w:styleId="32">
    <w:name w:val="footer"/>
    <w:basedOn w:val="1"/>
    <w:qFormat/>
    <w:uiPriority w:val="0"/>
    <w:pPr>
      <w:tabs>
        <w:tab w:val="center" w:pos="4153"/>
        <w:tab w:val="right" w:pos="8306"/>
      </w:tabs>
      <w:snapToGrid w:val="0"/>
      <w:jc w:val="left"/>
    </w:pPr>
    <w:rPr>
      <w:sz w:val="18"/>
    </w:rPr>
  </w:style>
  <w:style w:type="paragraph" w:styleId="33">
    <w:name w:val="envelope return"/>
    <w:basedOn w:val="1"/>
    <w:qFormat/>
    <w:uiPriority w:val="0"/>
    <w:pPr>
      <w:snapToGrid w:val="0"/>
    </w:pPr>
    <w:rPr>
      <w:rFonts w:ascii="Arial" w:hAnsi="Arial"/>
    </w:rPr>
  </w:style>
  <w:style w:type="paragraph" w:styleId="34">
    <w:name w:val="header"/>
    <w:basedOn w:val="1"/>
    <w:qFormat/>
    <w:uiPriority w:val="0"/>
    <w:pPr>
      <w:pBdr>
        <w:bottom w:val="single" w:color="auto" w:sz="6" w:space="1"/>
      </w:pBdr>
      <w:tabs>
        <w:tab w:val="center" w:pos="4153"/>
        <w:tab w:val="right" w:pos="8306"/>
      </w:tabs>
      <w:snapToGrid w:val="0"/>
      <w:jc w:val="center"/>
    </w:pPr>
    <w:rPr>
      <w:sz w:val="18"/>
    </w:rPr>
  </w:style>
  <w:style w:type="paragraph" w:styleId="35">
    <w:name w:val="toc 1"/>
    <w:basedOn w:val="1"/>
    <w:next w:val="1"/>
    <w:qFormat/>
    <w:uiPriority w:val="0"/>
  </w:style>
  <w:style w:type="paragraph" w:styleId="36">
    <w:name w:val="toc 4"/>
    <w:basedOn w:val="1"/>
    <w:next w:val="1"/>
    <w:qFormat/>
    <w:uiPriority w:val="0"/>
    <w:pPr>
      <w:ind w:left="630"/>
      <w:jc w:val="left"/>
    </w:pPr>
    <w:rPr>
      <w:sz w:val="18"/>
      <w:szCs w:val="18"/>
    </w:rPr>
  </w:style>
  <w:style w:type="paragraph" w:styleId="37">
    <w:name w:val="Subtitle"/>
    <w:basedOn w:val="1"/>
    <w:qFormat/>
    <w:uiPriority w:val="0"/>
    <w:pPr>
      <w:keepNext/>
      <w:widowControl/>
      <w:suppressLineNumbers/>
      <w:suppressAutoHyphens/>
      <w:adjustRightInd w:val="0"/>
      <w:jc w:val="center"/>
      <w:textAlignment w:val="baseline"/>
    </w:pPr>
    <w:rPr>
      <w:rFonts w:ascii="宋体" w:hAnsi="Courier New"/>
      <w:szCs w:val="24"/>
    </w:rPr>
  </w:style>
  <w:style w:type="paragraph" w:styleId="38">
    <w:name w:val="toc 6"/>
    <w:basedOn w:val="1"/>
    <w:next w:val="1"/>
    <w:qFormat/>
    <w:uiPriority w:val="0"/>
    <w:pPr>
      <w:ind w:left="1050"/>
      <w:jc w:val="left"/>
    </w:pPr>
    <w:rPr>
      <w:sz w:val="18"/>
      <w:szCs w:val="18"/>
    </w:rPr>
  </w:style>
  <w:style w:type="paragraph" w:styleId="39">
    <w:name w:val="Body Text Indent 3"/>
    <w:basedOn w:val="1"/>
    <w:qFormat/>
    <w:uiPriority w:val="0"/>
    <w:pPr>
      <w:ind w:firstLine="560" w:firstLineChars="200"/>
    </w:pPr>
    <w:rPr>
      <w:rFonts w:ascii="Arial" w:hAnsi="Arial"/>
      <w:color w:val="000000"/>
      <w:sz w:val="28"/>
      <w:szCs w:val="24"/>
    </w:rPr>
  </w:style>
  <w:style w:type="paragraph" w:styleId="40">
    <w:name w:val="toc 2"/>
    <w:basedOn w:val="1"/>
    <w:next w:val="1"/>
    <w:qFormat/>
    <w:uiPriority w:val="0"/>
    <w:pPr>
      <w:ind w:left="420" w:leftChars="200"/>
    </w:pPr>
  </w:style>
  <w:style w:type="paragraph" w:styleId="41">
    <w:name w:val="toc 9"/>
    <w:basedOn w:val="1"/>
    <w:next w:val="1"/>
    <w:qFormat/>
    <w:uiPriority w:val="0"/>
    <w:pPr>
      <w:ind w:left="1680"/>
      <w:jc w:val="left"/>
    </w:pPr>
    <w:rPr>
      <w:sz w:val="18"/>
      <w:szCs w:val="18"/>
    </w:rPr>
  </w:style>
  <w:style w:type="paragraph" w:styleId="42">
    <w:name w:val="Body Text 2"/>
    <w:basedOn w:val="1"/>
    <w:qFormat/>
    <w:uiPriority w:val="0"/>
    <w:pPr>
      <w:adjustRightInd w:val="0"/>
      <w:snapToGrid w:val="0"/>
      <w:spacing w:line="360" w:lineRule="exact"/>
    </w:pPr>
    <w:rPr>
      <w:rFonts w:ascii="宋体" w:hAnsi="宋体"/>
      <w:color w:val="000000"/>
      <w:sz w:val="24"/>
      <w:szCs w:val="24"/>
    </w:rPr>
  </w:style>
  <w:style w:type="paragraph" w:styleId="43">
    <w:name w:val="HTML Preformatted"/>
    <w:basedOn w:val="1"/>
    <w:link w:val="82"/>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44">
    <w:name w:val="Normal (Web)"/>
    <w:basedOn w:val="1"/>
    <w:next w:val="1"/>
    <w:qFormat/>
    <w:uiPriority w:val="0"/>
    <w:pPr>
      <w:spacing w:line="300" w:lineRule="auto"/>
    </w:pPr>
    <w:rPr>
      <w:rFonts w:ascii="宋体" w:hAnsi="宋体" w:cs="宋体"/>
      <w:kern w:val="0"/>
      <w:sz w:val="24"/>
      <w:szCs w:val="24"/>
    </w:rPr>
  </w:style>
  <w:style w:type="paragraph" w:styleId="45">
    <w:name w:val="Title"/>
    <w:basedOn w:val="1"/>
    <w:next w:val="1"/>
    <w:link w:val="83"/>
    <w:qFormat/>
    <w:uiPriority w:val="0"/>
    <w:pPr>
      <w:spacing w:before="240" w:after="60"/>
      <w:jc w:val="center"/>
      <w:outlineLvl w:val="0"/>
    </w:pPr>
    <w:rPr>
      <w:rFonts w:ascii="Cambria" w:hAnsi="Cambria"/>
      <w:b/>
      <w:bCs/>
      <w:sz w:val="32"/>
      <w:szCs w:val="32"/>
    </w:rPr>
  </w:style>
  <w:style w:type="paragraph" w:styleId="46">
    <w:name w:val="annotation subject"/>
    <w:basedOn w:val="18"/>
    <w:next w:val="18"/>
    <w:qFormat/>
    <w:uiPriority w:val="0"/>
    <w:rPr>
      <w:b/>
    </w:rPr>
  </w:style>
  <w:style w:type="paragraph" w:styleId="47">
    <w:name w:val="Body Text First Indent"/>
    <w:basedOn w:val="20"/>
    <w:link w:val="84"/>
    <w:qFormat/>
    <w:uiPriority w:val="0"/>
    <w:pPr>
      <w:spacing w:after="120" w:line="240" w:lineRule="auto"/>
      <w:ind w:firstLine="420" w:firstLineChars="100"/>
    </w:pPr>
    <w:rPr>
      <w:sz w:val="21"/>
      <w:szCs w:val="24"/>
    </w:rPr>
  </w:style>
  <w:style w:type="paragraph" w:styleId="48">
    <w:name w:val="Body Text First Indent 2"/>
    <w:basedOn w:val="21"/>
    <w:link w:val="71"/>
    <w:qFormat/>
    <w:uiPriority w:val="0"/>
    <w:pPr>
      <w:ind w:firstLine="420" w:firstLineChars="200"/>
    </w:pPr>
    <w:rPr>
      <w:szCs w:val="24"/>
    </w:rPr>
  </w:style>
  <w:style w:type="table" w:styleId="50">
    <w:name w:val="Table Grid"/>
    <w:basedOn w:val="4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2">
    <w:name w:val="Strong"/>
    <w:basedOn w:val="51"/>
    <w:qFormat/>
    <w:uiPriority w:val="0"/>
    <w:rPr>
      <w:rFonts w:eastAsia="宋体"/>
      <w:b/>
      <w:bCs/>
      <w:kern w:val="2"/>
      <w:sz w:val="24"/>
      <w:szCs w:val="24"/>
      <w:lang w:val="en-US" w:eastAsia="zh-CN" w:bidi="ar-SA"/>
    </w:rPr>
  </w:style>
  <w:style w:type="character" w:styleId="53">
    <w:name w:val="page number"/>
    <w:qFormat/>
    <w:uiPriority w:val="0"/>
  </w:style>
  <w:style w:type="character" w:styleId="54">
    <w:name w:val="FollowedHyperlink"/>
    <w:qFormat/>
    <w:uiPriority w:val="0"/>
    <w:rPr>
      <w:color w:val="551A8B"/>
      <w:u w:val="none"/>
    </w:rPr>
  </w:style>
  <w:style w:type="character" w:styleId="55">
    <w:name w:val="Emphasis"/>
    <w:qFormat/>
    <w:uiPriority w:val="0"/>
    <w:rPr>
      <w:color w:val="CC0000"/>
    </w:rPr>
  </w:style>
  <w:style w:type="character" w:styleId="56">
    <w:name w:val="HTML Definition"/>
    <w:qFormat/>
    <w:uiPriority w:val="0"/>
    <w:rPr>
      <w:i/>
    </w:rPr>
  </w:style>
  <w:style w:type="character" w:styleId="57">
    <w:name w:val="Hyperlink"/>
    <w:qFormat/>
    <w:uiPriority w:val="0"/>
    <w:rPr>
      <w:color w:val="0000EE"/>
      <w:u w:val="none"/>
    </w:rPr>
  </w:style>
  <w:style w:type="character" w:styleId="58">
    <w:name w:val="HTML Code"/>
    <w:qFormat/>
    <w:uiPriority w:val="0"/>
    <w:rPr>
      <w:rFonts w:hint="default" w:ascii="monospace" w:hAnsi="monospace" w:eastAsia="monospace" w:cs="monospace"/>
      <w:sz w:val="21"/>
      <w:szCs w:val="21"/>
    </w:rPr>
  </w:style>
  <w:style w:type="character" w:styleId="59">
    <w:name w:val="annotation reference"/>
    <w:qFormat/>
    <w:uiPriority w:val="0"/>
    <w:rPr>
      <w:sz w:val="21"/>
    </w:rPr>
  </w:style>
  <w:style w:type="character" w:styleId="60">
    <w:name w:val="HTML Keyboard"/>
    <w:qFormat/>
    <w:uiPriority w:val="0"/>
    <w:rPr>
      <w:rFonts w:ascii="monospace" w:hAnsi="monospace" w:eastAsia="monospace" w:cs="monospace"/>
      <w:sz w:val="21"/>
      <w:szCs w:val="21"/>
    </w:rPr>
  </w:style>
  <w:style w:type="character" w:styleId="61">
    <w:name w:val="HTML Sample"/>
    <w:qFormat/>
    <w:uiPriority w:val="0"/>
    <w:rPr>
      <w:rFonts w:hint="default" w:ascii="monospace" w:hAnsi="monospace" w:eastAsia="monospace" w:cs="monospace"/>
      <w:sz w:val="21"/>
      <w:szCs w:val="21"/>
    </w:rPr>
  </w:style>
  <w:style w:type="character" w:customStyle="1" w:styleId="62">
    <w:name w:val="标题 2 Char"/>
    <w:qFormat/>
    <w:uiPriority w:val="0"/>
    <w:rPr>
      <w:rFonts w:ascii="CG Times" w:hAnsi="CG Times" w:eastAsia="宋体"/>
      <w:b/>
      <w:kern w:val="2"/>
      <w:sz w:val="30"/>
      <w:lang w:val="en-US" w:eastAsia="zh-CN" w:bidi="ar-SA"/>
    </w:rPr>
  </w:style>
  <w:style w:type="paragraph" w:customStyle="1" w:styleId="63">
    <w:name w:val="Fließtext"/>
    <w:basedOn w:val="1"/>
    <w:qFormat/>
    <w:uiPriority w:val="0"/>
    <w:pPr>
      <w:overflowPunct w:val="0"/>
      <w:autoSpaceDE w:val="0"/>
      <w:autoSpaceDN w:val="0"/>
      <w:adjustRightInd w:val="0"/>
      <w:textAlignment w:val="baseline"/>
    </w:pPr>
    <w:rPr>
      <w:kern w:val="28"/>
    </w:rPr>
  </w:style>
  <w:style w:type="paragraph" w:customStyle="1" w:styleId="64">
    <w:name w:val="样式 标题 3 + (中文) 黑体 小四 非加粗 段前: 7.8 磅 段后: 0 磅 行距: 固定值 20 磅"/>
    <w:basedOn w:val="4"/>
    <w:qFormat/>
    <w:uiPriority w:val="0"/>
    <w:pPr>
      <w:tabs>
        <w:tab w:val="left" w:pos="425"/>
        <w:tab w:val="clear" w:pos="5852"/>
      </w:tabs>
      <w:spacing w:before="0" w:line="400" w:lineRule="exact"/>
    </w:pPr>
    <w:rPr>
      <w:rFonts w:eastAsia="黑体" w:cs="宋体"/>
      <w:b w:val="0"/>
      <w:sz w:val="24"/>
    </w:rPr>
  </w:style>
  <w:style w:type="paragraph" w:customStyle="1" w:styleId="65">
    <w:name w:val="样式 标题 3 + (中文) 黑体 小四 非加粗 段前: 7.8 磅 段后: 0 磅 行距: 固定值 20 磅_0"/>
    <w:basedOn w:val="66"/>
    <w:qFormat/>
    <w:uiPriority w:val="0"/>
    <w:pPr>
      <w:spacing w:before="0" w:after="0" w:line="400" w:lineRule="exact"/>
    </w:pPr>
    <w:rPr>
      <w:rFonts w:cs="宋体"/>
      <w:sz w:val="21"/>
      <w:szCs w:val="20"/>
    </w:rPr>
  </w:style>
  <w:style w:type="paragraph" w:customStyle="1" w:styleId="66">
    <w:name w:val="Heading 31"/>
    <w:basedOn w:val="67"/>
    <w:next w:val="67"/>
    <w:qFormat/>
    <w:uiPriority w:val="99"/>
    <w:pPr>
      <w:keepNext/>
      <w:keepLines/>
      <w:spacing w:before="260" w:after="260" w:line="412" w:lineRule="auto"/>
      <w:ind w:firstLine="137" w:firstLineChars="49"/>
      <w:outlineLvl w:val="2"/>
    </w:pPr>
    <w:rPr>
      <w:rFonts w:ascii="黑体" w:hAnsi="宋体" w:eastAsia="黑体" w:cs="黑体"/>
      <w:sz w:val="28"/>
      <w:szCs w:val="28"/>
    </w:rPr>
  </w:style>
  <w:style w:type="paragraph" w:customStyle="1" w:styleId="67">
    <w:name w:val="Normal1"/>
    <w:next w:val="68"/>
    <w:qFormat/>
    <w:uiPriority w:val="99"/>
    <w:pPr>
      <w:widowControl w:val="0"/>
      <w:jc w:val="both"/>
    </w:pPr>
    <w:rPr>
      <w:rFonts w:ascii="Times New Roman" w:hAnsi="Times New Roman" w:eastAsia="宋体" w:cs="Times New Roman"/>
      <w:kern w:val="2"/>
      <w:sz w:val="21"/>
      <w:szCs w:val="22"/>
      <w:lang w:val="en-US" w:eastAsia="zh-CN" w:bidi="ar-SA"/>
    </w:rPr>
  </w:style>
  <w:style w:type="paragraph" w:customStyle="1" w:styleId="68">
    <w:name w:val="Body Text First Indent 21"/>
    <w:basedOn w:val="69"/>
    <w:next w:val="65"/>
    <w:qFormat/>
    <w:uiPriority w:val="99"/>
    <w:pPr>
      <w:ind w:firstLine="420" w:firstLineChars="200"/>
    </w:pPr>
  </w:style>
  <w:style w:type="paragraph" w:customStyle="1" w:styleId="69">
    <w:name w:val="Body Text Indent1"/>
    <w:basedOn w:val="67"/>
    <w:next w:val="67"/>
    <w:qFormat/>
    <w:uiPriority w:val="99"/>
    <w:pPr>
      <w:spacing w:after="120"/>
      <w:ind w:left="420" w:leftChars="200"/>
    </w:pPr>
  </w:style>
  <w:style w:type="paragraph" w:customStyle="1" w:styleId="70">
    <w:name w:val="Body Text First Indent1"/>
    <w:qFormat/>
    <w:uiPriority w:val="0"/>
    <w:pPr>
      <w:widowControl w:val="0"/>
      <w:spacing w:line="380" w:lineRule="exact"/>
      <w:ind w:firstLine="420" w:firstLineChars="100"/>
      <w:jc w:val="both"/>
    </w:pPr>
    <w:rPr>
      <w:rFonts w:ascii="Times New Roman" w:hAnsi="Times New Roman" w:eastAsia="宋体" w:cs="Times New Roman"/>
      <w:kern w:val="2"/>
      <w:sz w:val="24"/>
      <w:szCs w:val="24"/>
      <w:lang w:val="en-US" w:eastAsia="zh-CN" w:bidi="ar-SA"/>
    </w:rPr>
  </w:style>
  <w:style w:type="character" w:customStyle="1" w:styleId="71">
    <w:name w:val="正文首行缩进 2 Char"/>
    <w:link w:val="48"/>
    <w:qFormat/>
    <w:uiPriority w:val="0"/>
    <w:rPr>
      <w:rFonts w:eastAsia="宋体"/>
      <w:kern w:val="2"/>
      <w:sz w:val="21"/>
      <w:szCs w:val="24"/>
      <w:lang w:val="en-US" w:eastAsia="zh-CN" w:bidi="ar-SA"/>
    </w:rPr>
  </w:style>
  <w:style w:type="character" w:customStyle="1" w:styleId="72">
    <w:name w:val="标题 1 Char1"/>
    <w:link w:val="2"/>
    <w:qFormat/>
    <w:uiPriority w:val="0"/>
    <w:rPr>
      <w:rFonts w:eastAsia="黑体"/>
      <w:b/>
      <w:kern w:val="44"/>
      <w:sz w:val="36"/>
      <w:lang w:val="en-US" w:eastAsia="zh-CN" w:bidi="ar-SA"/>
    </w:rPr>
  </w:style>
  <w:style w:type="character" w:customStyle="1" w:styleId="73">
    <w:name w:val="标题 2 Char1"/>
    <w:link w:val="3"/>
    <w:qFormat/>
    <w:uiPriority w:val="0"/>
    <w:rPr>
      <w:rFonts w:ascii="Cambria" w:hAnsi="Cambria" w:eastAsia="宋体" w:cs="Times New Roman"/>
      <w:b/>
      <w:bCs/>
      <w:sz w:val="32"/>
      <w:szCs w:val="32"/>
    </w:rPr>
  </w:style>
  <w:style w:type="character" w:customStyle="1" w:styleId="74">
    <w:name w:val="标题 3 Char"/>
    <w:link w:val="4"/>
    <w:qFormat/>
    <w:uiPriority w:val="0"/>
    <w:rPr>
      <w:rFonts w:eastAsia="宋体"/>
      <w:b/>
      <w:kern w:val="2"/>
      <w:sz w:val="28"/>
      <w:lang w:val="en-US" w:eastAsia="zh-CN" w:bidi="ar-SA"/>
    </w:rPr>
  </w:style>
  <w:style w:type="character" w:customStyle="1" w:styleId="75">
    <w:name w:val="标题 4 Char"/>
    <w:link w:val="5"/>
    <w:semiHidden/>
    <w:qFormat/>
    <w:uiPriority w:val="0"/>
    <w:rPr>
      <w:rFonts w:ascii="宋体" w:eastAsia="宋体"/>
      <w:b/>
      <w:kern w:val="2"/>
      <w:sz w:val="28"/>
      <w:lang w:val="en-US" w:eastAsia="zh-CN" w:bidi="ar-SA"/>
    </w:rPr>
  </w:style>
  <w:style w:type="character" w:customStyle="1" w:styleId="76">
    <w:name w:val="标题 5 Char"/>
    <w:link w:val="6"/>
    <w:qFormat/>
    <w:uiPriority w:val="0"/>
    <w:rPr>
      <w:rFonts w:eastAsia="宋体"/>
      <w:b/>
      <w:kern w:val="2"/>
      <w:sz w:val="28"/>
      <w:lang w:val="en-US" w:eastAsia="zh-CN" w:bidi="ar-SA"/>
    </w:rPr>
  </w:style>
  <w:style w:type="character" w:customStyle="1" w:styleId="77">
    <w:name w:val="正文缩进 Char"/>
    <w:link w:val="7"/>
    <w:qFormat/>
    <w:locked/>
    <w:uiPriority w:val="0"/>
    <w:rPr>
      <w:rFonts w:eastAsia="宋体"/>
      <w:kern w:val="2"/>
      <w:sz w:val="21"/>
      <w:lang w:val="en-US" w:eastAsia="zh-CN" w:bidi="ar-SA"/>
    </w:rPr>
  </w:style>
  <w:style w:type="character" w:customStyle="1" w:styleId="78">
    <w:name w:val="标题 6 Char"/>
    <w:link w:val="8"/>
    <w:qFormat/>
    <w:uiPriority w:val="0"/>
    <w:rPr>
      <w:rFonts w:ascii="Arial" w:hAnsi="Arial" w:eastAsia="黑体"/>
      <w:b/>
      <w:kern w:val="2"/>
      <w:sz w:val="24"/>
      <w:lang w:val="en-US" w:eastAsia="zh-CN" w:bidi="ar-SA"/>
    </w:rPr>
  </w:style>
  <w:style w:type="character" w:customStyle="1" w:styleId="79">
    <w:name w:val="标题 7 Char"/>
    <w:link w:val="9"/>
    <w:qFormat/>
    <w:uiPriority w:val="0"/>
    <w:rPr>
      <w:rFonts w:eastAsia="宋体"/>
      <w:b/>
      <w:kern w:val="2"/>
      <w:sz w:val="24"/>
      <w:lang w:val="en-US" w:eastAsia="zh-CN" w:bidi="ar-SA"/>
    </w:rPr>
  </w:style>
  <w:style w:type="character" w:customStyle="1" w:styleId="80">
    <w:name w:val="纯文本 Char"/>
    <w:link w:val="27"/>
    <w:semiHidden/>
    <w:qFormat/>
    <w:uiPriority w:val="0"/>
    <w:rPr>
      <w:rFonts w:ascii="宋体" w:hAnsi="Courier New" w:eastAsia="宋体"/>
      <w:kern w:val="2"/>
      <w:sz w:val="21"/>
      <w:lang w:val="en-US" w:eastAsia="zh-CN" w:bidi="ar-SA"/>
    </w:rPr>
  </w:style>
  <w:style w:type="character" w:customStyle="1" w:styleId="81">
    <w:name w:val="日期 Char"/>
    <w:link w:val="29"/>
    <w:qFormat/>
    <w:uiPriority w:val="0"/>
    <w:rPr>
      <w:rFonts w:eastAsia="宋体"/>
      <w:kern w:val="2"/>
      <w:sz w:val="28"/>
      <w:lang w:val="en-US" w:eastAsia="zh-CN" w:bidi="ar-SA"/>
    </w:rPr>
  </w:style>
  <w:style w:type="character" w:customStyle="1" w:styleId="82">
    <w:name w:val="HTML 预设格式 Char"/>
    <w:link w:val="43"/>
    <w:qFormat/>
    <w:uiPriority w:val="0"/>
    <w:rPr>
      <w:rFonts w:ascii="宋体" w:hAnsi="宋体" w:eastAsia="宋体" w:cs="宋体"/>
      <w:sz w:val="24"/>
      <w:szCs w:val="24"/>
      <w:lang w:val="en-US" w:eastAsia="zh-CN" w:bidi="ar-SA"/>
    </w:rPr>
  </w:style>
  <w:style w:type="character" w:customStyle="1" w:styleId="83">
    <w:name w:val="标题 Char"/>
    <w:link w:val="45"/>
    <w:qFormat/>
    <w:uiPriority w:val="0"/>
    <w:rPr>
      <w:rFonts w:ascii="Cambria" w:hAnsi="Cambria" w:eastAsia="宋体"/>
      <w:b/>
      <w:bCs/>
      <w:kern w:val="2"/>
      <w:sz w:val="32"/>
      <w:szCs w:val="32"/>
      <w:lang w:val="en-US" w:eastAsia="zh-CN" w:bidi="ar-SA"/>
    </w:rPr>
  </w:style>
  <w:style w:type="character" w:customStyle="1" w:styleId="84">
    <w:name w:val="正文首行缩进 Char"/>
    <w:link w:val="47"/>
    <w:qFormat/>
    <w:uiPriority w:val="0"/>
    <w:rPr>
      <w:rFonts w:eastAsia="宋体"/>
      <w:kern w:val="2"/>
      <w:sz w:val="21"/>
      <w:szCs w:val="24"/>
      <w:lang w:val="en-US" w:eastAsia="zh-CN" w:bidi="ar-SA"/>
    </w:rPr>
  </w:style>
  <w:style w:type="paragraph" w:customStyle="1" w:styleId="85">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86">
    <w:name w:val="表格文字"/>
    <w:basedOn w:val="1"/>
    <w:qFormat/>
    <w:uiPriority w:val="0"/>
    <w:pPr>
      <w:autoSpaceDE w:val="0"/>
      <w:autoSpaceDN w:val="0"/>
      <w:adjustRightInd w:val="0"/>
      <w:spacing w:line="420" w:lineRule="atLeast"/>
      <w:textAlignment w:val="baseline"/>
    </w:pPr>
    <w:rPr>
      <w:kern w:val="0"/>
      <w:lang w:val="zh-CN" w:bidi="zh-CN"/>
    </w:rPr>
  </w:style>
  <w:style w:type="paragraph" w:customStyle="1" w:styleId="87">
    <w:name w:val="链接"/>
    <w:qFormat/>
    <w:uiPriority w:val="99"/>
    <w:pPr>
      <w:widowControl w:val="0"/>
      <w:autoSpaceDE w:val="0"/>
      <w:autoSpaceDN w:val="0"/>
      <w:adjustRightInd w:val="0"/>
      <w:ind w:left="720"/>
    </w:pPr>
    <w:rPr>
      <w:rFonts w:ascii="Times New Roman" w:hAnsi="Times New Roman" w:eastAsia="宋体" w:cs="Times New Roman"/>
      <w:color w:val="0000FF"/>
      <w:sz w:val="21"/>
      <w:szCs w:val="21"/>
      <w:u w:val="single"/>
      <w:lang w:val="en-US" w:eastAsia="zh-CN" w:bidi="ar-SA"/>
    </w:rPr>
  </w:style>
  <w:style w:type="character" w:customStyle="1" w:styleId="88">
    <w:name w:val="样式91"/>
    <w:qFormat/>
    <w:uiPriority w:val="0"/>
    <w:rPr>
      <w:rFonts w:eastAsia="宋体"/>
      <w:kern w:val="2"/>
      <w:sz w:val="14"/>
      <w:szCs w:val="14"/>
      <w:lang w:val="en-US" w:eastAsia="zh-CN" w:bidi="ar-SA"/>
    </w:rPr>
  </w:style>
  <w:style w:type="character" w:customStyle="1" w:styleId="89">
    <w:name w:val="case31"/>
    <w:qFormat/>
    <w:uiPriority w:val="0"/>
    <w:rPr>
      <w:rFonts w:ascii="ˎ̥" w:hAnsi="ˎ̥" w:eastAsia="宋体"/>
      <w:kern w:val="2"/>
      <w:sz w:val="24"/>
      <w:szCs w:val="24"/>
      <w:lang w:val="en-US" w:eastAsia="zh-CN" w:bidi="ar-SA"/>
    </w:rPr>
  </w:style>
  <w:style w:type="character" w:customStyle="1" w:styleId="90">
    <w:name w:val="标题 6 Char Char"/>
    <w:qFormat/>
    <w:uiPriority w:val="0"/>
    <w:rPr>
      <w:rFonts w:ascii="宋体" w:hAnsi="宋体" w:eastAsia="宋体"/>
      <w:b/>
      <w:bCs/>
      <w:kern w:val="2"/>
      <w:sz w:val="24"/>
      <w:szCs w:val="21"/>
      <w:lang w:val="en-US" w:eastAsia="zh-CN" w:bidi="ar-SA"/>
    </w:rPr>
  </w:style>
  <w:style w:type="character" w:customStyle="1" w:styleId="91">
    <w:name w:val="b titlename wangputoptitle"/>
    <w:qFormat/>
    <w:uiPriority w:val="0"/>
  </w:style>
  <w:style w:type="character" w:customStyle="1" w:styleId="92">
    <w:name w:val="样式 (西文) 宋体 小四 首行缩进:  2 字符1 Char Char Char Char Char"/>
    <w:qFormat/>
    <w:uiPriority w:val="0"/>
    <w:rPr>
      <w:rFonts w:ascii="宋体" w:hAnsi="宋体" w:eastAsia="宋体" w:cs="宋体"/>
      <w:kern w:val="2"/>
      <w:sz w:val="24"/>
      <w:lang w:val="en-US" w:eastAsia="zh-CN" w:bidi="ar-SA"/>
    </w:rPr>
  </w:style>
  <w:style w:type="character" w:customStyle="1" w:styleId="93">
    <w:name w:val="纯文本 Char Char_2"/>
    <w:link w:val="94"/>
    <w:qFormat/>
    <w:uiPriority w:val="0"/>
    <w:rPr>
      <w:rFonts w:ascii="宋体" w:hAnsi="Courier New" w:eastAsia="宋体"/>
      <w:kern w:val="2"/>
      <w:sz w:val="21"/>
      <w:lang w:val="en-US" w:eastAsia="zh-CN" w:bidi="ar-SA"/>
    </w:rPr>
  </w:style>
  <w:style w:type="paragraph" w:customStyle="1" w:styleId="94">
    <w:name w:val="纯文本_2"/>
    <w:basedOn w:val="1"/>
    <w:link w:val="93"/>
    <w:qFormat/>
    <w:uiPriority w:val="0"/>
    <w:rPr>
      <w:rFonts w:ascii="宋体" w:hAnsi="Courier New"/>
    </w:rPr>
  </w:style>
  <w:style w:type="character" w:customStyle="1" w:styleId="95">
    <w:name w:val="样式81"/>
    <w:qFormat/>
    <w:uiPriority w:val="0"/>
    <w:rPr>
      <w:rFonts w:eastAsia="宋体"/>
      <w:color w:val="FF9A00"/>
      <w:kern w:val="2"/>
      <w:sz w:val="24"/>
      <w:szCs w:val="24"/>
      <w:lang w:val="en-US" w:eastAsia="zh-CN" w:bidi="ar-SA"/>
    </w:rPr>
  </w:style>
  <w:style w:type="character" w:customStyle="1" w:styleId="96">
    <w:name w:val="Char Char5"/>
    <w:qFormat/>
    <w:uiPriority w:val="0"/>
    <w:rPr>
      <w:rFonts w:ascii="宋体" w:hAnsi="宋体" w:eastAsia="宋体"/>
      <w:b/>
      <w:kern w:val="2"/>
      <w:sz w:val="24"/>
      <w:szCs w:val="24"/>
      <w:lang w:val="en-US" w:eastAsia="zh-CN" w:bidi="ar-SA"/>
    </w:rPr>
  </w:style>
  <w:style w:type="character" w:customStyle="1" w:styleId="97">
    <w:name w:val="Char Char11"/>
    <w:qFormat/>
    <w:uiPriority w:val="0"/>
    <w:rPr>
      <w:rFonts w:ascii="Arial" w:hAnsi="Arial" w:eastAsia="黑体"/>
      <w:b/>
      <w:bCs/>
      <w:kern w:val="2"/>
      <w:sz w:val="28"/>
      <w:szCs w:val="28"/>
      <w:lang w:val="en-US" w:eastAsia="zh-CN" w:bidi="ar-SA"/>
    </w:rPr>
  </w:style>
  <w:style w:type="character" w:customStyle="1" w:styleId="98">
    <w:name w:val="正文文本 Char Char"/>
    <w:qFormat/>
    <w:uiPriority w:val="0"/>
    <w:rPr>
      <w:rFonts w:eastAsia="宋体"/>
      <w:kern w:val="2"/>
      <w:sz w:val="21"/>
      <w:szCs w:val="24"/>
      <w:lang w:val="en-US" w:eastAsia="zh-CN" w:bidi="ar-SA"/>
    </w:rPr>
  </w:style>
  <w:style w:type="character" w:customStyle="1" w:styleId="99">
    <w:name w:val="样式 (西文) 宋体 小四 首行缩进:  2 字符1 Char Char Char"/>
    <w:qFormat/>
    <w:uiPriority w:val="0"/>
    <w:rPr>
      <w:rFonts w:ascii="宋体" w:hAnsi="宋体" w:eastAsia="宋体" w:cs="宋体"/>
      <w:kern w:val="2"/>
      <w:sz w:val="24"/>
      <w:lang w:val="en-US" w:eastAsia="zh-CN" w:bidi="ar-SA"/>
    </w:rPr>
  </w:style>
  <w:style w:type="character" w:customStyle="1" w:styleId="100">
    <w:name w:val="表格内容 Char"/>
    <w:link w:val="101"/>
    <w:qFormat/>
    <w:uiPriority w:val="0"/>
    <w:rPr>
      <w:rFonts w:ascii="宋体" w:eastAsia="宋体"/>
      <w:kern w:val="2"/>
      <w:sz w:val="24"/>
      <w:lang w:val="en-US" w:eastAsia="zh-CN" w:bidi="ar-SA"/>
    </w:rPr>
  </w:style>
  <w:style w:type="paragraph" w:customStyle="1" w:styleId="101">
    <w:name w:val="表格内容"/>
    <w:basedOn w:val="1"/>
    <w:link w:val="100"/>
    <w:qFormat/>
    <w:uiPriority w:val="0"/>
    <w:pPr>
      <w:jc w:val="center"/>
    </w:pPr>
    <w:rPr>
      <w:rFonts w:ascii="宋体"/>
      <w:sz w:val="24"/>
    </w:rPr>
  </w:style>
  <w:style w:type="character" w:customStyle="1" w:styleId="102">
    <w:name w:val="段落 Char"/>
    <w:link w:val="103"/>
    <w:qFormat/>
    <w:uiPriority w:val="0"/>
    <w:rPr>
      <w:rFonts w:eastAsia="仿宋_GB2312"/>
      <w:kern w:val="2"/>
      <w:sz w:val="24"/>
      <w:lang w:val="en-US" w:eastAsia="zh-CN" w:bidi="ar-SA"/>
    </w:rPr>
  </w:style>
  <w:style w:type="paragraph" w:customStyle="1" w:styleId="103">
    <w:name w:val="段落"/>
    <w:link w:val="102"/>
    <w:qFormat/>
    <w:uiPriority w:val="0"/>
    <w:pPr>
      <w:adjustRightInd w:val="0"/>
      <w:snapToGrid w:val="0"/>
      <w:spacing w:before="120" w:after="120" w:line="360" w:lineRule="auto"/>
      <w:ind w:firstLine="480" w:firstLineChars="200"/>
      <w:jc w:val="both"/>
    </w:pPr>
    <w:rPr>
      <w:rFonts w:ascii="Times New Roman" w:hAnsi="Times New Roman" w:eastAsia="仿宋_GB2312" w:cs="Times New Roman"/>
      <w:kern w:val="2"/>
      <w:sz w:val="24"/>
      <w:lang w:val="en-US" w:eastAsia="zh-CN" w:bidi="ar-SA"/>
    </w:rPr>
  </w:style>
  <w:style w:type="character" w:customStyle="1" w:styleId="104">
    <w:name w:val="webdict1"/>
    <w:qFormat/>
    <w:uiPriority w:val="0"/>
    <w:rPr>
      <w:b/>
      <w:bCs/>
    </w:rPr>
  </w:style>
  <w:style w:type="character" w:customStyle="1" w:styleId="105">
    <w:name w:val="font-121"/>
    <w:qFormat/>
    <w:uiPriority w:val="0"/>
    <w:rPr>
      <w:rFonts w:eastAsia="宋体"/>
      <w:color w:val="666666"/>
      <w:kern w:val="2"/>
      <w:sz w:val="18"/>
      <w:szCs w:val="24"/>
      <w:u w:val="none"/>
      <w:lang w:val="en-US" w:eastAsia="zh-CN" w:bidi="ar-SA"/>
    </w:rPr>
  </w:style>
  <w:style w:type="character" w:customStyle="1" w:styleId="106">
    <w:name w:val="样式 (西文) 宋体 小四 首行缩进:  2 字符1 Char1"/>
    <w:qFormat/>
    <w:uiPriority w:val="0"/>
    <w:rPr>
      <w:rFonts w:ascii="宋体" w:hAnsi="宋体" w:eastAsia="宋体" w:cs="宋体"/>
      <w:kern w:val="2"/>
      <w:sz w:val="24"/>
      <w:lang w:val="en-US" w:eastAsia="zh-CN" w:bidi="ar-SA"/>
    </w:rPr>
  </w:style>
  <w:style w:type="character" w:customStyle="1" w:styleId="107">
    <w:name w:val="首行缩进 Char"/>
    <w:link w:val="108"/>
    <w:qFormat/>
    <w:uiPriority w:val="0"/>
    <w:rPr>
      <w:rFonts w:ascii="宋体" w:hAnsi="宋体" w:eastAsia="宋体"/>
      <w:kern w:val="2"/>
      <w:sz w:val="21"/>
      <w:lang w:val="en-US" w:eastAsia="zh-CN"/>
    </w:rPr>
  </w:style>
  <w:style w:type="paragraph" w:customStyle="1" w:styleId="108">
    <w:name w:val="首行缩进"/>
    <w:basedOn w:val="1"/>
    <w:link w:val="107"/>
    <w:qFormat/>
    <w:uiPriority w:val="0"/>
    <w:pPr>
      <w:spacing w:line="360" w:lineRule="auto"/>
      <w:ind w:firstLine="200" w:firstLineChars="200"/>
    </w:pPr>
    <w:rPr>
      <w:rFonts w:ascii="宋体" w:hAnsi="宋体"/>
    </w:rPr>
  </w:style>
  <w:style w:type="character" w:customStyle="1" w:styleId="109">
    <w:name w:val="正文格式 Char"/>
    <w:link w:val="110"/>
    <w:qFormat/>
    <w:uiPriority w:val="0"/>
    <w:rPr>
      <w:rFonts w:ascii="宋体" w:hAnsi="宋体" w:eastAsia="宋体" w:cs="宋体"/>
      <w:sz w:val="24"/>
      <w:lang w:val="en-US" w:eastAsia="zh-CN" w:bidi="ar-SA"/>
    </w:rPr>
  </w:style>
  <w:style w:type="paragraph" w:customStyle="1" w:styleId="110">
    <w:name w:val="正文格式"/>
    <w:basedOn w:val="1"/>
    <w:link w:val="109"/>
    <w:qFormat/>
    <w:uiPriority w:val="0"/>
    <w:pPr>
      <w:widowControl/>
      <w:adjustRightInd w:val="0"/>
      <w:snapToGrid w:val="0"/>
      <w:spacing w:line="360" w:lineRule="atLeast"/>
      <w:ind w:firstLine="482"/>
      <w:textAlignment w:val="baseline"/>
    </w:pPr>
    <w:rPr>
      <w:rFonts w:ascii="宋体" w:hAnsi="宋体" w:cs="宋体"/>
      <w:kern w:val="0"/>
      <w:sz w:val="24"/>
    </w:rPr>
  </w:style>
  <w:style w:type="character" w:customStyle="1" w:styleId="111">
    <w:name w:val="Char Char4"/>
    <w:qFormat/>
    <w:uiPriority w:val="0"/>
    <w:rPr>
      <w:rFonts w:eastAsia="宋体"/>
      <w:b/>
      <w:kern w:val="2"/>
      <w:sz w:val="24"/>
      <w:szCs w:val="24"/>
      <w:lang w:val="en-US" w:eastAsia="zh-CN" w:bidi="ar-SA"/>
    </w:rPr>
  </w:style>
  <w:style w:type="character" w:customStyle="1" w:styleId="112">
    <w:name w:val="main12"/>
    <w:qFormat/>
    <w:uiPriority w:val="0"/>
    <w:rPr>
      <w:rFonts w:eastAsia="宋体"/>
      <w:kern w:val="2"/>
      <w:sz w:val="24"/>
      <w:szCs w:val="24"/>
      <w:lang w:val="en-US" w:eastAsia="zh-CN" w:bidi="ar-SA"/>
    </w:rPr>
  </w:style>
  <w:style w:type="character" w:customStyle="1" w:styleId="113">
    <w:name w:val="len-22 txt12p"/>
    <w:qFormat/>
    <w:uiPriority w:val="0"/>
    <w:rPr>
      <w:rFonts w:eastAsia="宋体"/>
      <w:kern w:val="2"/>
      <w:sz w:val="24"/>
      <w:szCs w:val="24"/>
      <w:lang w:val="en-US" w:eastAsia="zh-CN" w:bidi="ar-SA"/>
    </w:rPr>
  </w:style>
  <w:style w:type="character" w:customStyle="1" w:styleId="114">
    <w:name w:val="font01"/>
    <w:basedOn w:val="51"/>
    <w:qFormat/>
    <w:uiPriority w:val="0"/>
    <w:rPr>
      <w:rFonts w:hint="eastAsia" w:ascii="宋体" w:hAnsi="宋体" w:eastAsia="宋体" w:cs="宋体"/>
      <w:color w:val="000000"/>
      <w:sz w:val="24"/>
      <w:szCs w:val="24"/>
      <w:u w:val="none"/>
    </w:rPr>
  </w:style>
  <w:style w:type="character" w:customStyle="1" w:styleId="115">
    <w:name w:val="main1"/>
    <w:qFormat/>
    <w:uiPriority w:val="0"/>
  </w:style>
  <w:style w:type="character" w:customStyle="1" w:styleId="116">
    <w:name w:val="bigword1"/>
    <w:qFormat/>
    <w:uiPriority w:val="0"/>
    <w:rPr>
      <w:sz w:val="21"/>
      <w:szCs w:val="21"/>
    </w:rPr>
  </w:style>
  <w:style w:type="character" w:customStyle="1" w:styleId="117">
    <w:name w:val="Char Char10"/>
    <w:qFormat/>
    <w:uiPriority w:val="0"/>
    <w:rPr>
      <w:rFonts w:ascii="宋体" w:hAnsi="Courier New" w:eastAsia="宋体"/>
      <w:kern w:val="2"/>
      <w:sz w:val="21"/>
      <w:lang w:val="en-US" w:eastAsia="zh-CN" w:bidi="ar-SA"/>
    </w:rPr>
  </w:style>
  <w:style w:type="character" w:customStyle="1" w:styleId="118">
    <w:name w:val="Table Text Char Char"/>
    <w:link w:val="119"/>
    <w:qFormat/>
    <w:uiPriority w:val="0"/>
    <w:rPr>
      <w:rFonts w:ascii="Arial" w:hAnsi="Arial" w:eastAsia="Times New Roman"/>
      <w:sz w:val="18"/>
      <w:lang w:val="en-US" w:eastAsia="zh-CN" w:bidi="ar-SA"/>
    </w:rPr>
  </w:style>
  <w:style w:type="paragraph" w:customStyle="1" w:styleId="119">
    <w:name w:val="Table Text Char"/>
    <w:link w:val="118"/>
    <w:qFormat/>
    <w:uiPriority w:val="0"/>
    <w:pPr>
      <w:snapToGrid w:val="0"/>
      <w:spacing w:before="80" w:after="80"/>
    </w:pPr>
    <w:rPr>
      <w:rFonts w:ascii="Arial" w:hAnsi="Arial" w:eastAsia="Times New Roman" w:cs="Times New Roman"/>
      <w:sz w:val="18"/>
      <w:lang w:val="en-US" w:eastAsia="zh-CN" w:bidi="ar-SA"/>
    </w:rPr>
  </w:style>
  <w:style w:type="character" w:customStyle="1" w:styleId="120">
    <w:name w:val="章 Char Char"/>
    <w:qFormat/>
    <w:uiPriority w:val="0"/>
    <w:rPr>
      <w:rFonts w:eastAsia="宋体"/>
      <w:b/>
      <w:bCs/>
      <w:kern w:val="44"/>
      <w:sz w:val="44"/>
      <w:szCs w:val="44"/>
      <w:lang w:val="en-US" w:eastAsia="zh-CN" w:bidi="ar-SA"/>
    </w:rPr>
  </w:style>
  <w:style w:type="character" w:customStyle="1" w:styleId="121">
    <w:name w:val="样式 (西文) 宋体 小四 首行缩进:  2 字符1 Char Char Char Char Char2"/>
    <w:qFormat/>
    <w:uiPriority w:val="0"/>
    <w:rPr>
      <w:rFonts w:ascii="宋体" w:hAnsi="宋体" w:eastAsia="宋体" w:cs="宋体"/>
      <w:kern w:val="2"/>
      <w:sz w:val="24"/>
      <w:szCs w:val="24"/>
      <w:lang w:val="en-US" w:eastAsia="zh-CN" w:bidi="ar-SA"/>
    </w:rPr>
  </w:style>
  <w:style w:type="character" w:customStyle="1" w:styleId="122">
    <w:name w:val="header odd Char"/>
    <w:qFormat/>
    <w:locked/>
    <w:uiPriority w:val="0"/>
    <w:rPr>
      <w:rFonts w:eastAsia="宋体"/>
      <w:kern w:val="2"/>
      <w:sz w:val="18"/>
      <w:lang w:val="en-US" w:eastAsia="zh-CN" w:bidi="ar-SA"/>
    </w:rPr>
  </w:style>
  <w:style w:type="character" w:customStyle="1" w:styleId="123">
    <w:name w:val="paragraph1 Char"/>
    <w:link w:val="124"/>
    <w:qFormat/>
    <w:uiPriority w:val="0"/>
    <w:rPr>
      <w:rFonts w:ascii="Arial" w:hAnsi="Arial" w:eastAsia="宋体"/>
      <w:kern w:val="2"/>
      <w:sz w:val="21"/>
      <w:szCs w:val="24"/>
      <w:lang w:val="en-US" w:eastAsia="zh-CN" w:bidi="ar-SA"/>
    </w:rPr>
  </w:style>
  <w:style w:type="paragraph" w:customStyle="1" w:styleId="124">
    <w:name w:val="paragraph1"/>
    <w:basedOn w:val="1"/>
    <w:link w:val="123"/>
    <w:qFormat/>
    <w:uiPriority w:val="0"/>
    <w:pPr>
      <w:spacing w:afterLines="30" w:line="360" w:lineRule="auto"/>
      <w:ind w:firstLine="480" w:firstLineChars="200"/>
    </w:pPr>
    <w:rPr>
      <w:rFonts w:ascii="Arial" w:hAnsi="Arial"/>
      <w:szCs w:val="24"/>
    </w:rPr>
  </w:style>
  <w:style w:type="character" w:customStyle="1" w:styleId="125">
    <w:name w:val="trans"/>
    <w:qFormat/>
    <w:uiPriority w:val="0"/>
  </w:style>
  <w:style w:type="character" w:customStyle="1" w:styleId="126">
    <w:name w:val="apple-converted-space"/>
    <w:qFormat/>
    <w:uiPriority w:val="0"/>
  </w:style>
  <w:style w:type="character" w:customStyle="1" w:styleId="127">
    <w:name w:val="Char Char2"/>
    <w:qFormat/>
    <w:uiPriority w:val="0"/>
    <w:rPr>
      <w:rFonts w:ascii="宋体" w:hAnsi="宋体" w:eastAsia="宋体" w:cs="宋体"/>
      <w:sz w:val="24"/>
      <w:szCs w:val="24"/>
      <w:lang w:val="en-US" w:eastAsia="zh-CN" w:bidi="ar-SA"/>
    </w:rPr>
  </w:style>
  <w:style w:type="character" w:customStyle="1" w:styleId="128">
    <w:name w:val="h"/>
    <w:qFormat/>
    <w:uiPriority w:val="0"/>
  </w:style>
  <w:style w:type="character" w:customStyle="1" w:styleId="129">
    <w:name w:val="标题 7 Char Char"/>
    <w:qFormat/>
    <w:uiPriority w:val="0"/>
    <w:rPr>
      <w:rFonts w:ascii="宋体" w:hAnsi="宋体" w:eastAsia="宋体"/>
      <w:b/>
      <w:bCs/>
      <w:kern w:val="2"/>
      <w:sz w:val="24"/>
      <w:szCs w:val="24"/>
      <w:lang w:val="en-US" w:eastAsia="zh-CN" w:bidi="ar-SA"/>
    </w:rPr>
  </w:style>
  <w:style w:type="character" w:customStyle="1" w:styleId="130">
    <w:name w:val="font12-blue-bold1"/>
    <w:qFormat/>
    <w:uiPriority w:val="0"/>
    <w:rPr>
      <w:rFonts w:eastAsia="宋体"/>
      <w:b/>
      <w:bCs/>
      <w:color w:val="0249A5"/>
      <w:kern w:val="2"/>
      <w:sz w:val="18"/>
      <w:szCs w:val="18"/>
      <w:u w:val="none"/>
      <w:lang w:val="en-US" w:eastAsia="zh-CN" w:bidi="ar-SA"/>
    </w:rPr>
  </w:style>
  <w:style w:type="character" w:customStyle="1" w:styleId="131">
    <w:name w:val="样式 (西文) 宋体 小四 首行缩进:  2 字符1 Char2"/>
    <w:qFormat/>
    <w:uiPriority w:val="0"/>
    <w:rPr>
      <w:rFonts w:ascii="宋体" w:hAnsi="宋体" w:eastAsia="宋体" w:cs="宋体"/>
      <w:kern w:val="2"/>
      <w:sz w:val="24"/>
      <w:lang w:val="en-US" w:eastAsia="zh-CN" w:bidi="ar-SA"/>
    </w:rPr>
  </w:style>
  <w:style w:type="character" w:customStyle="1" w:styleId="132">
    <w:name w:val="a1"/>
    <w:qFormat/>
    <w:uiPriority w:val="0"/>
    <w:rPr>
      <w:rFonts w:eastAsia="宋体"/>
      <w:kern w:val="2"/>
      <w:sz w:val="24"/>
      <w:szCs w:val="24"/>
      <w:u w:val="none"/>
      <w:lang w:val="en-US" w:eastAsia="zh-CN" w:bidi="ar-SA"/>
    </w:rPr>
  </w:style>
  <w:style w:type="character" w:customStyle="1" w:styleId="133">
    <w:name w:val="Char Char8"/>
    <w:qFormat/>
    <w:uiPriority w:val="0"/>
    <w:rPr>
      <w:rFonts w:ascii="宋体" w:hAnsi="宋体" w:eastAsia="宋体" w:cs="宋体"/>
      <w:sz w:val="24"/>
      <w:szCs w:val="24"/>
      <w:lang w:val="en-US" w:eastAsia="zh-CN" w:bidi="ar-SA"/>
    </w:rPr>
  </w:style>
  <w:style w:type="character" w:customStyle="1" w:styleId="134">
    <w:name w:val="分类格式 Char"/>
    <w:link w:val="135"/>
    <w:qFormat/>
    <w:uiPriority w:val="0"/>
    <w:rPr>
      <w:rFonts w:ascii="宋体" w:hAnsi="宋体" w:eastAsia="宋体"/>
      <w:kern w:val="2"/>
      <w:sz w:val="24"/>
      <w:lang w:val="en-US" w:eastAsia="zh-CN" w:bidi="ar-SA"/>
    </w:rPr>
  </w:style>
  <w:style w:type="paragraph" w:customStyle="1" w:styleId="135">
    <w:name w:val="分类格式"/>
    <w:basedOn w:val="1"/>
    <w:link w:val="134"/>
    <w:qFormat/>
    <w:uiPriority w:val="0"/>
    <w:pPr>
      <w:tabs>
        <w:tab w:val="left" w:pos="170"/>
      </w:tabs>
      <w:spacing w:line="360" w:lineRule="auto"/>
      <w:ind w:left="200" w:leftChars="100" w:hanging="100" w:hangingChars="100"/>
    </w:pPr>
    <w:rPr>
      <w:rFonts w:ascii="宋体" w:hAnsi="宋体"/>
      <w:sz w:val="24"/>
    </w:rPr>
  </w:style>
  <w:style w:type="character" w:customStyle="1" w:styleId="136">
    <w:name w:val="正文首行缩进 Char Char"/>
    <w:qFormat/>
    <w:uiPriority w:val="0"/>
    <w:rPr>
      <w:lang w:val="en-US" w:eastAsia="zh-CN" w:bidi="ar-SA"/>
    </w:rPr>
  </w:style>
  <w:style w:type="character" w:customStyle="1" w:styleId="137">
    <w:name w:val="小 Char Char"/>
    <w:qFormat/>
    <w:uiPriority w:val="0"/>
    <w:rPr>
      <w:rFonts w:ascii="宋体" w:hAnsi="Courier New" w:eastAsia="宋体" w:cs="Courier New"/>
      <w:kern w:val="2"/>
      <w:sz w:val="21"/>
      <w:szCs w:val="21"/>
      <w:lang w:val="en-US" w:eastAsia="zh-CN" w:bidi="ar-SA"/>
    </w:rPr>
  </w:style>
  <w:style w:type="character" w:customStyle="1" w:styleId="138">
    <w:name w:val="标题 5 Char Char"/>
    <w:qFormat/>
    <w:uiPriority w:val="0"/>
    <w:rPr>
      <w:rFonts w:eastAsia="宋体"/>
      <w:b/>
      <w:kern w:val="2"/>
      <w:sz w:val="24"/>
      <w:szCs w:val="24"/>
      <w:lang w:val="en-US" w:eastAsia="zh-CN" w:bidi="ar-SA"/>
    </w:rPr>
  </w:style>
  <w:style w:type="character" w:customStyle="1" w:styleId="139">
    <w:name w:val="样式31"/>
    <w:qFormat/>
    <w:uiPriority w:val="0"/>
    <w:rPr>
      <w:rFonts w:eastAsia="宋体"/>
      <w:color w:val="FFFFFF"/>
      <w:kern w:val="2"/>
      <w:sz w:val="24"/>
      <w:szCs w:val="24"/>
      <w:lang w:val="en-US" w:eastAsia="zh-CN" w:bidi="ar-SA"/>
    </w:rPr>
  </w:style>
  <w:style w:type="character" w:customStyle="1" w:styleId="140">
    <w:name w:val="标题 3 Char Char Char"/>
    <w:qFormat/>
    <w:uiPriority w:val="0"/>
    <w:rPr>
      <w:rFonts w:ascii="宋体" w:hAnsi="宋体" w:eastAsia="宋体"/>
      <w:b/>
      <w:bCs/>
      <w:kern w:val="2"/>
      <w:sz w:val="30"/>
      <w:szCs w:val="32"/>
      <w:lang w:val="en-US" w:eastAsia="zh-CN" w:bidi="ar-SA"/>
    </w:rPr>
  </w:style>
  <w:style w:type="character" w:customStyle="1" w:styleId="141">
    <w:name w:val="样式 (西文) 宋体 小四 首行缩进:  2 字符1 Char Char"/>
    <w:qFormat/>
    <w:uiPriority w:val="0"/>
    <w:rPr>
      <w:rFonts w:ascii="宋体" w:hAnsi="宋体" w:eastAsia="宋体" w:cs="宋体"/>
      <w:kern w:val="2"/>
      <w:sz w:val="24"/>
      <w:lang w:val="en-US" w:eastAsia="zh-CN" w:bidi="ar-SA"/>
    </w:rPr>
  </w:style>
  <w:style w:type="character" w:customStyle="1" w:styleId="142">
    <w:name w:val="apple-style-span"/>
    <w:qFormat/>
    <w:uiPriority w:val="0"/>
  </w:style>
  <w:style w:type="character" w:customStyle="1" w:styleId="143">
    <w:name w:val="大汉方案正文 Char1"/>
    <w:link w:val="144"/>
    <w:qFormat/>
    <w:uiPriority w:val="0"/>
    <w:rPr>
      <w:rFonts w:ascii="Arial" w:hAnsi="Arial" w:eastAsia="宋体"/>
      <w:kern w:val="2"/>
      <w:sz w:val="24"/>
      <w:szCs w:val="24"/>
      <w:lang w:val="en-US" w:eastAsia="zh-CN" w:bidi="ar-SA"/>
    </w:rPr>
  </w:style>
  <w:style w:type="paragraph" w:customStyle="1" w:styleId="144">
    <w:name w:val="大汉方案正文"/>
    <w:basedOn w:val="1"/>
    <w:link w:val="143"/>
    <w:qFormat/>
    <w:uiPriority w:val="0"/>
    <w:pPr>
      <w:spacing w:line="360" w:lineRule="auto"/>
      <w:ind w:firstLine="200" w:firstLineChars="200"/>
    </w:pPr>
    <w:rPr>
      <w:rFonts w:ascii="Arial" w:hAnsi="Arial"/>
      <w:sz w:val="24"/>
      <w:szCs w:val="24"/>
    </w:rPr>
  </w:style>
  <w:style w:type="character" w:customStyle="1" w:styleId="145">
    <w:name w:val="标题 1 Char"/>
    <w:qFormat/>
    <w:uiPriority w:val="0"/>
    <w:rPr>
      <w:rFonts w:ascii="宋体" w:eastAsia="宋体"/>
      <w:b/>
      <w:bCs/>
      <w:kern w:val="44"/>
      <w:sz w:val="44"/>
      <w:szCs w:val="44"/>
      <w:lang w:val="en-US" w:eastAsia="zh-CN" w:bidi="ar-SA"/>
    </w:rPr>
  </w:style>
  <w:style w:type="character" w:customStyle="1" w:styleId="146">
    <w:name w:val="Char Char9"/>
    <w:qFormat/>
    <w:uiPriority w:val="0"/>
    <w:rPr>
      <w:rFonts w:ascii="Arial" w:hAnsi="Arial" w:eastAsia="宋体"/>
      <w:b/>
      <w:sz w:val="40"/>
      <w:szCs w:val="21"/>
      <w:lang w:val="en-GB" w:eastAsia="en-US" w:bidi="ar-SA"/>
    </w:rPr>
  </w:style>
  <w:style w:type="character" w:customStyle="1" w:styleId="147">
    <w:name w:val="ourfont1"/>
    <w:qFormat/>
    <w:uiPriority w:val="0"/>
    <w:rPr>
      <w:sz w:val="18"/>
      <w:szCs w:val="18"/>
    </w:rPr>
  </w:style>
  <w:style w:type="character" w:customStyle="1" w:styleId="148">
    <w:name w:val="标题 8 Char Char"/>
    <w:qFormat/>
    <w:uiPriority w:val="0"/>
    <w:rPr>
      <w:rFonts w:ascii="宋体" w:hAnsi="宋体" w:eastAsia="宋体"/>
      <w:b/>
      <w:kern w:val="2"/>
      <w:sz w:val="24"/>
      <w:szCs w:val="24"/>
      <w:lang w:val="en-US" w:bidi="ar-SA"/>
    </w:rPr>
  </w:style>
  <w:style w:type="character" w:customStyle="1" w:styleId="149">
    <w:name w:val="着重 Char"/>
    <w:link w:val="150"/>
    <w:qFormat/>
    <w:uiPriority w:val="0"/>
    <w:rPr>
      <w:rFonts w:ascii="宋体" w:hAnsi="宋体" w:eastAsia="宋体" w:cs="宋体"/>
      <w:b/>
      <w:bCs/>
      <w:kern w:val="2"/>
      <w:sz w:val="24"/>
      <w:szCs w:val="24"/>
      <w:u w:val="single"/>
      <w:lang w:val="en-US" w:eastAsia="zh-CN" w:bidi="ar-SA"/>
    </w:rPr>
  </w:style>
  <w:style w:type="paragraph" w:customStyle="1" w:styleId="150">
    <w:name w:val="着重"/>
    <w:basedOn w:val="110"/>
    <w:next w:val="110"/>
    <w:link w:val="149"/>
    <w:qFormat/>
    <w:uiPriority w:val="0"/>
    <w:pPr>
      <w:spacing w:line="360" w:lineRule="auto"/>
    </w:pPr>
    <w:rPr>
      <w:b/>
      <w:bCs/>
      <w:kern w:val="2"/>
      <w:szCs w:val="24"/>
      <w:u w:val="single"/>
    </w:rPr>
  </w:style>
  <w:style w:type="character" w:customStyle="1" w:styleId="151">
    <w:name w:val="样式 (西文) 宋体 小四 首行缩进:  2 字符1 Char Char Char Char Char1"/>
    <w:qFormat/>
    <w:uiPriority w:val="0"/>
    <w:rPr>
      <w:rFonts w:ascii="宋体" w:hAnsi="宋体" w:eastAsia="宋体" w:cs="宋体"/>
      <w:kern w:val="2"/>
      <w:sz w:val="24"/>
      <w:lang w:val="en-US" w:eastAsia="zh-CN" w:bidi="ar-SA"/>
    </w:rPr>
  </w:style>
  <w:style w:type="character" w:customStyle="1" w:styleId="152">
    <w:name w:val="Char3"/>
    <w:qFormat/>
    <w:uiPriority w:val="0"/>
    <w:rPr>
      <w:rFonts w:ascii="宋体" w:hAnsi="宋体" w:eastAsia="宋体"/>
      <w:b/>
      <w:kern w:val="2"/>
      <w:sz w:val="24"/>
      <w:szCs w:val="24"/>
      <w:lang w:val="en-US" w:eastAsia="zh-CN" w:bidi="ar-SA"/>
    </w:rPr>
  </w:style>
  <w:style w:type="character" w:customStyle="1" w:styleId="153">
    <w:name w:val="com-1"/>
    <w:qFormat/>
    <w:uiPriority w:val="0"/>
  </w:style>
  <w:style w:type="character" w:customStyle="1" w:styleId="154">
    <w:name w:val="Item Step in Table Char"/>
    <w:link w:val="155"/>
    <w:qFormat/>
    <w:uiPriority w:val="0"/>
    <w:rPr>
      <w:rFonts w:ascii="Arial" w:hAnsi="Arial" w:eastAsia="Times New Roman" w:cs="Arial"/>
      <w:sz w:val="18"/>
      <w:szCs w:val="18"/>
      <w:lang w:val="en-US" w:eastAsia="zh-CN" w:bidi="ar-SA"/>
    </w:rPr>
  </w:style>
  <w:style w:type="paragraph" w:customStyle="1" w:styleId="155">
    <w:name w:val="Item Step in Table"/>
    <w:link w:val="154"/>
    <w:qFormat/>
    <w:uiPriority w:val="0"/>
    <w:pPr>
      <w:tabs>
        <w:tab w:val="left" w:pos="397"/>
      </w:tabs>
      <w:spacing w:before="40" w:after="40"/>
      <w:ind w:left="397" w:hanging="397"/>
      <w:jc w:val="both"/>
    </w:pPr>
    <w:rPr>
      <w:rFonts w:ascii="Arial" w:hAnsi="Arial" w:eastAsia="Times New Roman" w:cs="Arial"/>
      <w:sz w:val="18"/>
      <w:szCs w:val="18"/>
      <w:lang w:val="en-US" w:eastAsia="zh-CN" w:bidi="ar-SA"/>
    </w:rPr>
  </w:style>
  <w:style w:type="character" w:customStyle="1" w:styleId="156">
    <w:name w:val="列出段落 Char"/>
    <w:link w:val="157"/>
    <w:qFormat/>
    <w:uiPriority w:val="0"/>
    <w:rPr>
      <w:rFonts w:ascii="Calibri" w:hAnsi="Calibri" w:eastAsia="宋体"/>
      <w:kern w:val="2"/>
      <w:sz w:val="21"/>
      <w:szCs w:val="22"/>
      <w:lang w:val="en-US" w:eastAsia="zh-CN" w:bidi="ar-SA"/>
    </w:rPr>
  </w:style>
  <w:style w:type="paragraph" w:customStyle="1" w:styleId="157">
    <w:name w:val="List Paragraph1"/>
    <w:basedOn w:val="1"/>
    <w:link w:val="156"/>
    <w:qFormat/>
    <w:uiPriority w:val="0"/>
    <w:pPr>
      <w:ind w:firstLine="420" w:firstLineChars="200"/>
    </w:pPr>
    <w:rPr>
      <w:rFonts w:ascii="Calibri" w:hAnsi="Calibri"/>
      <w:szCs w:val="22"/>
    </w:rPr>
  </w:style>
  <w:style w:type="character" w:customStyle="1" w:styleId="158">
    <w:name w:val="FA正文 Char Char"/>
    <w:link w:val="159"/>
    <w:qFormat/>
    <w:uiPriority w:val="0"/>
    <w:rPr>
      <w:rFonts w:hAnsi="宋体" w:eastAsia="宋体"/>
      <w:snapToGrid w:val="0"/>
      <w:sz w:val="21"/>
      <w:szCs w:val="21"/>
      <w:lang w:val="en-US" w:eastAsia="zh-CN" w:bidi="ar-SA"/>
    </w:rPr>
  </w:style>
  <w:style w:type="paragraph" w:customStyle="1" w:styleId="159">
    <w:name w:val="FA正文"/>
    <w:basedOn w:val="1"/>
    <w:link w:val="158"/>
    <w:qFormat/>
    <w:uiPriority w:val="0"/>
    <w:pPr>
      <w:spacing w:line="360" w:lineRule="auto"/>
      <w:ind w:firstLine="473" w:firstLineChars="225"/>
    </w:pPr>
    <w:rPr>
      <w:rFonts w:hAnsi="宋体"/>
      <w:snapToGrid w:val="0"/>
      <w:kern w:val="0"/>
      <w:szCs w:val="21"/>
    </w:rPr>
  </w:style>
  <w:style w:type="character" w:customStyle="1" w:styleId="160">
    <w:name w:val="txt14p1"/>
    <w:qFormat/>
    <w:uiPriority w:val="0"/>
    <w:rPr>
      <w:rFonts w:eastAsia="宋体"/>
      <w:kern w:val="2"/>
      <w:sz w:val="21"/>
      <w:szCs w:val="21"/>
      <w:lang w:val="en-US" w:eastAsia="zh-CN" w:bidi="ar-SA"/>
    </w:rPr>
  </w:style>
  <w:style w:type="character" w:customStyle="1" w:styleId="161">
    <w:name w:val="content3"/>
    <w:qFormat/>
    <w:uiPriority w:val="0"/>
    <w:rPr>
      <w:rFonts w:ascii="ˎ̥" w:hAnsi="ˎ̥" w:eastAsia="宋体"/>
      <w:kern w:val="2"/>
      <w:sz w:val="14"/>
      <w:szCs w:val="14"/>
      <w:u w:val="none"/>
      <w:lang w:val="en-US" w:eastAsia="zh-CN" w:bidi="ar-SA"/>
    </w:rPr>
  </w:style>
  <w:style w:type="character" w:customStyle="1" w:styleId="162">
    <w:name w:val="样式3 Char Char"/>
    <w:link w:val="163"/>
    <w:qFormat/>
    <w:uiPriority w:val="0"/>
    <w:rPr>
      <w:rFonts w:ascii="宋体" w:hAnsi="Courier New" w:eastAsia="宋体"/>
      <w:kern w:val="2"/>
      <w:sz w:val="28"/>
      <w:lang w:val="en-US" w:eastAsia="zh-CN" w:bidi="ar-SA"/>
    </w:rPr>
  </w:style>
  <w:style w:type="paragraph" w:customStyle="1" w:styleId="163">
    <w:name w:val="样式3"/>
    <w:basedOn w:val="27"/>
    <w:link w:val="162"/>
    <w:qFormat/>
    <w:uiPriority w:val="0"/>
    <w:pPr>
      <w:spacing w:line="0" w:lineRule="atLeast"/>
      <w:outlineLvl w:val="0"/>
    </w:pPr>
    <w:rPr>
      <w:sz w:val="28"/>
    </w:rPr>
  </w:style>
  <w:style w:type="paragraph" w:customStyle="1" w:styleId="164">
    <w:name w:val="Char2"/>
    <w:basedOn w:val="1"/>
    <w:qFormat/>
    <w:uiPriority w:val="0"/>
    <w:pPr>
      <w:ind w:left="432" w:hanging="432"/>
    </w:pPr>
    <w:rPr>
      <w:sz w:val="24"/>
      <w:szCs w:val="24"/>
    </w:rPr>
  </w:style>
  <w:style w:type="paragraph" w:customStyle="1" w:styleId="165">
    <w:name w:val="xl32"/>
    <w:basedOn w:val="1"/>
    <w:qFormat/>
    <w:uiPriority w:val="0"/>
    <w:pPr>
      <w:pBdr>
        <w:top w:val="single" w:color="auto" w:sz="4" w:space="0"/>
        <w:left w:val="single" w:color="auto" w:sz="4" w:space="0"/>
        <w:bottom w:val="single" w:color="auto" w:sz="4" w:space="0"/>
        <w:right w:val="single" w:color="auto" w:sz="4" w:space="0"/>
      </w:pBdr>
      <w:adjustRightInd w:val="0"/>
      <w:spacing w:before="100" w:beforeAutospacing="1" w:after="100" w:afterAutospacing="1"/>
      <w:textAlignment w:val="baseline"/>
    </w:pPr>
    <w:rPr>
      <w:rFonts w:ascii="宋体" w:hAnsi="宋体"/>
      <w:kern w:val="0"/>
      <w:sz w:val="20"/>
      <w:szCs w:val="21"/>
    </w:rPr>
  </w:style>
  <w:style w:type="paragraph" w:customStyle="1" w:styleId="166">
    <w:name w:val="Item List in Table"/>
    <w:qFormat/>
    <w:uiPriority w:val="0"/>
    <w:pPr>
      <w:tabs>
        <w:tab w:val="left" w:pos="284"/>
      </w:tabs>
      <w:spacing w:before="40" w:after="40"/>
      <w:ind w:left="284" w:hanging="284"/>
      <w:jc w:val="both"/>
    </w:pPr>
    <w:rPr>
      <w:rFonts w:ascii="Arial" w:hAnsi="Arial" w:eastAsia="宋体" w:cs="Arial"/>
      <w:sz w:val="18"/>
      <w:szCs w:val="18"/>
      <w:lang w:val="en-US" w:eastAsia="zh-CN" w:bidi="ar-SA"/>
    </w:rPr>
  </w:style>
  <w:style w:type="paragraph" w:customStyle="1" w:styleId="167">
    <w:name w:val="font7"/>
    <w:basedOn w:val="1"/>
    <w:qFormat/>
    <w:uiPriority w:val="0"/>
    <w:pPr>
      <w:adjustRightInd w:val="0"/>
      <w:spacing w:before="100" w:beforeAutospacing="1" w:after="100" w:afterAutospacing="1"/>
      <w:textAlignment w:val="baseline"/>
    </w:pPr>
    <w:rPr>
      <w:rFonts w:hint="eastAsia" w:ascii="宋体" w:hAnsi="宋体"/>
      <w:color w:val="FF0000"/>
      <w:kern w:val="0"/>
      <w:sz w:val="20"/>
      <w:szCs w:val="21"/>
    </w:rPr>
  </w:style>
  <w:style w:type="paragraph" w:customStyle="1" w:styleId="168">
    <w:name w:val="xl36"/>
    <w:basedOn w:val="1"/>
    <w:qFormat/>
    <w:uiPriority w:val="0"/>
    <w:pPr>
      <w:pBdr>
        <w:bottom w:val="single" w:color="auto" w:sz="4" w:space="0"/>
        <w:right w:val="single" w:color="auto" w:sz="4" w:space="0"/>
      </w:pBdr>
      <w:shd w:val="clear" w:color="auto" w:fill="FFFF99"/>
      <w:adjustRightInd w:val="0"/>
      <w:spacing w:before="100" w:beforeAutospacing="1" w:after="100" w:afterAutospacing="1"/>
      <w:textAlignment w:val="baseline"/>
    </w:pPr>
    <w:rPr>
      <w:rFonts w:ascii="宋体" w:hAnsi="宋体"/>
      <w:color w:val="008000"/>
      <w:kern w:val="0"/>
      <w:sz w:val="20"/>
      <w:szCs w:val="21"/>
    </w:rPr>
  </w:style>
  <w:style w:type="paragraph" w:customStyle="1" w:styleId="169">
    <w:name w:val="样式 小四 左侧:  2.86 厘米 首行缩进:  2 字符"/>
    <w:basedOn w:val="1"/>
    <w:qFormat/>
    <w:uiPriority w:val="0"/>
    <w:pPr>
      <w:ind w:firstLine="480" w:firstLineChars="200"/>
    </w:pPr>
    <w:rPr>
      <w:rFonts w:cs="宋体"/>
      <w:sz w:val="24"/>
      <w:szCs w:val="24"/>
    </w:rPr>
  </w:style>
  <w:style w:type="paragraph" w:customStyle="1" w:styleId="170">
    <w:name w:val="样式 标题 4 + 小四"/>
    <w:basedOn w:val="5"/>
    <w:qFormat/>
    <w:uiPriority w:val="0"/>
    <w:pPr>
      <w:keepNext w:val="0"/>
      <w:keepLines w:val="0"/>
      <w:tabs>
        <w:tab w:val="clear" w:pos="425"/>
      </w:tabs>
      <w:spacing w:before="0" w:line="240" w:lineRule="auto"/>
      <w:ind w:left="0" w:firstLine="0"/>
    </w:pPr>
    <w:rPr>
      <w:rFonts w:ascii="Times New Roman"/>
      <w:b w:val="0"/>
      <w:sz w:val="24"/>
      <w:szCs w:val="24"/>
    </w:rPr>
  </w:style>
  <w:style w:type="paragraph" w:customStyle="1" w:styleId="171">
    <w:name w:val="wtext"/>
    <w:basedOn w:val="1"/>
    <w:qFormat/>
    <w:uiPriority w:val="0"/>
    <w:pPr>
      <w:widowControl/>
      <w:spacing w:before="100" w:beforeAutospacing="1" w:after="100" w:afterAutospacing="1"/>
      <w:jc w:val="left"/>
    </w:pPr>
    <w:rPr>
      <w:rFonts w:ascii="宋体" w:hAnsi="宋体"/>
      <w:kern w:val="0"/>
      <w:sz w:val="24"/>
      <w:szCs w:val="24"/>
    </w:rPr>
  </w:style>
  <w:style w:type="paragraph" w:customStyle="1" w:styleId="172">
    <w:name w:val="xl24"/>
    <w:basedOn w:val="1"/>
    <w:qFormat/>
    <w:uiPriority w:val="0"/>
    <w:pPr>
      <w:widowControl/>
      <w:spacing w:before="100" w:beforeAutospacing="1" w:after="100" w:afterAutospacing="1"/>
      <w:jc w:val="center"/>
      <w:textAlignment w:val="center"/>
    </w:pPr>
    <w:rPr>
      <w:rFonts w:ascii="宋体" w:hAnsi="宋体"/>
      <w:kern w:val="0"/>
      <w:sz w:val="24"/>
      <w:szCs w:val="24"/>
    </w:rPr>
  </w:style>
  <w:style w:type="paragraph" w:customStyle="1" w:styleId="173">
    <w:name w:val="缺省文本"/>
    <w:basedOn w:val="1"/>
    <w:qFormat/>
    <w:uiPriority w:val="0"/>
    <w:pPr>
      <w:autoSpaceDE w:val="0"/>
      <w:autoSpaceDN w:val="0"/>
      <w:adjustRightInd w:val="0"/>
      <w:spacing w:before="20" w:after="20" w:line="400" w:lineRule="exact"/>
      <w:ind w:firstLine="504"/>
      <w:jc w:val="left"/>
    </w:pPr>
    <w:rPr>
      <w:kern w:val="0"/>
      <w:sz w:val="24"/>
    </w:rPr>
  </w:style>
  <w:style w:type="paragraph" w:customStyle="1" w:styleId="174">
    <w:name w:val="沈阳系统组成编号"/>
    <w:basedOn w:val="47"/>
    <w:qFormat/>
    <w:uiPriority w:val="0"/>
    <w:pPr>
      <w:numPr>
        <w:ilvl w:val="0"/>
        <w:numId w:val="2"/>
      </w:numPr>
      <w:tabs>
        <w:tab w:val="left" w:pos="0"/>
        <w:tab w:val="left" w:pos="360"/>
        <w:tab w:val="left" w:pos="1387"/>
      </w:tabs>
      <w:adjustRightInd w:val="0"/>
      <w:spacing w:after="0" w:line="300" w:lineRule="auto"/>
      <w:ind w:left="0" w:firstLine="420" w:firstLineChars="0"/>
      <w:textAlignment w:val="baseline"/>
    </w:pPr>
    <w:rPr>
      <w:kern w:val="0"/>
      <w:szCs w:val="21"/>
    </w:rPr>
  </w:style>
  <w:style w:type="paragraph" w:customStyle="1" w:styleId="175">
    <w:name w:val="Default Paragraph Font Para Char"/>
    <w:basedOn w:val="1"/>
    <w:qFormat/>
    <w:uiPriority w:val="0"/>
    <w:pPr>
      <w:widowControl/>
      <w:spacing w:after="160" w:line="240" w:lineRule="exact"/>
      <w:jc w:val="left"/>
    </w:pPr>
    <w:rPr>
      <w:rFonts w:ascii="Verdana" w:hAnsi="Verdana"/>
      <w:kern w:val="0"/>
      <w:sz w:val="20"/>
      <w:lang w:eastAsia="en-US"/>
    </w:rPr>
  </w:style>
  <w:style w:type="paragraph" w:customStyle="1" w:styleId="176">
    <w:name w:val="正文空2格  1."/>
    <w:basedOn w:val="1"/>
    <w:qFormat/>
    <w:uiPriority w:val="0"/>
    <w:pPr>
      <w:adjustRightInd w:val="0"/>
      <w:spacing w:line="360" w:lineRule="auto"/>
      <w:ind w:firstLine="480" w:firstLineChars="200"/>
      <w:textAlignment w:val="baseline"/>
    </w:pPr>
    <w:rPr>
      <w:rFonts w:ascii="宋体" w:eastAsia="仿宋" w:cs="宋体"/>
      <w:kern w:val="0"/>
      <w:sz w:val="28"/>
    </w:rPr>
  </w:style>
  <w:style w:type="paragraph" w:customStyle="1" w:styleId="177">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178">
    <w:name w:val="列项——（一级）"/>
    <w:qFormat/>
    <w:uiPriority w:val="0"/>
    <w:pPr>
      <w:widowControl w:val="0"/>
      <w:tabs>
        <w:tab w:val="left" w:pos="1140"/>
        <w:tab w:val="left" w:pos="3420"/>
      </w:tabs>
      <w:adjustRightInd w:val="0"/>
      <w:spacing w:line="560" w:lineRule="exact"/>
      <w:ind w:left="1140" w:hanging="720"/>
      <w:jc w:val="both"/>
      <w:textAlignment w:val="baseline"/>
    </w:pPr>
    <w:rPr>
      <w:rFonts w:ascii="宋体" w:hAnsi="宋体" w:eastAsia="宋体" w:cs="Times New Roman"/>
      <w:color w:val="000000"/>
      <w:kern w:val="2"/>
      <w:sz w:val="24"/>
      <w:lang w:val="en-US" w:eastAsia="zh-CN" w:bidi="ar-SA"/>
    </w:rPr>
  </w:style>
  <w:style w:type="paragraph" w:customStyle="1" w:styleId="179">
    <w:name w:val="phead"/>
    <w:basedOn w:val="1"/>
    <w:qFormat/>
    <w:uiPriority w:val="0"/>
    <w:pPr>
      <w:widowControl/>
      <w:numPr>
        <w:ilvl w:val="0"/>
        <w:numId w:val="3"/>
      </w:numPr>
      <w:spacing w:before="100" w:beforeAutospacing="1" w:after="100" w:afterAutospacing="1"/>
      <w:ind w:left="0" w:firstLine="0"/>
      <w:jc w:val="left"/>
    </w:pPr>
    <w:rPr>
      <w:rFonts w:ascii="Verdana" w:hAnsi="Verdana" w:cs="宋体"/>
      <w:color w:val="000000"/>
      <w:kern w:val="0"/>
      <w:sz w:val="20"/>
    </w:rPr>
  </w:style>
  <w:style w:type="paragraph" w:customStyle="1" w:styleId="180">
    <w:name w:val="数字标题2"/>
    <w:basedOn w:val="3"/>
    <w:next w:val="1"/>
    <w:qFormat/>
    <w:uiPriority w:val="0"/>
    <w:pPr>
      <w:spacing w:before="0" w:after="0" w:line="416" w:lineRule="auto"/>
      <w:jc w:val="both"/>
    </w:pPr>
    <w:rPr>
      <w:rFonts w:ascii="宋体" w:hAnsi="宋体"/>
      <w:bCs w:val="0"/>
      <w:sz w:val="24"/>
      <w:szCs w:val="24"/>
    </w:rPr>
  </w:style>
  <w:style w:type="paragraph" w:customStyle="1" w:styleId="181">
    <w:name w:val="xl38"/>
    <w:basedOn w:val="1"/>
    <w:qFormat/>
    <w:uiPriority w:val="0"/>
    <w:pPr>
      <w:pBdr>
        <w:top w:val="single" w:color="auto" w:sz="4" w:space="0"/>
        <w:left w:val="single" w:color="auto" w:sz="4" w:space="0"/>
        <w:bottom w:val="single" w:color="auto" w:sz="4" w:space="0"/>
        <w:right w:val="single" w:color="auto" w:sz="4" w:space="0"/>
      </w:pBdr>
      <w:shd w:val="clear" w:color="auto" w:fill="FFFF99"/>
      <w:adjustRightInd w:val="0"/>
      <w:spacing w:before="100" w:beforeAutospacing="1" w:after="100" w:afterAutospacing="1"/>
      <w:textAlignment w:val="baseline"/>
    </w:pPr>
    <w:rPr>
      <w:rFonts w:ascii="宋体" w:hAnsi="宋体"/>
      <w:color w:val="0000FF"/>
      <w:kern w:val="0"/>
      <w:sz w:val="20"/>
      <w:szCs w:val="21"/>
    </w:rPr>
  </w:style>
  <w:style w:type="paragraph" w:customStyle="1" w:styleId="182">
    <w:name w:val="Char1 Char Char"/>
    <w:basedOn w:val="1"/>
    <w:qFormat/>
    <w:uiPriority w:val="0"/>
    <w:rPr>
      <w:rFonts w:ascii="Tahoma" w:hAnsi="Tahoma"/>
      <w:sz w:val="24"/>
    </w:rPr>
  </w:style>
  <w:style w:type="paragraph" w:customStyle="1" w:styleId="183">
    <w:name w:val="Char Char Char"/>
    <w:basedOn w:val="1"/>
    <w:qFormat/>
    <w:uiPriority w:val="0"/>
    <w:rPr>
      <w:rFonts w:ascii="Tahoma" w:hAnsi="Tahoma"/>
      <w:sz w:val="24"/>
    </w:rPr>
  </w:style>
  <w:style w:type="paragraph" w:customStyle="1" w:styleId="184">
    <w:name w:val="列表2"/>
    <w:basedOn w:val="1"/>
    <w:next w:val="1"/>
    <w:qFormat/>
    <w:uiPriority w:val="0"/>
    <w:pPr>
      <w:tabs>
        <w:tab w:val="left" w:pos="798"/>
      </w:tabs>
      <w:spacing w:line="360" w:lineRule="auto"/>
      <w:ind w:left="420" w:hanging="420"/>
    </w:pPr>
  </w:style>
  <w:style w:type="paragraph" w:customStyle="1" w:styleId="185">
    <w:name w:val="正文2"/>
    <w:basedOn w:val="1"/>
    <w:qFormat/>
    <w:uiPriority w:val="0"/>
    <w:pPr>
      <w:adjustRightInd w:val="0"/>
      <w:spacing w:before="156" w:line="360" w:lineRule="auto"/>
      <w:ind w:firstLine="510" w:firstLineChars="200"/>
      <w:textAlignment w:val="baseline"/>
    </w:pPr>
    <w:rPr>
      <w:sz w:val="24"/>
    </w:rPr>
  </w:style>
  <w:style w:type="paragraph" w:styleId="186">
    <w:name w:val="List Paragraph"/>
    <w:basedOn w:val="1"/>
    <w:qFormat/>
    <w:uiPriority w:val="34"/>
    <w:pPr>
      <w:ind w:firstLine="420" w:firstLineChars="200"/>
    </w:pPr>
    <w:rPr>
      <w:szCs w:val="24"/>
    </w:rPr>
  </w:style>
  <w:style w:type="paragraph" w:customStyle="1" w:styleId="187">
    <w:name w:val="Char Char Char Char Char Char Char"/>
    <w:basedOn w:val="1"/>
    <w:qFormat/>
    <w:uiPriority w:val="0"/>
    <w:rPr>
      <w:rFonts w:ascii="Tahoma" w:hAnsi="Tahoma"/>
      <w:sz w:val="24"/>
    </w:rPr>
  </w:style>
  <w:style w:type="paragraph" w:customStyle="1" w:styleId="188">
    <w:name w:val="样式5"/>
    <w:basedOn w:val="6"/>
    <w:qFormat/>
    <w:uiPriority w:val="0"/>
    <w:pPr>
      <w:numPr>
        <w:ilvl w:val="0"/>
        <w:numId w:val="4"/>
      </w:numPr>
      <w:tabs>
        <w:tab w:val="left" w:pos="1130"/>
      </w:tabs>
      <w:spacing w:before="0" w:after="0" w:line="360" w:lineRule="auto"/>
      <w:ind w:firstLine="200" w:firstLineChars="200"/>
    </w:pPr>
    <w:rPr>
      <w:rFonts w:ascii="宋体" w:hAnsi="宋体"/>
      <w:b w:val="0"/>
      <w:sz w:val="24"/>
      <w:szCs w:val="24"/>
    </w:rPr>
  </w:style>
  <w:style w:type="paragraph" w:customStyle="1" w:styleId="189">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190">
    <w:name w:val="Char Char2 Char Char Char Char Char Char Char Char Char Char"/>
    <w:basedOn w:val="1"/>
    <w:qFormat/>
    <w:uiPriority w:val="0"/>
    <w:rPr>
      <w:rFonts w:ascii="Tahoma" w:hAnsi="Tahoma"/>
      <w:sz w:val="24"/>
    </w:rPr>
  </w:style>
  <w:style w:type="paragraph" w:customStyle="1" w:styleId="191">
    <w:name w:val="文档正文"/>
    <w:basedOn w:val="1"/>
    <w:qFormat/>
    <w:uiPriority w:val="0"/>
    <w:pPr>
      <w:adjustRightInd w:val="0"/>
      <w:spacing w:after="120" w:line="360" w:lineRule="auto"/>
      <w:ind w:firstLine="480" w:firstLineChars="200"/>
      <w:textAlignment w:val="baseline"/>
    </w:pPr>
    <w:rPr>
      <w:rFonts w:ascii="华文细黑" w:hAnsi="华文细黑" w:eastAsia="华文细黑"/>
      <w:color w:val="000000"/>
      <w:kern w:val="0"/>
    </w:rPr>
  </w:style>
  <w:style w:type="paragraph" w:customStyle="1" w:styleId="192">
    <w:name w:val="标题(小)"/>
    <w:basedOn w:val="1"/>
    <w:next w:val="1"/>
    <w:qFormat/>
    <w:uiPriority w:val="0"/>
    <w:pPr>
      <w:adjustRightInd w:val="0"/>
      <w:spacing w:line="360" w:lineRule="atLeast"/>
      <w:jc w:val="center"/>
      <w:textAlignment w:val="baseline"/>
    </w:pPr>
    <w:rPr>
      <w:rFonts w:ascii="黑体" w:eastAsia="黑体"/>
      <w:sz w:val="32"/>
    </w:rPr>
  </w:style>
  <w:style w:type="paragraph" w:customStyle="1" w:styleId="193">
    <w:name w:val="xl37"/>
    <w:basedOn w:val="1"/>
    <w:qFormat/>
    <w:uiPriority w:val="0"/>
    <w:pPr>
      <w:pBdr>
        <w:top w:val="single" w:color="auto" w:sz="4" w:space="0"/>
        <w:left w:val="single" w:color="auto" w:sz="4" w:space="0"/>
        <w:bottom w:val="single" w:color="auto" w:sz="4" w:space="0"/>
        <w:right w:val="single" w:color="auto" w:sz="4" w:space="0"/>
      </w:pBdr>
      <w:shd w:val="clear" w:color="auto" w:fill="FFFF99"/>
      <w:adjustRightInd w:val="0"/>
      <w:spacing w:before="100" w:beforeAutospacing="1" w:after="100" w:afterAutospacing="1"/>
      <w:textAlignment w:val="baseline"/>
    </w:pPr>
    <w:rPr>
      <w:rFonts w:ascii="宋体" w:hAnsi="宋体"/>
      <w:kern w:val="0"/>
      <w:sz w:val="20"/>
      <w:szCs w:val="21"/>
    </w:rPr>
  </w:style>
  <w:style w:type="paragraph" w:customStyle="1" w:styleId="194">
    <w:name w:val="xl30"/>
    <w:basedOn w:val="1"/>
    <w:qFormat/>
    <w:uiPriority w:val="0"/>
    <w:pPr>
      <w:widowControl/>
      <w:pBdr>
        <w:bottom w:val="single" w:color="auto" w:sz="4" w:space="0"/>
        <w:right w:val="single" w:color="auto" w:sz="4" w:space="0"/>
      </w:pBdr>
      <w:spacing w:before="100" w:beforeAutospacing="1" w:after="100" w:afterAutospacing="1"/>
    </w:pPr>
    <w:rPr>
      <w:kern w:val="0"/>
    </w:rPr>
  </w:style>
  <w:style w:type="paragraph" w:customStyle="1" w:styleId="195">
    <w:name w:val="Char1 Char Char Char Char Char Char"/>
    <w:basedOn w:val="1"/>
    <w:qFormat/>
    <w:uiPriority w:val="0"/>
    <w:rPr>
      <w:rFonts w:ascii="Tahoma" w:hAnsi="Tahoma"/>
      <w:sz w:val="24"/>
    </w:rPr>
  </w:style>
  <w:style w:type="paragraph" w:customStyle="1" w:styleId="196">
    <w:name w:val="样式2"/>
    <w:basedOn w:val="20"/>
    <w:qFormat/>
    <w:uiPriority w:val="0"/>
    <w:pPr>
      <w:spacing w:line="500" w:lineRule="exact"/>
      <w:jc w:val="center"/>
    </w:pPr>
    <w:rPr>
      <w:rFonts w:ascii="宋体" w:hAnsi="宋体"/>
      <w:b/>
      <w:kern w:val="44"/>
      <w:sz w:val="32"/>
      <w:szCs w:val="32"/>
      <w:lang w:val="en-GB"/>
    </w:rPr>
  </w:style>
  <w:style w:type="paragraph" w:customStyle="1" w:styleId="197">
    <w:name w:val="xl26"/>
    <w:basedOn w:val="1"/>
    <w:qFormat/>
    <w:uiPriority w:val="0"/>
    <w:pPr>
      <w:pBdr>
        <w:top w:val="double" w:color="auto" w:sz="6" w:space="0"/>
        <w:left w:val="single" w:color="auto" w:sz="4" w:space="0"/>
        <w:bottom w:val="double" w:color="auto" w:sz="6" w:space="0"/>
        <w:right w:val="double" w:color="auto" w:sz="6" w:space="0"/>
      </w:pBdr>
      <w:shd w:val="clear" w:color="auto" w:fill="FFFF99"/>
      <w:adjustRightInd w:val="0"/>
      <w:spacing w:before="100" w:beforeAutospacing="1" w:after="100" w:afterAutospacing="1"/>
      <w:jc w:val="center"/>
      <w:textAlignment w:val="baseline"/>
    </w:pPr>
    <w:rPr>
      <w:rFonts w:ascii="宋体" w:hAnsi="宋体"/>
      <w:b/>
      <w:bCs/>
      <w:kern w:val="0"/>
      <w:szCs w:val="24"/>
    </w:rPr>
  </w:style>
  <w:style w:type="paragraph" w:customStyle="1" w:styleId="198">
    <w:name w:val="6 Char Char Char Char Char Char Char1 Char Char Char Char Char Char Char Char Char Char Char Char Char Char Char"/>
    <w:basedOn w:val="1"/>
    <w:qFormat/>
    <w:uiPriority w:val="0"/>
    <w:pPr>
      <w:widowControl/>
      <w:spacing w:after="160" w:line="240" w:lineRule="exact"/>
      <w:jc w:val="left"/>
    </w:pPr>
    <w:rPr>
      <w:rFonts w:ascii="Verdana" w:hAnsi="Verdana"/>
      <w:kern w:val="0"/>
      <w:sz w:val="20"/>
      <w:lang w:eastAsia="en-US"/>
    </w:rPr>
  </w:style>
  <w:style w:type="paragraph" w:customStyle="1" w:styleId="199">
    <w:name w:val="Char Char Char Char Char Char Char Char Char1 Char Char Char Char Char Char Char Char Char Char"/>
    <w:basedOn w:val="1"/>
    <w:qFormat/>
    <w:uiPriority w:val="0"/>
    <w:pPr>
      <w:widowControl/>
      <w:adjustRightInd w:val="0"/>
      <w:spacing w:after="160" w:line="240" w:lineRule="exact"/>
      <w:jc w:val="left"/>
      <w:textAlignment w:val="baseline"/>
    </w:pPr>
    <w:rPr>
      <w:rFonts w:ascii="Verdana" w:hAnsi="Verdana" w:eastAsia="仿宋_GB2312"/>
      <w:kern w:val="0"/>
      <w:sz w:val="28"/>
      <w:lang w:eastAsia="en-US"/>
    </w:rPr>
  </w:style>
  <w:style w:type="paragraph" w:customStyle="1" w:styleId="200">
    <w:name w:val="标题5"/>
    <w:basedOn w:val="7"/>
    <w:qFormat/>
    <w:uiPriority w:val="0"/>
    <w:pPr>
      <w:keepNext/>
      <w:keepLines/>
      <w:spacing w:line="360" w:lineRule="auto"/>
      <w:ind w:hanging="420" w:firstLineChars="200"/>
      <w:outlineLvl w:val="4"/>
    </w:pPr>
    <w:rPr>
      <w:sz w:val="24"/>
      <w:szCs w:val="28"/>
    </w:rPr>
  </w:style>
  <w:style w:type="paragraph" w:customStyle="1" w:styleId="201">
    <w:name w:val="正文_0_0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2">
    <w:name w:val="目录标题"/>
    <w:basedOn w:val="1"/>
    <w:next w:val="1"/>
    <w:qFormat/>
    <w:uiPriority w:val="0"/>
    <w:pPr>
      <w:adjustRightInd w:val="0"/>
      <w:spacing w:before="240" w:after="240"/>
      <w:jc w:val="center"/>
      <w:textAlignment w:val="baseline"/>
    </w:pPr>
    <w:rPr>
      <w:rFonts w:eastAsia="黑体"/>
      <w:b/>
      <w:sz w:val="28"/>
      <w:szCs w:val="28"/>
    </w:rPr>
  </w:style>
  <w:style w:type="paragraph" w:customStyle="1" w:styleId="203">
    <w:name w:val="Char1"/>
    <w:basedOn w:val="1"/>
    <w:qFormat/>
    <w:uiPriority w:val="0"/>
    <w:rPr>
      <w:rFonts w:ascii="Tahoma" w:hAnsi="Tahoma"/>
      <w:sz w:val="24"/>
    </w:rPr>
  </w:style>
  <w:style w:type="paragraph" w:customStyle="1" w:styleId="204">
    <w:name w:val="样式2潘"/>
    <w:basedOn w:val="1"/>
    <w:qFormat/>
    <w:uiPriority w:val="0"/>
    <w:rPr>
      <w:rFonts w:ascii="Arial" w:hAnsi="Arial" w:eastAsia="仿宋_GB2312"/>
      <w:szCs w:val="24"/>
    </w:rPr>
  </w:style>
  <w:style w:type="paragraph" w:customStyle="1" w:styleId="205">
    <w:name w:val="纯文本1"/>
    <w:basedOn w:val="1"/>
    <w:qFormat/>
    <w:uiPriority w:val="0"/>
    <w:rPr>
      <w:rFonts w:ascii="宋体" w:hAnsi="Courier New"/>
      <w:kern w:val="0"/>
      <w:sz w:val="20"/>
      <w:szCs w:val="21"/>
    </w:rPr>
  </w:style>
  <w:style w:type="paragraph" w:customStyle="1" w:styleId="206">
    <w:name w:val="Char11"/>
    <w:basedOn w:val="1"/>
    <w:qFormat/>
    <w:uiPriority w:val="0"/>
    <w:rPr>
      <w:rFonts w:ascii="Tahoma" w:hAnsi="Tahoma"/>
      <w:sz w:val="24"/>
    </w:rPr>
  </w:style>
  <w:style w:type="paragraph" w:customStyle="1" w:styleId="207">
    <w:name w:val="样式 正文首行缩进 + 首行缩进:  1 字符2"/>
    <w:basedOn w:val="47"/>
    <w:qFormat/>
    <w:uiPriority w:val="0"/>
    <w:pPr>
      <w:adjustRightInd w:val="0"/>
      <w:spacing w:after="0" w:line="300" w:lineRule="auto"/>
      <w:ind w:firstLine="200" w:firstLineChars="200"/>
      <w:textAlignment w:val="baseline"/>
    </w:pPr>
    <w:rPr>
      <w:rFonts w:cs="宋体"/>
      <w:kern w:val="0"/>
      <w:szCs w:val="21"/>
    </w:rPr>
  </w:style>
  <w:style w:type="paragraph" w:customStyle="1" w:styleId="208">
    <w:name w:val="样式 标题 3 + 段前: 0 磅 段后: 0 磅 行距: 单倍行距"/>
    <w:basedOn w:val="4"/>
    <w:next w:val="1"/>
    <w:qFormat/>
    <w:uiPriority w:val="0"/>
    <w:pPr>
      <w:keepLines w:val="0"/>
      <w:tabs>
        <w:tab w:val="clear" w:pos="5852"/>
      </w:tabs>
      <w:snapToGrid/>
      <w:spacing w:before="0" w:line="240" w:lineRule="auto"/>
      <w:ind w:left="360" w:firstLine="0"/>
    </w:pPr>
    <w:rPr>
      <w:rFonts w:ascii="宋体" w:hAnsi="宋体"/>
      <w:bCs/>
      <w:sz w:val="30"/>
      <w:szCs w:val="32"/>
    </w:rPr>
  </w:style>
  <w:style w:type="paragraph" w:customStyle="1" w:styleId="209">
    <w:name w:val="样式 标题 2第一章 标题 2Heading 2 HiddenHeading 2 CCBSheading 2H2h2..."/>
    <w:basedOn w:val="3"/>
    <w:qFormat/>
    <w:uiPriority w:val="0"/>
    <w:pPr>
      <w:keepNext w:val="0"/>
      <w:tabs>
        <w:tab w:val="left" w:pos="510"/>
        <w:tab w:val="left" w:pos="840"/>
      </w:tabs>
      <w:adjustRightInd w:val="0"/>
      <w:spacing w:line="415" w:lineRule="auto"/>
      <w:ind w:left="840" w:hanging="420"/>
      <w:jc w:val="both"/>
      <w:textAlignment w:val="baseline"/>
    </w:pPr>
    <w:rPr>
      <w:rFonts w:ascii="Arial" w:hAnsi="Arial" w:eastAsia="黑体"/>
      <w:snapToGrid w:val="0"/>
      <w:szCs w:val="24"/>
    </w:rPr>
  </w:style>
  <w:style w:type="paragraph" w:customStyle="1" w:styleId="210">
    <w:name w:val="font10"/>
    <w:basedOn w:val="1"/>
    <w:qFormat/>
    <w:uiPriority w:val="0"/>
    <w:pPr>
      <w:adjustRightInd w:val="0"/>
      <w:spacing w:before="100" w:beforeAutospacing="1" w:after="100" w:afterAutospacing="1"/>
      <w:textAlignment w:val="baseline"/>
    </w:pPr>
    <w:rPr>
      <w:color w:val="0000FF"/>
      <w:kern w:val="0"/>
      <w:sz w:val="20"/>
      <w:szCs w:val="21"/>
    </w:rPr>
  </w:style>
  <w:style w:type="paragraph" w:customStyle="1" w:styleId="211">
    <w:name w:val="图题2"/>
    <w:basedOn w:val="212"/>
    <w:next w:val="1"/>
    <w:qFormat/>
    <w:uiPriority w:val="0"/>
    <w:pPr>
      <w:numPr>
        <w:ilvl w:val="1"/>
        <w:numId w:val="5"/>
      </w:numPr>
      <w:tabs>
        <w:tab w:val="left" w:pos="720"/>
      </w:tabs>
      <w:snapToGrid/>
    </w:pPr>
  </w:style>
  <w:style w:type="paragraph" w:customStyle="1" w:styleId="212">
    <w:name w:val="图题"/>
    <w:basedOn w:val="1"/>
    <w:next w:val="1"/>
    <w:qFormat/>
    <w:uiPriority w:val="0"/>
    <w:pPr>
      <w:adjustRightInd w:val="0"/>
      <w:snapToGrid w:val="0"/>
      <w:spacing w:before="50" w:after="50"/>
      <w:jc w:val="center"/>
      <w:textAlignment w:val="baseline"/>
    </w:pPr>
    <w:rPr>
      <w:b/>
      <w:sz w:val="18"/>
      <w:szCs w:val="21"/>
    </w:rPr>
  </w:style>
  <w:style w:type="paragraph" w:customStyle="1" w:styleId="213">
    <w:name w:val="9001"/>
    <w:basedOn w:val="1"/>
    <w:qFormat/>
    <w:uiPriority w:val="0"/>
    <w:pPr>
      <w:tabs>
        <w:tab w:val="left" w:pos="885"/>
      </w:tabs>
      <w:adjustRightInd w:val="0"/>
      <w:spacing w:before="40" w:after="40" w:line="360" w:lineRule="auto"/>
      <w:ind w:left="885" w:right="210" w:hanging="360"/>
      <w:textAlignment w:val="baseline"/>
    </w:pPr>
    <w:rPr>
      <w:szCs w:val="21"/>
    </w:rPr>
  </w:style>
  <w:style w:type="paragraph" w:customStyle="1" w:styleId="214">
    <w:name w:val="Noident"/>
    <w:basedOn w:val="1"/>
    <w:qFormat/>
    <w:uiPriority w:val="0"/>
    <w:pPr>
      <w:widowControl/>
      <w:spacing w:line="300" w:lineRule="auto"/>
    </w:pPr>
    <w:rPr>
      <w:sz w:val="24"/>
    </w:rPr>
  </w:style>
  <w:style w:type="paragraph" w:customStyle="1" w:styleId="215">
    <w:name w:val="正文_59"/>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6">
    <w:name w:val="章标题"/>
    <w:next w:val="1"/>
    <w:qFormat/>
    <w:uiPriority w:val="0"/>
    <w:pPr>
      <w:tabs>
        <w:tab w:val="left" w:pos="1145"/>
      </w:tabs>
      <w:spacing w:beforeLines="50" w:afterLines="50"/>
      <w:ind w:left="1145" w:hanging="420"/>
      <w:jc w:val="both"/>
      <w:outlineLvl w:val="1"/>
    </w:pPr>
    <w:rPr>
      <w:rFonts w:ascii="黑体" w:hAnsi="Times New Roman" w:eastAsia="黑体" w:cs="Times New Roman"/>
      <w:sz w:val="21"/>
      <w:lang w:val="en-US" w:eastAsia="zh-CN" w:bidi="ar-SA"/>
    </w:rPr>
  </w:style>
  <w:style w:type="paragraph" w:customStyle="1" w:styleId="217">
    <w:name w:val="封面标题"/>
    <w:basedOn w:val="1"/>
    <w:qFormat/>
    <w:uiPriority w:val="0"/>
    <w:pPr>
      <w:adjustRightInd w:val="0"/>
      <w:snapToGrid w:val="0"/>
      <w:spacing w:line="360" w:lineRule="auto"/>
      <w:jc w:val="center"/>
      <w:textAlignment w:val="baseline"/>
    </w:pPr>
    <w:rPr>
      <w:rFonts w:eastAsia="黑体"/>
      <w:kern w:val="0"/>
      <w:sz w:val="52"/>
      <w:szCs w:val="21"/>
    </w:rPr>
  </w:style>
  <w:style w:type="paragraph" w:customStyle="1" w:styleId="218">
    <w:name w:val="Table Heading Char"/>
    <w:qFormat/>
    <w:uiPriority w:val="0"/>
    <w:pPr>
      <w:snapToGrid w:val="0"/>
      <w:jc w:val="center"/>
    </w:pPr>
    <w:rPr>
      <w:rFonts w:ascii="Arial" w:hAnsi="Arial" w:eastAsia="黑体" w:cs="Times New Roman"/>
      <w:sz w:val="18"/>
      <w:lang w:val="en-US" w:eastAsia="zh-CN" w:bidi="ar-SA"/>
    </w:rPr>
  </w:style>
  <w:style w:type="paragraph" w:customStyle="1" w:styleId="219">
    <w:name w:val="xl29"/>
    <w:basedOn w:val="1"/>
    <w:qFormat/>
    <w:uiPriority w:val="0"/>
    <w:pPr>
      <w:pBdr>
        <w:left w:val="single" w:color="auto" w:sz="4" w:space="0"/>
        <w:bottom w:val="single" w:color="auto" w:sz="4" w:space="0"/>
        <w:right w:val="double" w:color="auto" w:sz="6" w:space="0"/>
      </w:pBdr>
      <w:adjustRightInd w:val="0"/>
      <w:spacing w:before="100" w:beforeAutospacing="1" w:after="100" w:afterAutospacing="1"/>
      <w:textAlignment w:val="baseline"/>
    </w:pPr>
    <w:rPr>
      <w:rFonts w:ascii="宋体" w:hAnsi="宋体"/>
      <w:kern w:val="0"/>
      <w:sz w:val="20"/>
      <w:szCs w:val="21"/>
    </w:rPr>
  </w:style>
  <w:style w:type="paragraph" w:customStyle="1" w:styleId="220">
    <w:name w:val="默认段落字体 Para Char"/>
    <w:basedOn w:val="1"/>
    <w:qFormat/>
    <w:uiPriority w:val="0"/>
    <w:pPr>
      <w:adjustRightInd w:val="0"/>
      <w:spacing w:line="360" w:lineRule="auto"/>
    </w:pPr>
    <w:rPr>
      <w:kern w:val="0"/>
      <w:sz w:val="24"/>
    </w:rPr>
  </w:style>
  <w:style w:type="paragraph" w:customStyle="1" w:styleId="221">
    <w:name w:val="xl31"/>
    <w:basedOn w:val="1"/>
    <w:qFormat/>
    <w:uiPriority w:val="0"/>
    <w:pPr>
      <w:pBdr>
        <w:top w:val="single" w:color="auto" w:sz="4" w:space="0"/>
        <w:left w:val="single" w:color="auto" w:sz="4" w:space="0"/>
        <w:bottom w:val="single" w:color="auto" w:sz="4" w:space="0"/>
        <w:right w:val="single" w:color="auto" w:sz="4" w:space="0"/>
      </w:pBdr>
      <w:adjustRightInd w:val="0"/>
      <w:spacing w:before="100" w:beforeAutospacing="1" w:after="100" w:afterAutospacing="1"/>
      <w:textAlignment w:val="baseline"/>
    </w:pPr>
    <w:rPr>
      <w:rFonts w:ascii="宋体" w:hAnsi="宋体"/>
      <w:kern w:val="0"/>
      <w:sz w:val="20"/>
      <w:szCs w:val="21"/>
    </w:rPr>
  </w:style>
  <w:style w:type="paragraph" w:customStyle="1" w:styleId="222">
    <w:name w:val="lq_标题2"/>
    <w:basedOn w:val="1"/>
    <w:qFormat/>
    <w:uiPriority w:val="0"/>
    <w:pPr>
      <w:snapToGrid w:val="0"/>
      <w:spacing w:line="360" w:lineRule="auto"/>
      <w:ind w:firstLine="200" w:firstLineChars="200"/>
    </w:pPr>
    <w:rPr>
      <w:rFonts w:ascii="仿宋_GB2312" w:hAnsi="宋体" w:eastAsia="仿宋_GB2312"/>
      <w:b/>
      <w:bCs/>
      <w:color w:val="000000"/>
      <w:sz w:val="28"/>
      <w:szCs w:val="28"/>
    </w:rPr>
  </w:style>
  <w:style w:type="paragraph" w:customStyle="1" w:styleId="223">
    <w:name w:val="表文"/>
    <w:qFormat/>
    <w:uiPriority w:val="0"/>
    <w:rPr>
      <w:rFonts w:ascii="Times New Roman" w:hAnsi="Times New Roman" w:eastAsia="宋体" w:cs="Times New Roman"/>
      <w:bCs/>
      <w:sz w:val="24"/>
      <w:lang w:val="en-US" w:eastAsia="zh-CN" w:bidi="ar-SA"/>
    </w:rPr>
  </w:style>
  <w:style w:type="paragraph" w:customStyle="1" w:styleId="224">
    <w:name w:val="样式 正文文字缩进 + 左侧:  0.75 厘米 首行缩进:  1.12 厘米"/>
    <w:basedOn w:val="21"/>
    <w:qFormat/>
    <w:uiPriority w:val="0"/>
    <w:pPr>
      <w:adjustRightInd w:val="0"/>
      <w:spacing w:after="0" w:line="300" w:lineRule="auto"/>
      <w:ind w:left="0" w:leftChars="0" w:firstLine="200" w:firstLineChars="200"/>
      <w:textAlignment w:val="baseline"/>
    </w:pPr>
    <w:rPr>
      <w:szCs w:val="21"/>
    </w:rPr>
  </w:style>
  <w:style w:type="paragraph" w:customStyle="1" w:styleId="225">
    <w:name w:val="样式 标题 1 + 小二 非加粗"/>
    <w:basedOn w:val="2"/>
    <w:qFormat/>
    <w:uiPriority w:val="0"/>
    <w:pPr>
      <w:spacing w:line="578" w:lineRule="auto"/>
      <w:ind w:left="425" w:hanging="425"/>
      <w:jc w:val="both"/>
    </w:pPr>
    <w:rPr>
      <w:rFonts w:eastAsia="宋体"/>
      <w:szCs w:val="44"/>
    </w:rPr>
  </w:style>
  <w:style w:type="paragraph" w:customStyle="1" w:styleId="226">
    <w:name w:val="Char2 Char Char Char"/>
    <w:basedOn w:val="1"/>
    <w:qFormat/>
    <w:uiPriority w:val="0"/>
    <w:rPr>
      <w:rFonts w:ascii="Tahoma" w:hAnsi="Tahoma"/>
      <w:sz w:val="24"/>
    </w:rPr>
  </w:style>
  <w:style w:type="paragraph" w:customStyle="1" w:styleId="227">
    <w:name w:val="样式 图题 + Helvetica 五号 段前: 7.8 磅 段后: 7.8 磅"/>
    <w:basedOn w:val="212"/>
    <w:qFormat/>
    <w:uiPriority w:val="0"/>
    <w:pPr>
      <w:snapToGrid/>
      <w:spacing w:before="0" w:after="0"/>
    </w:pPr>
    <w:rPr>
      <w:rFonts w:ascii="Helvetica" w:hAnsi="Helvetica"/>
      <w:bCs/>
      <w:sz w:val="21"/>
    </w:rPr>
  </w:style>
  <w:style w:type="paragraph" w:customStyle="1" w:styleId="228">
    <w:name w:val="Char"/>
    <w:basedOn w:val="1"/>
    <w:qFormat/>
    <w:uiPriority w:val="0"/>
    <w:rPr>
      <w:rFonts w:ascii="Tahoma" w:hAnsi="Tahoma"/>
      <w:sz w:val="24"/>
    </w:rPr>
  </w:style>
  <w:style w:type="paragraph" w:customStyle="1" w:styleId="229">
    <w:name w:val="纯文本 New"/>
    <w:basedOn w:val="230"/>
    <w:qFormat/>
    <w:uiPriority w:val="0"/>
    <w:pPr>
      <w:widowControl/>
      <w:jc w:val="left"/>
    </w:pPr>
    <w:rPr>
      <w:rFonts w:ascii="宋体" w:hAnsi="Courier New"/>
    </w:rPr>
  </w:style>
  <w:style w:type="paragraph" w:customStyle="1" w:styleId="230">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1">
    <w:name w:val="Char Char Char Char Char Char"/>
    <w:basedOn w:val="1"/>
    <w:qFormat/>
    <w:uiPriority w:val="0"/>
    <w:rPr>
      <w:rFonts w:ascii="Tahoma" w:hAnsi="Tahoma"/>
      <w:sz w:val="24"/>
    </w:rPr>
  </w:style>
  <w:style w:type="paragraph" w:customStyle="1" w:styleId="232">
    <w:name w:val="Char Char Char Char"/>
    <w:basedOn w:val="17"/>
    <w:qFormat/>
    <w:uiPriority w:val="0"/>
    <w:pPr>
      <w:adjustRightInd w:val="0"/>
      <w:snapToGrid w:val="0"/>
      <w:spacing w:line="360" w:lineRule="auto"/>
    </w:pPr>
    <w:rPr>
      <w:rFonts w:ascii="Tahoma" w:hAnsi="Tahoma"/>
      <w:sz w:val="24"/>
    </w:rPr>
  </w:style>
  <w:style w:type="paragraph" w:customStyle="1" w:styleId="233">
    <w:name w:val="投标 - 引用表格"/>
    <w:basedOn w:val="1"/>
    <w:qFormat/>
    <w:uiPriority w:val="0"/>
    <w:pPr>
      <w:adjustRightInd w:val="0"/>
      <w:snapToGrid w:val="0"/>
      <w:textAlignment w:val="baseline"/>
    </w:pPr>
    <w:rPr>
      <w:b/>
      <w:bCs/>
      <w:i/>
      <w:kern w:val="0"/>
      <w:szCs w:val="21"/>
    </w:rPr>
  </w:style>
  <w:style w:type="paragraph" w:customStyle="1" w:styleId="234">
    <w:name w:val="正文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5">
    <w:name w:val="沈阳系统功能编号"/>
    <w:basedOn w:val="47"/>
    <w:qFormat/>
    <w:uiPriority w:val="0"/>
    <w:pPr>
      <w:numPr>
        <w:ilvl w:val="0"/>
        <w:numId w:val="6"/>
      </w:numPr>
      <w:tabs>
        <w:tab w:val="left" w:pos="360"/>
        <w:tab w:val="left" w:pos="1387"/>
      </w:tabs>
      <w:adjustRightInd w:val="0"/>
      <w:spacing w:after="0" w:line="300" w:lineRule="auto"/>
      <w:ind w:left="0" w:firstLine="420" w:firstLineChars="0"/>
      <w:textAlignment w:val="baseline"/>
    </w:pPr>
    <w:rPr>
      <w:kern w:val="0"/>
      <w:szCs w:val="21"/>
    </w:rPr>
  </w:style>
  <w:style w:type="paragraph" w:customStyle="1" w:styleId="236">
    <w:name w:val="数字标题4"/>
    <w:basedOn w:val="5"/>
    <w:qFormat/>
    <w:uiPriority w:val="0"/>
    <w:pPr>
      <w:numPr>
        <w:ilvl w:val="4"/>
        <w:numId w:val="7"/>
      </w:numPr>
      <w:tabs>
        <w:tab w:val="left" w:pos="2520"/>
        <w:tab w:val="clear" w:pos="425"/>
      </w:tabs>
      <w:spacing w:before="0" w:line="376" w:lineRule="auto"/>
      <w:ind w:left="0" w:firstLine="0"/>
    </w:pPr>
    <w:rPr>
      <w:rFonts w:hAnsi="宋体"/>
      <w:bCs/>
      <w:sz w:val="24"/>
      <w:szCs w:val="24"/>
    </w:rPr>
  </w:style>
  <w:style w:type="paragraph" w:customStyle="1" w:styleId="237">
    <w:name w:val="样式 行距: 多倍行距 1.25 字行"/>
    <w:basedOn w:val="1"/>
    <w:qFormat/>
    <w:uiPriority w:val="0"/>
    <w:pPr>
      <w:adjustRightInd w:val="0"/>
      <w:spacing w:line="300" w:lineRule="auto"/>
      <w:ind w:firstLine="200" w:firstLineChars="200"/>
      <w:textAlignment w:val="baseline"/>
    </w:pPr>
    <w:rPr>
      <w:rFonts w:cs="宋体"/>
      <w:kern w:val="0"/>
      <w:szCs w:val="21"/>
    </w:rPr>
  </w:style>
  <w:style w:type="paragraph" w:customStyle="1" w:styleId="238">
    <w:name w:val="数字标题6"/>
    <w:basedOn w:val="8"/>
    <w:next w:val="1"/>
    <w:qFormat/>
    <w:uiPriority w:val="0"/>
    <w:pPr>
      <w:spacing w:line="320" w:lineRule="auto"/>
      <w:ind w:left="3002" w:hanging="420"/>
    </w:pPr>
    <w:rPr>
      <w:rFonts w:ascii="Times New Roman" w:hAnsi="Times New Roman" w:eastAsia="宋体"/>
      <w:bCs/>
      <w:i/>
      <w:szCs w:val="24"/>
    </w:rPr>
  </w:style>
  <w:style w:type="paragraph" w:customStyle="1" w:styleId="239">
    <w:name w:val="数字标题5"/>
    <w:basedOn w:val="6"/>
    <w:next w:val="1"/>
    <w:qFormat/>
    <w:uiPriority w:val="0"/>
    <w:pPr>
      <w:numPr>
        <w:ilvl w:val="5"/>
        <w:numId w:val="7"/>
      </w:numPr>
      <w:tabs>
        <w:tab w:val="left" w:pos="1440"/>
      </w:tabs>
      <w:spacing w:line="376" w:lineRule="auto"/>
      <w:ind w:left="1440"/>
    </w:pPr>
    <w:rPr>
      <w:bCs/>
      <w:szCs w:val="28"/>
    </w:rPr>
  </w:style>
  <w:style w:type="paragraph" w:customStyle="1" w:styleId="240">
    <w:name w:val="正文0"/>
    <w:basedOn w:val="1"/>
    <w:qFormat/>
    <w:uiPriority w:val="0"/>
    <w:pPr>
      <w:autoSpaceDE w:val="0"/>
      <w:autoSpaceDN w:val="0"/>
      <w:adjustRightInd w:val="0"/>
      <w:spacing w:before="240" w:after="60" w:line="360" w:lineRule="atLeast"/>
    </w:pPr>
    <w:rPr>
      <w:b/>
      <w:kern w:val="0"/>
      <w:sz w:val="24"/>
    </w:rPr>
  </w:style>
  <w:style w:type="paragraph" w:customStyle="1" w:styleId="241">
    <w:name w:val="Table Text"/>
    <w:qFormat/>
    <w:uiPriority w:val="0"/>
    <w:pPr>
      <w:snapToGrid w:val="0"/>
      <w:spacing w:before="80" w:after="80"/>
    </w:pPr>
    <w:rPr>
      <w:rFonts w:ascii="Arial" w:hAnsi="Arial" w:eastAsia="宋体" w:cs="Times New Roman"/>
      <w:sz w:val="18"/>
      <w:lang w:val="en-US" w:eastAsia="en-US" w:bidi="ar-SA"/>
    </w:rPr>
  </w:style>
  <w:style w:type="paragraph" w:customStyle="1" w:styleId="242">
    <w:name w:val="Char2 Char Char Char1"/>
    <w:basedOn w:val="1"/>
    <w:qFormat/>
    <w:uiPriority w:val="0"/>
    <w:rPr>
      <w:rFonts w:ascii="Tahoma" w:hAnsi="Tahoma"/>
      <w:sz w:val="24"/>
    </w:rPr>
  </w:style>
  <w:style w:type="paragraph" w:customStyle="1" w:styleId="243">
    <w:name w:val="Char Char Char Char Char Char Char Char Char Char Char Char Char Char Char Char Char Char Char"/>
    <w:basedOn w:val="1"/>
    <w:qFormat/>
    <w:uiPriority w:val="0"/>
    <w:pPr>
      <w:numPr>
        <w:ilvl w:val="0"/>
        <w:numId w:val="8"/>
      </w:numPr>
      <w:tabs>
        <w:tab w:val="left" w:pos="907"/>
      </w:tabs>
      <w:ind w:left="907" w:hanging="453"/>
    </w:pPr>
    <w:rPr>
      <w:sz w:val="24"/>
      <w:szCs w:val="24"/>
    </w:rPr>
  </w:style>
  <w:style w:type="paragraph" w:customStyle="1" w:styleId="244">
    <w:name w:val="xl27"/>
    <w:basedOn w:val="1"/>
    <w:qFormat/>
    <w:uiPriority w:val="0"/>
    <w:pPr>
      <w:pBdr>
        <w:left w:val="double" w:color="auto" w:sz="6" w:space="0"/>
        <w:bottom w:val="single" w:color="auto" w:sz="4" w:space="0"/>
        <w:right w:val="single" w:color="auto" w:sz="4" w:space="0"/>
      </w:pBdr>
      <w:adjustRightInd w:val="0"/>
      <w:spacing w:before="100" w:beforeAutospacing="1" w:after="100" w:afterAutospacing="1"/>
      <w:jc w:val="center"/>
      <w:textAlignment w:val="baseline"/>
    </w:pPr>
    <w:rPr>
      <w:rFonts w:ascii="宋体" w:hAnsi="宋体"/>
      <w:kern w:val="0"/>
      <w:sz w:val="20"/>
      <w:szCs w:val="21"/>
    </w:rPr>
  </w:style>
  <w:style w:type="paragraph" w:customStyle="1" w:styleId="245">
    <w:name w:val="正文首行缩进1"/>
    <w:basedOn w:val="1"/>
    <w:qFormat/>
    <w:uiPriority w:val="0"/>
    <w:pPr>
      <w:adjustRightInd w:val="0"/>
      <w:spacing w:line="300" w:lineRule="auto"/>
      <w:ind w:firstLine="200" w:firstLineChars="200"/>
      <w:textAlignment w:val="baseline"/>
    </w:pPr>
    <w:rPr>
      <w:rFonts w:cs="宋体"/>
      <w:kern w:val="0"/>
      <w:szCs w:val="21"/>
    </w:rPr>
  </w:style>
  <w:style w:type="paragraph" w:customStyle="1" w:styleId="246">
    <w:name w:val="沈阳设备性能编号"/>
    <w:basedOn w:val="247"/>
    <w:qFormat/>
    <w:uiPriority w:val="0"/>
    <w:pPr>
      <w:tabs>
        <w:tab w:val="left" w:pos="360"/>
        <w:tab w:val="left" w:pos="420"/>
        <w:tab w:val="left" w:pos="1387"/>
      </w:tabs>
    </w:pPr>
  </w:style>
  <w:style w:type="paragraph" w:customStyle="1" w:styleId="247">
    <w:name w:val="沈阳设备组成编号"/>
    <w:basedOn w:val="47"/>
    <w:qFormat/>
    <w:uiPriority w:val="0"/>
    <w:pPr>
      <w:numPr>
        <w:ilvl w:val="0"/>
        <w:numId w:val="9"/>
      </w:numPr>
      <w:tabs>
        <w:tab w:val="left" w:pos="360"/>
        <w:tab w:val="left" w:pos="1387"/>
      </w:tabs>
      <w:adjustRightInd w:val="0"/>
      <w:spacing w:after="0" w:line="300" w:lineRule="auto"/>
      <w:ind w:left="0" w:firstLine="420" w:firstLineChars="0"/>
      <w:textAlignment w:val="baseline"/>
    </w:pPr>
    <w:rPr>
      <w:kern w:val="0"/>
      <w:szCs w:val="21"/>
    </w:rPr>
  </w:style>
  <w:style w:type="paragraph" w:customStyle="1" w:styleId="248">
    <w:name w:val="数字标题1"/>
    <w:basedOn w:val="2"/>
    <w:next w:val="1"/>
    <w:qFormat/>
    <w:uiPriority w:val="0"/>
    <w:pPr>
      <w:spacing w:before="0" w:after="0" w:line="360" w:lineRule="auto"/>
      <w:ind w:firstLine="241" w:firstLineChars="100"/>
      <w:jc w:val="both"/>
    </w:pPr>
    <w:rPr>
      <w:rFonts w:ascii="宋体" w:hAnsi="宋体" w:eastAsia="宋体"/>
      <w:bCs/>
      <w:sz w:val="24"/>
      <w:szCs w:val="24"/>
    </w:rPr>
  </w:style>
  <w:style w:type="paragraph" w:customStyle="1" w:styleId="249">
    <w:name w:val="xl39"/>
    <w:basedOn w:val="1"/>
    <w:qFormat/>
    <w:uiPriority w:val="0"/>
    <w:pPr>
      <w:pBdr>
        <w:top w:val="single" w:color="auto" w:sz="4" w:space="0"/>
        <w:left w:val="single" w:color="auto" w:sz="4" w:space="0"/>
        <w:bottom w:val="single" w:color="auto" w:sz="4" w:space="0"/>
        <w:right w:val="double" w:color="auto" w:sz="6" w:space="0"/>
      </w:pBdr>
      <w:shd w:val="clear" w:color="auto" w:fill="FFFF99"/>
      <w:adjustRightInd w:val="0"/>
      <w:spacing w:before="100" w:beforeAutospacing="1" w:after="100" w:afterAutospacing="1"/>
      <w:textAlignment w:val="baseline"/>
    </w:pPr>
    <w:rPr>
      <w:rFonts w:ascii="宋体" w:hAnsi="宋体"/>
      <w:kern w:val="0"/>
      <w:sz w:val="20"/>
      <w:szCs w:val="21"/>
    </w:rPr>
  </w:style>
  <w:style w:type="paragraph" w:customStyle="1" w:styleId="250">
    <w:name w:val="样式 (西文) 宋体 小四 首行缩进:  2 字符1 Char Char Char Char"/>
    <w:basedOn w:val="1"/>
    <w:qFormat/>
    <w:uiPriority w:val="0"/>
    <w:pPr>
      <w:ind w:firstLine="480" w:firstLineChars="200"/>
    </w:pPr>
    <w:rPr>
      <w:rFonts w:ascii="宋体" w:hAnsi="宋体" w:cs="宋体"/>
      <w:sz w:val="24"/>
      <w:szCs w:val="24"/>
    </w:rPr>
  </w:style>
  <w:style w:type="paragraph" w:customStyle="1" w:styleId="251">
    <w:name w:val="正文1级项目符号"/>
    <w:basedOn w:val="20"/>
    <w:qFormat/>
    <w:uiPriority w:val="0"/>
    <w:pPr>
      <w:adjustRightInd w:val="0"/>
      <w:spacing w:before="120" w:after="120" w:line="360" w:lineRule="exact"/>
      <w:textAlignment w:val="baseline"/>
    </w:pPr>
    <w:rPr>
      <w:kern w:val="0"/>
      <w:sz w:val="21"/>
      <w:szCs w:val="21"/>
    </w:rPr>
  </w:style>
  <w:style w:type="paragraph" w:customStyle="1" w:styleId="252">
    <w:name w:val="WPSOffice手动目录 3"/>
    <w:qFormat/>
    <w:uiPriority w:val="0"/>
    <w:pPr>
      <w:ind w:left="400" w:leftChars="400"/>
    </w:pPr>
    <w:rPr>
      <w:rFonts w:ascii="Times New Roman" w:hAnsi="Times New Roman" w:eastAsia="宋体" w:cs="Times New Roman"/>
      <w:lang w:val="en-US" w:eastAsia="zh-CN" w:bidi="ar-SA"/>
    </w:rPr>
  </w:style>
  <w:style w:type="paragraph" w:customStyle="1" w:styleId="253">
    <w:name w:val="普通正文"/>
    <w:basedOn w:val="1"/>
    <w:qFormat/>
    <w:uiPriority w:val="0"/>
    <w:pPr>
      <w:adjustRightInd w:val="0"/>
      <w:spacing w:before="120" w:after="120" w:line="360" w:lineRule="auto"/>
      <w:ind w:firstLine="480"/>
      <w:jc w:val="left"/>
      <w:textAlignment w:val="baseline"/>
    </w:pPr>
    <w:rPr>
      <w:rFonts w:ascii="Arial" w:hAnsi="Arial"/>
      <w:kern w:val="0"/>
      <w:sz w:val="28"/>
      <w:szCs w:val="24"/>
    </w:rPr>
  </w:style>
  <w:style w:type="paragraph" w:customStyle="1" w:styleId="254">
    <w:name w:val="沈阳系统性能编号"/>
    <w:basedOn w:val="174"/>
    <w:qFormat/>
    <w:uiPriority w:val="0"/>
    <w:pPr>
      <w:numPr>
        <w:numId w:val="10"/>
      </w:numPr>
      <w:tabs>
        <w:tab w:val="clear" w:pos="0"/>
        <w:tab w:val="clear" w:pos="1387"/>
      </w:tabs>
      <w:ind w:left="0" w:firstLine="420"/>
    </w:pPr>
  </w:style>
  <w:style w:type="paragraph" w:customStyle="1" w:styleId="255">
    <w:name w:val="正文_58"/>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6">
    <w:name w:val="Char Char Char Char Char Char Char Char Char Char Char Char Char"/>
    <w:basedOn w:val="1"/>
    <w:qFormat/>
    <w:uiPriority w:val="0"/>
    <w:rPr>
      <w:rFonts w:ascii="Tahoma" w:hAnsi="Tahoma"/>
      <w:sz w:val="24"/>
    </w:rPr>
  </w:style>
  <w:style w:type="paragraph" w:customStyle="1" w:styleId="257">
    <w:name w:val="Char Char"/>
    <w:basedOn w:val="1"/>
    <w:qFormat/>
    <w:uiPriority w:val="0"/>
    <w:pPr>
      <w:adjustRightInd w:val="0"/>
      <w:spacing w:line="360" w:lineRule="auto"/>
    </w:pPr>
    <w:rPr>
      <w:kern w:val="0"/>
      <w:sz w:val="24"/>
    </w:rPr>
  </w:style>
  <w:style w:type="paragraph" w:customStyle="1" w:styleId="258">
    <w:name w:val="Char Char Char Char Char Char Char1"/>
    <w:basedOn w:val="1"/>
    <w:qFormat/>
    <w:uiPriority w:val="0"/>
    <w:pPr>
      <w:widowControl/>
      <w:spacing w:after="160" w:line="240" w:lineRule="exact"/>
      <w:jc w:val="left"/>
    </w:pPr>
    <w:rPr>
      <w:szCs w:val="24"/>
    </w:rPr>
  </w:style>
  <w:style w:type="paragraph" w:customStyle="1" w:styleId="259">
    <w:name w:val="1 Char"/>
    <w:basedOn w:val="1"/>
    <w:qFormat/>
    <w:uiPriority w:val="0"/>
    <w:pPr>
      <w:tabs>
        <w:tab w:val="left" w:pos="1571"/>
      </w:tabs>
      <w:ind w:left="1571" w:hanging="851"/>
    </w:pPr>
    <w:rPr>
      <w:sz w:val="24"/>
      <w:szCs w:val="24"/>
    </w:rPr>
  </w:style>
  <w:style w:type="paragraph" w:customStyle="1" w:styleId="260">
    <w:name w:val="图1"/>
    <w:basedOn w:val="1"/>
    <w:next w:val="1"/>
    <w:qFormat/>
    <w:uiPriority w:val="0"/>
    <w:pPr>
      <w:tabs>
        <w:tab w:val="left" w:pos="425"/>
      </w:tabs>
      <w:spacing w:beforeLines="50" w:afterLines="100" w:line="360" w:lineRule="auto"/>
      <w:ind w:left="1105" w:hanging="748"/>
    </w:pPr>
    <w:rPr>
      <w:kern w:val="0"/>
      <w:sz w:val="24"/>
      <w:szCs w:val="24"/>
    </w:rPr>
  </w:style>
  <w:style w:type="paragraph" w:customStyle="1" w:styleId="261">
    <w:name w:val="Char Char Char Char Char Char Char Char Char Char Char Char Char Char Char Char Char Char Char Char Char Char"/>
    <w:basedOn w:val="1"/>
    <w:qFormat/>
    <w:uiPriority w:val="0"/>
    <w:rPr>
      <w:rFonts w:ascii="Tahoma" w:hAnsi="Tahoma"/>
      <w:sz w:val="24"/>
    </w:rPr>
  </w:style>
  <w:style w:type="paragraph" w:customStyle="1" w:styleId="262">
    <w:name w:val="标题 9 + 小四"/>
    <w:basedOn w:val="11"/>
    <w:qFormat/>
    <w:uiPriority w:val="0"/>
    <w:pPr>
      <w:spacing w:line="320" w:lineRule="auto"/>
      <w:ind w:left="359" w:leftChars="171" w:hanging="420"/>
    </w:pPr>
    <w:rPr>
      <w:sz w:val="24"/>
      <w:szCs w:val="24"/>
    </w:rPr>
  </w:style>
  <w:style w:type="paragraph" w:customStyle="1" w:styleId="263">
    <w:name w:val="文档标题"/>
    <w:basedOn w:val="1"/>
    <w:qFormat/>
    <w:uiPriority w:val="0"/>
    <w:pPr>
      <w:tabs>
        <w:tab w:val="left" w:pos="0"/>
      </w:tabs>
      <w:autoSpaceDE w:val="0"/>
      <w:autoSpaceDN w:val="0"/>
      <w:adjustRightInd w:val="0"/>
      <w:spacing w:before="300" w:after="300" w:line="360" w:lineRule="auto"/>
      <w:jc w:val="center"/>
    </w:pPr>
    <w:rPr>
      <w:rFonts w:ascii="Arial" w:hAnsi="Arial" w:eastAsia="黑体"/>
      <w:snapToGrid w:val="0"/>
      <w:kern w:val="0"/>
      <w:sz w:val="36"/>
      <w:szCs w:val="36"/>
    </w:rPr>
  </w:style>
  <w:style w:type="paragraph" w:customStyle="1" w:styleId="264">
    <w:name w:val="样式1"/>
    <w:basedOn w:val="2"/>
    <w:qFormat/>
    <w:uiPriority w:val="0"/>
    <w:pPr>
      <w:spacing w:line="0" w:lineRule="atLeast"/>
    </w:pPr>
    <w:rPr>
      <w:b w:val="0"/>
    </w:rPr>
  </w:style>
  <w:style w:type="paragraph" w:customStyle="1" w:styleId="265">
    <w:name w:val="样式 正文首行缩进 + 首行缩进:  1 字符1"/>
    <w:basedOn w:val="47"/>
    <w:qFormat/>
    <w:uiPriority w:val="0"/>
    <w:pPr>
      <w:adjustRightInd w:val="0"/>
      <w:spacing w:after="0" w:line="300" w:lineRule="auto"/>
      <w:ind w:firstLine="200" w:firstLineChars="200"/>
      <w:textAlignment w:val="baseline"/>
    </w:pPr>
    <w:rPr>
      <w:rFonts w:cs="宋体"/>
      <w:kern w:val="0"/>
      <w:szCs w:val="21"/>
    </w:rPr>
  </w:style>
  <w:style w:type="paragraph" w:customStyle="1" w:styleId="266">
    <w:name w:val="Char Char1 Char Char Char Char Char Char Char Char Char Char Char Char Char Char"/>
    <w:basedOn w:val="1"/>
    <w:qFormat/>
    <w:uiPriority w:val="0"/>
    <w:pPr>
      <w:widowControl/>
      <w:spacing w:after="160" w:line="240" w:lineRule="exact"/>
      <w:jc w:val="left"/>
    </w:pPr>
    <w:rPr>
      <w:rFonts w:ascii="Verdana" w:hAnsi="Verdana"/>
      <w:kern w:val="0"/>
      <w:sz w:val="20"/>
      <w:lang w:eastAsia="en-US"/>
    </w:rPr>
  </w:style>
  <w:style w:type="paragraph" w:customStyle="1" w:styleId="267">
    <w:name w:val="Char Char Char Char Char Char Char Char Char1 Char Char Char Char"/>
    <w:basedOn w:val="1"/>
    <w:qFormat/>
    <w:uiPriority w:val="0"/>
    <w:rPr>
      <w:rFonts w:ascii="Tahoma" w:hAnsi="Tahoma"/>
      <w:sz w:val="24"/>
    </w:rPr>
  </w:style>
  <w:style w:type="paragraph" w:customStyle="1" w:styleId="268">
    <w:name w:val="正文_355"/>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9">
    <w:name w:val="样式 标题 7标题 7 Char + 行距: 固定值 18 磅"/>
    <w:basedOn w:val="9"/>
    <w:qFormat/>
    <w:uiPriority w:val="0"/>
    <w:pPr>
      <w:spacing w:before="0" w:after="0" w:line="360" w:lineRule="exact"/>
      <w:ind w:firstLine="357"/>
    </w:pPr>
    <w:rPr>
      <w:rFonts w:ascii="宋体" w:hAnsi="宋体" w:eastAsia="黑体" w:cs="宋体"/>
      <w:bCs/>
    </w:rPr>
  </w:style>
  <w:style w:type="paragraph" w:customStyle="1" w:styleId="270">
    <w:name w:val="文档类别"/>
    <w:basedOn w:val="1"/>
    <w:qFormat/>
    <w:locked/>
    <w:uiPriority w:val="0"/>
    <w:pPr>
      <w:jc w:val="center"/>
    </w:pPr>
    <w:rPr>
      <w:rFonts w:eastAsia="黑体" w:cs="宋体"/>
      <w:bCs/>
      <w:sz w:val="30"/>
    </w:rPr>
  </w:style>
  <w:style w:type="paragraph" w:customStyle="1" w:styleId="271">
    <w:name w:val="3"/>
    <w:basedOn w:val="1"/>
    <w:qFormat/>
    <w:uiPriority w:val="0"/>
    <w:rPr>
      <w:rFonts w:ascii="Tahoma" w:hAnsi="Tahoma"/>
      <w:sz w:val="24"/>
    </w:rPr>
  </w:style>
  <w:style w:type="paragraph" w:customStyle="1" w:styleId="272">
    <w:name w:val="xl34"/>
    <w:basedOn w:val="1"/>
    <w:qFormat/>
    <w:uiPriority w:val="0"/>
    <w:pPr>
      <w:pBdr>
        <w:top w:val="single" w:color="auto" w:sz="4" w:space="0"/>
        <w:left w:val="single" w:color="auto" w:sz="4" w:space="0"/>
        <w:bottom w:val="single" w:color="auto" w:sz="4" w:space="0"/>
        <w:right w:val="single" w:color="auto" w:sz="4" w:space="0"/>
      </w:pBdr>
      <w:adjustRightInd w:val="0"/>
      <w:spacing w:before="100" w:beforeAutospacing="1" w:after="100" w:afterAutospacing="1"/>
      <w:textAlignment w:val="baseline"/>
    </w:pPr>
    <w:rPr>
      <w:rFonts w:ascii="宋体" w:hAnsi="宋体"/>
      <w:color w:val="FF0000"/>
      <w:kern w:val="0"/>
      <w:sz w:val="20"/>
      <w:szCs w:val="21"/>
    </w:rPr>
  </w:style>
  <w:style w:type="paragraph" w:customStyle="1" w:styleId="273">
    <w:name w:val="xl25"/>
    <w:basedOn w:val="1"/>
    <w:qFormat/>
    <w:uiPriority w:val="0"/>
    <w:pPr>
      <w:pBdr>
        <w:top w:val="double" w:color="auto" w:sz="6" w:space="0"/>
        <w:left w:val="single" w:color="auto" w:sz="4" w:space="0"/>
        <w:bottom w:val="double" w:color="auto" w:sz="6" w:space="0"/>
        <w:right w:val="single" w:color="auto" w:sz="4" w:space="0"/>
      </w:pBdr>
      <w:shd w:val="clear" w:color="auto" w:fill="FFFF99"/>
      <w:adjustRightInd w:val="0"/>
      <w:spacing w:before="100" w:beforeAutospacing="1" w:after="100" w:afterAutospacing="1"/>
      <w:jc w:val="center"/>
      <w:textAlignment w:val="baseline"/>
    </w:pPr>
    <w:rPr>
      <w:rFonts w:ascii="宋体" w:hAnsi="宋体"/>
      <w:b/>
      <w:bCs/>
      <w:kern w:val="0"/>
      <w:szCs w:val="24"/>
    </w:rPr>
  </w:style>
  <w:style w:type="paragraph" w:customStyle="1" w:styleId="274">
    <w:name w:val="标题小四"/>
    <w:basedOn w:val="3"/>
    <w:qFormat/>
    <w:uiPriority w:val="0"/>
    <w:pPr>
      <w:keepNext w:val="0"/>
      <w:keepLines w:val="0"/>
      <w:spacing w:before="0" w:after="0" w:line="360" w:lineRule="auto"/>
      <w:ind w:right="90"/>
      <w:jc w:val="both"/>
      <w:outlineLvl w:val="9"/>
    </w:pPr>
    <w:rPr>
      <w:rFonts w:ascii="仿宋_GB2312" w:hAnsi="宋体" w:eastAsia="仿宋_GB2312" w:cs="Arial Unicode MS"/>
      <w:b w:val="0"/>
      <w:color w:val="000000"/>
      <w:sz w:val="21"/>
      <w:szCs w:val="21"/>
    </w:rPr>
  </w:style>
  <w:style w:type="paragraph" w:customStyle="1" w:styleId="275">
    <w:name w:val="分类格式缩进"/>
    <w:qFormat/>
    <w:uiPriority w:val="0"/>
    <w:pPr>
      <w:numPr>
        <w:ilvl w:val="0"/>
        <w:numId w:val="11"/>
      </w:numPr>
      <w:tabs>
        <w:tab w:val="left" w:pos="250"/>
      </w:tabs>
      <w:spacing w:line="360" w:lineRule="auto"/>
      <w:ind w:left="907" w:hanging="397"/>
    </w:pPr>
    <w:rPr>
      <w:rFonts w:ascii="宋体" w:hAnsi="宋体" w:eastAsia="宋体" w:cs="Times New Roman"/>
      <w:kern w:val="2"/>
      <w:sz w:val="24"/>
      <w:lang w:val="en-US" w:eastAsia="zh-CN" w:bidi="ar-SA"/>
    </w:rPr>
  </w:style>
  <w:style w:type="paragraph" w:customStyle="1" w:styleId="276">
    <w:name w:val="表格标题"/>
    <w:basedOn w:val="1"/>
    <w:next w:val="1"/>
    <w:qFormat/>
    <w:uiPriority w:val="0"/>
    <w:pPr>
      <w:numPr>
        <w:ilvl w:val="0"/>
        <w:numId w:val="12"/>
      </w:numPr>
      <w:jc w:val="center"/>
    </w:pPr>
    <w:rPr>
      <w:rFonts w:ascii="宋体"/>
      <w:b/>
      <w:sz w:val="24"/>
    </w:rPr>
  </w:style>
  <w:style w:type="paragraph" w:customStyle="1" w:styleId="277">
    <w:name w:val="并列项-点"/>
    <w:basedOn w:val="1"/>
    <w:qFormat/>
    <w:uiPriority w:val="0"/>
    <w:pPr>
      <w:widowControl/>
      <w:tabs>
        <w:tab w:val="left" w:pos="851"/>
      </w:tabs>
      <w:adjustRightInd w:val="0"/>
      <w:snapToGrid w:val="0"/>
      <w:spacing w:line="360" w:lineRule="atLeast"/>
      <w:ind w:left="900" w:hanging="420"/>
      <w:textAlignment w:val="baseline"/>
    </w:pPr>
    <w:rPr>
      <w:kern w:val="0"/>
      <w:sz w:val="24"/>
    </w:rPr>
  </w:style>
  <w:style w:type="paragraph" w:customStyle="1" w:styleId="278">
    <w:name w:val="Char Char3"/>
    <w:basedOn w:val="1"/>
    <w:qFormat/>
    <w:uiPriority w:val="0"/>
    <w:pPr>
      <w:spacing w:line="360" w:lineRule="auto"/>
      <w:ind w:firstLine="200" w:firstLineChars="200"/>
    </w:pPr>
    <w:rPr>
      <w:rFonts w:ascii="Tahoma" w:hAnsi="Tahoma"/>
      <w:sz w:val="24"/>
      <w:szCs w:val="24"/>
    </w:rPr>
  </w:style>
  <w:style w:type="paragraph" w:customStyle="1" w:styleId="279">
    <w:name w:val="正文_29_3_29"/>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0">
    <w:name w:val="标3"/>
    <w:basedOn w:val="1"/>
    <w:qFormat/>
    <w:uiPriority w:val="0"/>
    <w:pPr>
      <w:tabs>
        <w:tab w:val="left" w:pos="1740"/>
      </w:tabs>
      <w:adjustRightInd w:val="0"/>
      <w:snapToGrid w:val="0"/>
      <w:spacing w:before="50"/>
      <w:ind w:left="1740" w:hanging="420"/>
      <w:outlineLvl w:val="2"/>
    </w:pPr>
    <w:rPr>
      <w:rFonts w:ascii="Arial Narrow" w:hAnsi="Arial Narrow" w:eastAsia="仿宋_GB2312"/>
      <w:sz w:val="28"/>
    </w:rPr>
  </w:style>
  <w:style w:type="paragraph" w:customStyle="1" w:styleId="281">
    <w:name w:val="Char Char Char Char Char Char Char Char Char Char"/>
    <w:basedOn w:val="1"/>
    <w:qFormat/>
    <w:uiPriority w:val="0"/>
    <w:rPr>
      <w:rFonts w:ascii="Tahoma" w:hAnsi="Tahoma"/>
      <w:sz w:val="24"/>
    </w:rPr>
  </w:style>
  <w:style w:type="paragraph" w:customStyle="1" w:styleId="282">
    <w:name w:val="数字标题3"/>
    <w:basedOn w:val="4"/>
    <w:next w:val="1"/>
    <w:qFormat/>
    <w:uiPriority w:val="0"/>
    <w:pPr>
      <w:tabs>
        <w:tab w:val="clear" w:pos="5852"/>
      </w:tabs>
      <w:snapToGrid/>
      <w:spacing w:before="0" w:line="360" w:lineRule="auto"/>
      <w:ind w:left="0" w:firstLine="422" w:firstLineChars="200"/>
    </w:pPr>
    <w:rPr>
      <w:rFonts w:ascii="宋体" w:hAnsi="宋体"/>
      <w:bCs/>
      <w:sz w:val="21"/>
      <w:szCs w:val="21"/>
    </w:rPr>
  </w:style>
  <w:style w:type="paragraph" w:customStyle="1" w:styleId="283">
    <w:name w:val="a"/>
    <w:basedOn w:val="1"/>
    <w:qFormat/>
    <w:uiPriority w:val="0"/>
    <w:pPr>
      <w:adjustRightInd w:val="0"/>
      <w:spacing w:before="100" w:beforeAutospacing="1" w:after="100" w:afterAutospacing="1"/>
      <w:textAlignment w:val="baseline"/>
    </w:pPr>
    <w:rPr>
      <w:rFonts w:ascii="宋体" w:hAnsi="宋体"/>
      <w:kern w:val="0"/>
      <w:szCs w:val="24"/>
    </w:rPr>
  </w:style>
  <w:style w:type="paragraph" w:customStyle="1" w:styleId="284">
    <w:name w:val="正文2级项目符号"/>
    <w:basedOn w:val="20"/>
    <w:qFormat/>
    <w:uiPriority w:val="0"/>
    <w:pPr>
      <w:numPr>
        <w:ilvl w:val="0"/>
        <w:numId w:val="13"/>
      </w:numPr>
      <w:tabs>
        <w:tab w:val="left" w:pos="1928"/>
      </w:tabs>
      <w:adjustRightInd w:val="0"/>
      <w:spacing w:before="120" w:after="120" w:line="360" w:lineRule="exact"/>
      <w:textAlignment w:val="baseline"/>
    </w:pPr>
    <w:rPr>
      <w:kern w:val="0"/>
      <w:sz w:val="21"/>
      <w:szCs w:val="21"/>
    </w:rPr>
  </w:style>
  <w:style w:type="paragraph" w:customStyle="1" w:styleId="285">
    <w:name w:val="Char1 Char Char Char Char Char Char1"/>
    <w:basedOn w:val="1"/>
    <w:qFormat/>
    <w:uiPriority w:val="0"/>
    <w:rPr>
      <w:rFonts w:ascii="Tahoma" w:hAnsi="Tahoma"/>
      <w:sz w:val="24"/>
    </w:rPr>
  </w:style>
  <w:style w:type="paragraph" w:customStyle="1" w:styleId="286">
    <w:name w:val="样式 (西文) 宋体 小四 首行缩进:  2 字符1"/>
    <w:basedOn w:val="1"/>
    <w:qFormat/>
    <w:uiPriority w:val="0"/>
    <w:pPr>
      <w:ind w:firstLine="480" w:firstLineChars="200"/>
    </w:pPr>
    <w:rPr>
      <w:rFonts w:ascii="宋体" w:hAnsi="宋体" w:cs="宋体"/>
      <w:sz w:val="24"/>
    </w:rPr>
  </w:style>
  <w:style w:type="paragraph" w:customStyle="1" w:styleId="287">
    <w:name w:val="文本框"/>
    <w:basedOn w:val="20"/>
    <w:next w:val="20"/>
    <w:qFormat/>
    <w:uiPriority w:val="0"/>
    <w:pPr>
      <w:adjustRightInd w:val="0"/>
      <w:snapToGrid w:val="0"/>
      <w:spacing w:after="120" w:line="240" w:lineRule="auto"/>
      <w:jc w:val="center"/>
      <w:textAlignment w:val="baseline"/>
    </w:pPr>
    <w:rPr>
      <w:kern w:val="0"/>
      <w:sz w:val="21"/>
      <w:szCs w:val="21"/>
    </w:rPr>
  </w:style>
  <w:style w:type="paragraph" w:customStyle="1" w:styleId="288">
    <w:name w:val="样式 (西文) 宋体 小四 首行缩进:  2 字符1 Char"/>
    <w:basedOn w:val="1"/>
    <w:qFormat/>
    <w:uiPriority w:val="0"/>
    <w:pPr>
      <w:ind w:firstLine="480" w:firstLineChars="200"/>
    </w:pPr>
    <w:rPr>
      <w:rFonts w:ascii="宋体" w:hAnsi="宋体" w:cs="宋体"/>
      <w:sz w:val="24"/>
    </w:rPr>
  </w:style>
  <w:style w:type="paragraph" w:customStyle="1" w:styleId="289">
    <w:name w:val="列出段落1"/>
    <w:basedOn w:val="1"/>
    <w:qFormat/>
    <w:uiPriority w:val="0"/>
    <w:pPr>
      <w:spacing w:after="100" w:afterAutospacing="1" w:line="360" w:lineRule="auto"/>
      <w:ind w:firstLine="420" w:firstLineChars="200"/>
    </w:pPr>
    <w:rPr>
      <w:rFonts w:ascii="Calibri" w:hAnsi="Calibri" w:cs="黑体"/>
      <w:szCs w:val="22"/>
    </w:rPr>
  </w:style>
  <w:style w:type="paragraph" w:customStyle="1" w:styleId="290">
    <w:name w:val="样式 小四 左侧:  2.86 厘米 首行缩进:  2 字符1"/>
    <w:basedOn w:val="1"/>
    <w:qFormat/>
    <w:uiPriority w:val="0"/>
    <w:pPr>
      <w:numPr>
        <w:ilvl w:val="0"/>
        <w:numId w:val="14"/>
      </w:numPr>
      <w:ind w:left="0" w:firstLine="200" w:firstLineChars="200"/>
    </w:pPr>
    <w:rPr>
      <w:rFonts w:cs="宋体"/>
      <w:sz w:val="24"/>
    </w:rPr>
  </w:style>
  <w:style w:type="paragraph" w:customStyle="1" w:styleId="291">
    <w:name w:val="新正文"/>
    <w:basedOn w:val="1"/>
    <w:qFormat/>
    <w:uiPriority w:val="0"/>
    <w:pPr>
      <w:spacing w:after="120" w:line="360" w:lineRule="auto"/>
      <w:ind w:firstLine="200" w:firstLineChars="200"/>
    </w:pPr>
    <w:rPr>
      <w:sz w:val="24"/>
      <w:szCs w:val="24"/>
    </w:rPr>
  </w:style>
  <w:style w:type="paragraph" w:customStyle="1" w:styleId="292">
    <w:name w:val="±íÉí"/>
    <w:basedOn w:val="1"/>
    <w:qFormat/>
    <w:uiPriority w:val="0"/>
    <w:pPr>
      <w:widowControl/>
      <w:overflowPunct w:val="0"/>
      <w:autoSpaceDE w:val="0"/>
      <w:autoSpaceDN w:val="0"/>
      <w:adjustRightInd w:val="0"/>
      <w:spacing w:line="300" w:lineRule="auto"/>
      <w:jc w:val="left"/>
      <w:textAlignment w:val="baseline"/>
    </w:pPr>
    <w:rPr>
      <w:kern w:val="0"/>
      <w:sz w:val="18"/>
    </w:rPr>
  </w:style>
  <w:style w:type="paragraph" w:customStyle="1" w:styleId="293">
    <w:name w:val="Char1 Char Char Char Char Char Char Char Char Char Char Char"/>
    <w:basedOn w:val="1"/>
    <w:qFormat/>
    <w:uiPriority w:val="0"/>
    <w:rPr>
      <w:rFonts w:ascii="Tahoma" w:hAnsi="Tahoma"/>
      <w:sz w:val="24"/>
    </w:rPr>
  </w:style>
  <w:style w:type="paragraph" w:customStyle="1" w:styleId="294">
    <w:name w:val="普通(网站)1"/>
    <w:basedOn w:val="1"/>
    <w:qFormat/>
    <w:uiPriority w:val="0"/>
    <w:pPr>
      <w:widowControl/>
      <w:jc w:val="left"/>
    </w:pPr>
    <w:rPr>
      <w:rFonts w:ascii="宋体" w:hAnsi="宋体" w:cs="宋体"/>
      <w:kern w:val="0"/>
      <w:sz w:val="24"/>
      <w:szCs w:val="24"/>
    </w:rPr>
  </w:style>
  <w:style w:type="paragraph" w:customStyle="1" w:styleId="295">
    <w:name w:val="Char Char1 Char Char Char"/>
    <w:basedOn w:val="17"/>
    <w:qFormat/>
    <w:uiPriority w:val="0"/>
    <w:rPr>
      <w:rFonts w:ascii="Tahoma" w:hAnsi="Tahoma"/>
      <w:sz w:val="24"/>
      <w:szCs w:val="24"/>
    </w:rPr>
  </w:style>
  <w:style w:type="paragraph" w:customStyle="1" w:styleId="296">
    <w:name w:val="Char Char Char1"/>
    <w:basedOn w:val="1"/>
    <w:qFormat/>
    <w:uiPriority w:val="0"/>
    <w:rPr>
      <w:rFonts w:ascii="Tahoma" w:hAnsi="Tahoma"/>
      <w:sz w:val="24"/>
    </w:rPr>
  </w:style>
  <w:style w:type="paragraph" w:customStyle="1" w:styleId="297">
    <w:name w:val="政务正文"/>
    <w:basedOn w:val="1"/>
    <w:qFormat/>
    <w:uiPriority w:val="0"/>
    <w:pPr>
      <w:spacing w:before="93" w:after="93" w:line="440" w:lineRule="atLeast"/>
      <w:ind w:firstLine="480" w:firstLineChars="200"/>
    </w:pPr>
    <w:rPr>
      <w:rFonts w:hint="eastAsia" w:ascii="宋体" w:hAnsi="宋体" w:cs="Arial"/>
      <w:sz w:val="24"/>
      <w:szCs w:val="21"/>
    </w:rPr>
  </w:style>
  <w:style w:type="paragraph" w:customStyle="1" w:styleId="298">
    <w:name w:val="font5"/>
    <w:basedOn w:val="1"/>
    <w:qFormat/>
    <w:uiPriority w:val="0"/>
    <w:pPr>
      <w:adjustRightInd w:val="0"/>
      <w:spacing w:before="100" w:beforeAutospacing="1" w:after="100" w:afterAutospacing="1"/>
      <w:textAlignment w:val="baseline"/>
    </w:pPr>
    <w:rPr>
      <w:rFonts w:hint="eastAsia" w:ascii="宋体" w:hAnsi="宋体"/>
      <w:kern w:val="0"/>
      <w:sz w:val="18"/>
      <w:szCs w:val="18"/>
    </w:rPr>
  </w:style>
  <w:style w:type="paragraph" w:customStyle="1" w:styleId="299">
    <w:name w:val="样式 标题 5 + 小四"/>
    <w:basedOn w:val="6"/>
    <w:qFormat/>
    <w:uiPriority w:val="0"/>
    <w:pPr>
      <w:spacing w:before="0" w:after="0" w:line="360" w:lineRule="auto"/>
      <w:ind w:left="2072" w:hanging="992"/>
    </w:pPr>
    <w:rPr>
      <w:rFonts w:ascii="宋体" w:hAnsi="宋体"/>
      <w:b w:val="0"/>
      <w:szCs w:val="28"/>
    </w:rPr>
  </w:style>
  <w:style w:type="paragraph" w:customStyle="1" w:styleId="300">
    <w:name w:val="标题8"/>
    <w:basedOn w:val="10"/>
    <w:qFormat/>
    <w:uiPriority w:val="0"/>
    <w:pPr>
      <w:spacing w:before="0" w:after="0" w:line="360" w:lineRule="auto"/>
      <w:ind w:hanging="420" w:firstLineChars="200"/>
      <w:outlineLvl w:val="4"/>
    </w:pPr>
    <w:rPr>
      <w:rFonts w:ascii="Times New Roman" w:hAnsi="Times New Roman" w:eastAsia="宋体"/>
      <w:szCs w:val="28"/>
    </w:rPr>
  </w:style>
  <w:style w:type="paragraph" w:customStyle="1" w:styleId="301">
    <w:name w:val="null3"/>
    <w:qFormat/>
    <w:uiPriority w:val="0"/>
    <w:rPr>
      <w:rFonts w:hint="eastAsia" w:ascii="Calibri" w:hAnsi="Calibri" w:eastAsia="宋体" w:cs="Times New Roman"/>
      <w:lang w:val="en-US" w:eastAsia="zh-CN" w:bidi="ar-SA"/>
    </w:rPr>
  </w:style>
  <w:style w:type="paragraph" w:customStyle="1" w:styleId="302">
    <w:name w:val="标题2"/>
    <w:basedOn w:val="3"/>
    <w:qFormat/>
    <w:uiPriority w:val="0"/>
    <w:pPr>
      <w:spacing w:before="120" w:after="120" w:line="240" w:lineRule="auto"/>
      <w:ind w:left="288" w:hanging="288"/>
      <w:jc w:val="both"/>
    </w:pPr>
    <w:rPr>
      <w:rFonts w:ascii="Times New Roman" w:hAnsi="Times New Roman" w:eastAsia="楷体_GB2312"/>
      <w:color w:val="003366"/>
    </w:rPr>
  </w:style>
  <w:style w:type="paragraph" w:customStyle="1" w:styleId="303">
    <w:name w:val="xl28"/>
    <w:basedOn w:val="1"/>
    <w:qFormat/>
    <w:uiPriority w:val="0"/>
    <w:pPr>
      <w:pBdr>
        <w:left w:val="single" w:color="auto" w:sz="4" w:space="0"/>
        <w:bottom w:val="single" w:color="auto" w:sz="4" w:space="0"/>
        <w:right w:val="single" w:color="auto" w:sz="4" w:space="0"/>
      </w:pBdr>
      <w:adjustRightInd w:val="0"/>
      <w:spacing w:before="100" w:beforeAutospacing="1" w:after="100" w:afterAutospacing="1"/>
      <w:textAlignment w:val="baseline"/>
    </w:pPr>
    <w:rPr>
      <w:rFonts w:ascii="宋体" w:hAnsi="宋体"/>
      <w:kern w:val="0"/>
      <w:sz w:val="20"/>
      <w:szCs w:val="21"/>
    </w:rPr>
  </w:style>
  <w:style w:type="paragraph" w:customStyle="1" w:styleId="304">
    <w:name w:val="样式 段前: 7.8 磅 段后: 7.8 磅"/>
    <w:basedOn w:val="1"/>
    <w:qFormat/>
    <w:uiPriority w:val="0"/>
    <w:pPr>
      <w:adjustRightInd w:val="0"/>
      <w:spacing w:before="156" w:after="156" w:line="360" w:lineRule="auto"/>
      <w:ind w:firstLine="480" w:firstLineChars="200"/>
      <w:textAlignment w:val="baseline"/>
    </w:pPr>
    <w:rPr>
      <w:rFonts w:cs="宋体"/>
      <w:sz w:val="24"/>
    </w:rPr>
  </w:style>
  <w:style w:type="paragraph" w:customStyle="1" w:styleId="305">
    <w:name w:val="Char2 Char Char Char Char Char Char Char Char Char Char Char Char"/>
    <w:basedOn w:val="1"/>
    <w:qFormat/>
    <w:uiPriority w:val="0"/>
    <w:pPr>
      <w:spacing w:line="360" w:lineRule="auto"/>
      <w:ind w:firstLine="200" w:firstLineChars="200"/>
    </w:pPr>
    <w:rPr>
      <w:rFonts w:ascii="Tahoma" w:hAnsi="Tahoma"/>
      <w:sz w:val="24"/>
      <w:szCs w:val="24"/>
    </w:rPr>
  </w:style>
  <w:style w:type="paragraph" w:customStyle="1" w:styleId="306">
    <w:name w:val="Char Char2 Char Char Char Char Char Char Char"/>
    <w:basedOn w:val="1"/>
    <w:qFormat/>
    <w:uiPriority w:val="0"/>
    <w:rPr>
      <w:rFonts w:ascii="Tahoma" w:hAnsi="Tahoma"/>
      <w:sz w:val="24"/>
    </w:rPr>
  </w:style>
  <w:style w:type="paragraph" w:customStyle="1" w:styleId="307">
    <w:name w:val="沈阳设备功能编号"/>
    <w:basedOn w:val="47"/>
    <w:qFormat/>
    <w:uiPriority w:val="0"/>
    <w:pPr>
      <w:numPr>
        <w:ilvl w:val="0"/>
        <w:numId w:val="15"/>
      </w:numPr>
      <w:tabs>
        <w:tab w:val="left" w:pos="0"/>
        <w:tab w:val="left" w:pos="360"/>
        <w:tab w:val="left" w:pos="1387"/>
      </w:tabs>
      <w:adjustRightInd w:val="0"/>
      <w:spacing w:after="0" w:line="300" w:lineRule="auto"/>
      <w:ind w:left="0" w:firstLine="420" w:firstLineChars="0"/>
      <w:textAlignment w:val="baseline"/>
    </w:pPr>
    <w:rPr>
      <w:kern w:val="0"/>
      <w:szCs w:val="21"/>
    </w:rPr>
  </w:style>
  <w:style w:type="paragraph" w:customStyle="1" w:styleId="308">
    <w:name w:val="标准正文"/>
    <w:basedOn w:val="21"/>
    <w:qFormat/>
    <w:uiPriority w:val="0"/>
    <w:pPr>
      <w:spacing w:before="60" w:after="60" w:line="360" w:lineRule="auto"/>
      <w:ind w:left="0" w:leftChars="0" w:firstLine="482"/>
    </w:pPr>
    <w:rPr>
      <w:sz w:val="24"/>
    </w:rPr>
  </w:style>
  <w:style w:type="paragraph" w:customStyle="1" w:styleId="309">
    <w:name w:val="图标号"/>
    <w:basedOn w:val="1"/>
    <w:next w:val="1"/>
    <w:qFormat/>
    <w:uiPriority w:val="0"/>
    <w:pPr>
      <w:adjustRightInd w:val="0"/>
      <w:snapToGrid w:val="0"/>
      <w:jc w:val="center"/>
      <w:textAlignment w:val="baseline"/>
    </w:pPr>
    <w:rPr>
      <w:b/>
      <w:szCs w:val="21"/>
    </w:rPr>
  </w:style>
  <w:style w:type="paragraph" w:customStyle="1" w:styleId="310">
    <w:name w:val="表内正文"/>
    <w:basedOn w:val="1"/>
    <w:qFormat/>
    <w:uiPriority w:val="0"/>
    <w:pPr>
      <w:keepNext/>
      <w:widowControl/>
      <w:adjustRightInd w:val="0"/>
      <w:spacing w:beforeLines="50"/>
      <w:jc w:val="left"/>
      <w:textAlignment w:val="baseline"/>
    </w:pPr>
    <w:rPr>
      <w:rFonts w:ascii="宋体" w:hAnsi="宋体"/>
      <w:kern w:val="0"/>
      <w:szCs w:val="21"/>
    </w:rPr>
  </w:style>
  <w:style w:type="paragraph" w:customStyle="1" w:styleId="311">
    <w:name w:val="font8"/>
    <w:basedOn w:val="1"/>
    <w:qFormat/>
    <w:uiPriority w:val="0"/>
    <w:pPr>
      <w:adjustRightInd w:val="0"/>
      <w:spacing w:before="100" w:beforeAutospacing="1" w:after="100" w:afterAutospacing="1"/>
      <w:textAlignment w:val="baseline"/>
    </w:pPr>
    <w:rPr>
      <w:color w:val="FF0000"/>
      <w:kern w:val="0"/>
      <w:sz w:val="20"/>
      <w:szCs w:val="21"/>
    </w:rPr>
  </w:style>
  <w:style w:type="paragraph" w:customStyle="1" w:styleId="312">
    <w:name w:val="表格正文"/>
    <w:basedOn w:val="1"/>
    <w:qFormat/>
    <w:uiPriority w:val="0"/>
    <w:pPr>
      <w:spacing w:beforeLines="50"/>
    </w:pPr>
    <w:rPr>
      <w:rFonts w:ascii="Arial" w:hAnsi="Arial"/>
    </w:rPr>
  </w:style>
  <w:style w:type="paragraph" w:customStyle="1" w:styleId="313">
    <w:name w:val="font6"/>
    <w:basedOn w:val="1"/>
    <w:qFormat/>
    <w:uiPriority w:val="0"/>
    <w:pPr>
      <w:adjustRightInd w:val="0"/>
      <w:spacing w:before="100" w:beforeAutospacing="1" w:after="100" w:afterAutospacing="1"/>
      <w:textAlignment w:val="baseline"/>
    </w:pPr>
    <w:rPr>
      <w:rFonts w:hint="eastAsia" w:ascii="宋体" w:hAnsi="宋体"/>
      <w:kern w:val="0"/>
      <w:sz w:val="20"/>
      <w:szCs w:val="21"/>
    </w:rPr>
  </w:style>
  <w:style w:type="paragraph" w:customStyle="1" w:styleId="314">
    <w:name w:val="Char Char Char Char1"/>
    <w:basedOn w:val="1"/>
    <w:qFormat/>
    <w:uiPriority w:val="0"/>
    <w:rPr>
      <w:rFonts w:ascii="Tahoma" w:hAnsi="Tahoma"/>
      <w:sz w:val="24"/>
    </w:rPr>
  </w:style>
  <w:style w:type="paragraph" w:customStyle="1" w:styleId="315">
    <w:name w:val="Table Heading"/>
    <w:qFormat/>
    <w:uiPriority w:val="0"/>
    <w:pPr>
      <w:keepNext/>
      <w:snapToGrid w:val="0"/>
      <w:spacing w:before="80" w:after="80"/>
      <w:jc w:val="center"/>
    </w:pPr>
    <w:rPr>
      <w:rFonts w:ascii="Arial" w:hAnsi="Arial" w:eastAsia="黑体" w:cs="Arial"/>
      <w:sz w:val="18"/>
      <w:szCs w:val="18"/>
      <w:lang w:val="en-US" w:eastAsia="zh-CN" w:bidi="ar-SA"/>
    </w:rPr>
  </w:style>
  <w:style w:type="paragraph" w:customStyle="1" w:styleId="316">
    <w:name w:val="默认段落字体 Para Char Char Char Char Char Char Char"/>
    <w:basedOn w:val="17"/>
    <w:qFormat/>
    <w:uiPriority w:val="0"/>
    <w:pPr>
      <w:adjustRightInd w:val="0"/>
      <w:spacing w:line="436" w:lineRule="exact"/>
      <w:ind w:left="357"/>
      <w:jc w:val="left"/>
      <w:textAlignment w:val="baseline"/>
      <w:outlineLvl w:val="3"/>
    </w:pPr>
    <w:rPr>
      <w:rFonts w:eastAsia="Times New Roman"/>
      <w:kern w:val="0"/>
      <w:sz w:val="20"/>
    </w:rPr>
  </w:style>
  <w:style w:type="paragraph" w:customStyle="1" w:styleId="317">
    <w:name w:val="È±Ê¡ÎÄ±¾"/>
    <w:basedOn w:val="1"/>
    <w:qFormat/>
    <w:uiPriority w:val="0"/>
    <w:pPr>
      <w:widowControl/>
      <w:overflowPunct w:val="0"/>
      <w:autoSpaceDE w:val="0"/>
      <w:autoSpaceDN w:val="0"/>
      <w:adjustRightInd w:val="0"/>
      <w:spacing w:line="360" w:lineRule="auto"/>
      <w:textAlignment w:val="baseline"/>
    </w:pPr>
    <w:rPr>
      <w:kern w:val="0"/>
    </w:rPr>
  </w:style>
  <w:style w:type="paragraph" w:customStyle="1" w:styleId="318">
    <w:name w:val="默认段落字体 Para Char Char Char Char Char Char Char Char Char1 Char Char Char Char Char Char Char"/>
    <w:basedOn w:val="17"/>
    <w:qFormat/>
    <w:uiPriority w:val="0"/>
    <w:rPr>
      <w:rFonts w:ascii="Tahoma" w:hAnsi="Tahoma"/>
      <w:sz w:val="24"/>
      <w:szCs w:val="24"/>
    </w:rPr>
  </w:style>
  <w:style w:type="paragraph" w:customStyle="1" w:styleId="319">
    <w:name w:val="样式4"/>
    <w:basedOn w:val="6"/>
    <w:qFormat/>
    <w:uiPriority w:val="0"/>
    <w:pPr>
      <w:numPr>
        <w:ilvl w:val="0"/>
        <w:numId w:val="16"/>
      </w:numPr>
      <w:tabs>
        <w:tab w:val="left" w:pos="1130"/>
      </w:tabs>
      <w:spacing w:before="0" w:after="0" w:line="360" w:lineRule="auto"/>
      <w:ind w:firstLine="200" w:firstLineChars="200"/>
    </w:pPr>
    <w:rPr>
      <w:rFonts w:ascii="宋体" w:hAnsi="宋体"/>
      <w:b w:val="0"/>
      <w:sz w:val="24"/>
      <w:szCs w:val="24"/>
    </w:rPr>
  </w:style>
  <w:style w:type="paragraph" w:customStyle="1" w:styleId="320">
    <w:name w:val="样式 正文首行缩进 + 首行缩进:  1 字符"/>
    <w:basedOn w:val="47"/>
    <w:qFormat/>
    <w:uiPriority w:val="0"/>
    <w:pPr>
      <w:adjustRightInd w:val="0"/>
      <w:spacing w:after="0" w:line="300" w:lineRule="auto"/>
      <w:ind w:firstLine="200" w:firstLineChars="200"/>
      <w:textAlignment w:val="baseline"/>
    </w:pPr>
    <w:rPr>
      <w:rFonts w:cs="宋体"/>
      <w:kern w:val="0"/>
      <w:szCs w:val="21"/>
    </w:rPr>
  </w:style>
  <w:style w:type="paragraph" w:customStyle="1" w:styleId="321">
    <w:name w:val="正文首行缩进4"/>
    <w:basedOn w:val="1"/>
    <w:qFormat/>
    <w:uiPriority w:val="0"/>
    <w:pPr>
      <w:adjustRightInd w:val="0"/>
      <w:spacing w:line="300" w:lineRule="auto"/>
      <w:ind w:firstLine="200" w:firstLineChars="200"/>
      <w:textAlignment w:val="baseline"/>
    </w:pPr>
    <w:rPr>
      <w:kern w:val="0"/>
      <w:szCs w:val="21"/>
    </w:rPr>
  </w:style>
  <w:style w:type="paragraph" w:customStyle="1" w:styleId="322">
    <w:name w:val="Char Char1 Char Char Char Char Char Char Char Char Char Char Char Char Char Char1"/>
    <w:basedOn w:val="1"/>
    <w:qFormat/>
    <w:uiPriority w:val="0"/>
    <w:pPr>
      <w:widowControl/>
      <w:spacing w:after="160" w:line="240" w:lineRule="exact"/>
      <w:jc w:val="left"/>
    </w:pPr>
    <w:rPr>
      <w:rFonts w:ascii="Verdana" w:hAnsi="Verdana"/>
      <w:kern w:val="0"/>
      <w:sz w:val="20"/>
      <w:lang w:eastAsia="en-US"/>
    </w:rPr>
  </w:style>
  <w:style w:type="paragraph" w:customStyle="1" w:styleId="323">
    <w:name w:val="font9"/>
    <w:basedOn w:val="1"/>
    <w:qFormat/>
    <w:uiPriority w:val="0"/>
    <w:pPr>
      <w:adjustRightInd w:val="0"/>
      <w:spacing w:before="100" w:beforeAutospacing="1" w:after="100" w:afterAutospacing="1"/>
      <w:textAlignment w:val="baseline"/>
    </w:pPr>
    <w:rPr>
      <w:kern w:val="0"/>
      <w:sz w:val="20"/>
      <w:szCs w:val="21"/>
    </w:rPr>
  </w:style>
  <w:style w:type="paragraph" w:customStyle="1" w:styleId="324">
    <w:name w:val="xl35"/>
    <w:basedOn w:val="1"/>
    <w:qFormat/>
    <w:uiPriority w:val="0"/>
    <w:pPr>
      <w:pBdr>
        <w:top w:val="single" w:color="auto" w:sz="4" w:space="0"/>
        <w:left w:val="single" w:color="auto" w:sz="4" w:space="0"/>
        <w:bottom w:val="single" w:color="auto" w:sz="4" w:space="0"/>
        <w:right w:val="single" w:color="auto" w:sz="4" w:space="0"/>
      </w:pBdr>
      <w:adjustRightInd w:val="0"/>
      <w:spacing w:before="100" w:beforeAutospacing="1" w:after="100" w:afterAutospacing="1"/>
      <w:textAlignment w:val="baseline"/>
    </w:pPr>
    <w:rPr>
      <w:rFonts w:ascii="宋体" w:hAnsi="宋体"/>
      <w:color w:val="0000FF"/>
      <w:kern w:val="0"/>
      <w:sz w:val="20"/>
      <w:szCs w:val="21"/>
    </w:rPr>
  </w:style>
  <w:style w:type="paragraph" w:customStyle="1" w:styleId="325">
    <w:name w:val="Char Char1 Char Char2 Char Char"/>
    <w:basedOn w:val="1"/>
    <w:qFormat/>
    <w:uiPriority w:val="0"/>
    <w:pPr>
      <w:widowControl/>
      <w:spacing w:after="160" w:line="240" w:lineRule="exact"/>
      <w:jc w:val="left"/>
    </w:pPr>
    <w:rPr>
      <w:rFonts w:ascii="Verdana" w:hAnsi="Verdana" w:eastAsia="方正仿宋简体"/>
      <w:kern w:val="0"/>
      <w:sz w:val="20"/>
      <w:lang w:eastAsia="en-US"/>
    </w:rPr>
  </w:style>
  <w:style w:type="paragraph" w:customStyle="1" w:styleId="326">
    <w:name w:val="Table Text Char Char Char Char Char Char1"/>
    <w:qFormat/>
    <w:uiPriority w:val="0"/>
    <w:pPr>
      <w:snapToGrid w:val="0"/>
      <w:spacing w:before="80" w:after="80"/>
    </w:pPr>
    <w:rPr>
      <w:rFonts w:ascii="Arial" w:hAnsi="Arial" w:eastAsia="宋体" w:cs="Arial"/>
      <w:sz w:val="18"/>
      <w:szCs w:val="21"/>
      <w:lang w:val="en-US" w:eastAsia="zh-CN" w:bidi="ar-SA"/>
    </w:rPr>
  </w:style>
  <w:style w:type="paragraph" w:customStyle="1" w:styleId="327">
    <w:name w:val="xl33"/>
    <w:basedOn w:val="1"/>
    <w:qFormat/>
    <w:uiPriority w:val="0"/>
    <w:pPr>
      <w:pBdr>
        <w:top w:val="single" w:color="auto" w:sz="4" w:space="0"/>
        <w:left w:val="single" w:color="auto" w:sz="4" w:space="0"/>
        <w:bottom w:val="single" w:color="auto" w:sz="4" w:space="0"/>
        <w:right w:val="double" w:color="auto" w:sz="6" w:space="0"/>
      </w:pBdr>
      <w:adjustRightInd w:val="0"/>
      <w:spacing w:before="100" w:beforeAutospacing="1" w:after="100" w:afterAutospacing="1"/>
      <w:textAlignment w:val="baseline"/>
    </w:pPr>
    <w:rPr>
      <w:rFonts w:ascii="宋体" w:hAnsi="宋体"/>
      <w:kern w:val="0"/>
      <w:sz w:val="20"/>
      <w:szCs w:val="21"/>
    </w:rPr>
  </w:style>
  <w:style w:type="paragraph" w:customStyle="1" w:styleId="328">
    <w:name w:val="WPSOffice手动目录 1"/>
    <w:qFormat/>
    <w:uiPriority w:val="0"/>
    <w:rPr>
      <w:rFonts w:ascii="Times New Roman" w:hAnsi="Times New Roman" w:eastAsia="宋体" w:cs="Times New Roman"/>
      <w:lang w:val="en-US" w:eastAsia="zh-CN" w:bidi="ar-SA"/>
    </w:rPr>
  </w:style>
  <w:style w:type="paragraph" w:customStyle="1" w:styleId="329">
    <w:name w:val="Paragraph1"/>
    <w:basedOn w:val="1"/>
    <w:qFormat/>
    <w:uiPriority w:val="0"/>
    <w:pPr>
      <w:adjustRightInd w:val="0"/>
      <w:spacing w:before="80"/>
      <w:textAlignment w:val="baseline"/>
    </w:pPr>
    <w:rPr>
      <w:rFonts w:ascii="宋体"/>
      <w:snapToGrid w:val="0"/>
      <w:kern w:val="0"/>
      <w:sz w:val="20"/>
      <w:szCs w:val="24"/>
    </w:rPr>
  </w:style>
  <w:style w:type="paragraph" w:customStyle="1" w:styleId="330">
    <w:name w:val="样式 标题 3level_3PIM 3H3Level 3 Head + 行距: 多倍行距 1.73 字行"/>
    <w:basedOn w:val="4"/>
    <w:qFormat/>
    <w:uiPriority w:val="0"/>
    <w:pPr>
      <w:tabs>
        <w:tab w:val="clear" w:pos="5852"/>
      </w:tabs>
      <w:adjustRightInd w:val="0"/>
      <w:snapToGrid/>
      <w:spacing w:before="260" w:after="260" w:line="415" w:lineRule="auto"/>
      <w:ind w:left="851" w:hanging="851"/>
      <w:textAlignment w:val="baseline"/>
    </w:pPr>
    <w:rPr>
      <w:rFonts w:eastAsia="黑体"/>
      <w:sz w:val="30"/>
      <w:szCs w:val="24"/>
    </w:rPr>
  </w:style>
  <w:style w:type="paragraph" w:customStyle="1" w:styleId="331">
    <w:name w:val="Char Char Char Char Char Char Char Char Char Char1"/>
    <w:basedOn w:val="1"/>
    <w:qFormat/>
    <w:uiPriority w:val="0"/>
    <w:rPr>
      <w:rFonts w:ascii="Tahoma" w:hAnsi="Tahoma"/>
      <w:sz w:val="24"/>
    </w:rPr>
  </w:style>
  <w:style w:type="paragraph" w:customStyle="1" w:styleId="332">
    <w:name w:val="正文要求，小四"/>
    <w:basedOn w:val="1"/>
    <w:qFormat/>
    <w:uiPriority w:val="0"/>
    <w:pPr>
      <w:numPr>
        <w:ilvl w:val="0"/>
        <w:numId w:val="17"/>
      </w:numPr>
      <w:spacing w:line="360" w:lineRule="auto"/>
    </w:pPr>
    <w:rPr>
      <w:rFonts w:ascii="宋体" w:hAnsi="宋体"/>
      <w:sz w:val="24"/>
      <w:szCs w:val="24"/>
    </w:rPr>
  </w:style>
  <w:style w:type="paragraph" w:customStyle="1" w:styleId="333">
    <w:name w:val="Char3 Char Char Char"/>
    <w:basedOn w:val="1"/>
    <w:qFormat/>
    <w:uiPriority w:val="0"/>
    <w:rPr>
      <w:rFonts w:ascii="Tahoma" w:hAnsi="Tahoma"/>
      <w:sz w:val="24"/>
    </w:rPr>
  </w:style>
  <w:style w:type="paragraph" w:customStyle="1" w:styleId="334">
    <w:name w:val="正文1级编号"/>
    <w:basedOn w:val="20"/>
    <w:qFormat/>
    <w:uiPriority w:val="0"/>
    <w:pPr>
      <w:numPr>
        <w:ilvl w:val="0"/>
        <w:numId w:val="18"/>
      </w:numPr>
      <w:tabs>
        <w:tab w:val="left" w:pos="1474"/>
      </w:tabs>
      <w:adjustRightInd w:val="0"/>
      <w:snapToGrid w:val="0"/>
      <w:spacing w:before="120" w:after="120" w:line="360" w:lineRule="exact"/>
      <w:textAlignment w:val="baseline"/>
    </w:pPr>
    <w:rPr>
      <w:kern w:val="0"/>
      <w:sz w:val="21"/>
      <w:szCs w:val="21"/>
    </w:rPr>
  </w:style>
  <w:style w:type="paragraph" w:customStyle="1" w:styleId="335">
    <w:name w:val="infoblue"/>
    <w:basedOn w:val="1"/>
    <w:qFormat/>
    <w:uiPriority w:val="0"/>
    <w:pPr>
      <w:adjustRightInd w:val="0"/>
      <w:spacing w:after="120" w:line="240" w:lineRule="atLeast"/>
      <w:ind w:left="450"/>
      <w:textAlignment w:val="baseline"/>
    </w:pPr>
    <w:rPr>
      <w:rFonts w:eastAsia="楷体_GB2312"/>
      <w:i/>
      <w:color w:val="0000FF"/>
      <w:kern w:val="0"/>
      <w:szCs w:val="21"/>
    </w:rPr>
  </w:style>
  <w:style w:type="paragraph" w:customStyle="1" w:styleId="336">
    <w:name w:val="Char4"/>
    <w:basedOn w:val="1"/>
    <w:qFormat/>
    <w:uiPriority w:val="0"/>
    <w:rPr>
      <w:rFonts w:ascii="Tahoma" w:hAnsi="Tahoma"/>
      <w:sz w:val="24"/>
    </w:rPr>
  </w:style>
  <w:style w:type="paragraph" w:customStyle="1" w:styleId="337">
    <w:name w:val="style20"/>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338">
    <w:name w:val="_Style 331"/>
    <w:semiHidden/>
    <w:qFormat/>
    <w:uiPriority w:val="99"/>
    <w:rPr>
      <w:rFonts w:ascii="Times New Roman" w:hAnsi="Times New Roman" w:eastAsia="宋体" w:cs="Times New Roman"/>
      <w:kern w:val="2"/>
      <w:sz w:val="21"/>
      <w:lang w:val="en-US" w:eastAsia="zh-CN" w:bidi="ar-SA"/>
    </w:rPr>
  </w:style>
  <w:style w:type="paragraph" w:customStyle="1" w:styleId="339">
    <w:name w:val="正文3级项目符号"/>
    <w:basedOn w:val="20"/>
    <w:qFormat/>
    <w:uiPriority w:val="0"/>
    <w:pPr>
      <w:adjustRightInd w:val="0"/>
      <w:spacing w:before="120" w:after="120" w:line="360" w:lineRule="exact"/>
      <w:textAlignment w:val="baseline"/>
    </w:pPr>
    <w:rPr>
      <w:kern w:val="0"/>
      <w:sz w:val="21"/>
      <w:szCs w:val="21"/>
    </w:rPr>
  </w:style>
  <w:style w:type="paragraph" w:customStyle="1" w:styleId="340">
    <w:name w:val="标题 4 + 小三"/>
    <w:basedOn w:val="4"/>
    <w:qFormat/>
    <w:uiPriority w:val="0"/>
    <w:pPr>
      <w:tabs>
        <w:tab w:val="clear" w:pos="5852"/>
      </w:tabs>
      <w:snapToGrid/>
      <w:spacing w:before="0" w:line="400" w:lineRule="exact"/>
      <w:ind w:left="1260" w:hanging="420"/>
      <w:outlineLvl w:val="3"/>
    </w:pPr>
    <w:rPr>
      <w:bCs/>
      <w:szCs w:val="28"/>
    </w:rPr>
  </w:style>
  <w:style w:type="paragraph" w:customStyle="1" w:styleId="341">
    <w:name w:val="Char21"/>
    <w:basedOn w:val="1"/>
    <w:qFormat/>
    <w:uiPriority w:val="0"/>
    <w:rPr>
      <w:rFonts w:ascii="Tahoma" w:hAnsi="Tahoma"/>
      <w:sz w:val="24"/>
    </w:rPr>
  </w:style>
  <w:style w:type="paragraph" w:customStyle="1" w:styleId="342">
    <w:name w:val="正文_0_0_0_0"/>
    <w:basedOn w:val="343"/>
    <w:qFormat/>
    <w:uiPriority w:val="0"/>
    <w:rPr>
      <w:rFonts w:ascii="Calibri" w:hAnsi="Calibri" w:cs="Calibri"/>
    </w:rPr>
  </w:style>
  <w:style w:type="paragraph" w:customStyle="1" w:styleId="343">
    <w:name w:val="正文_0_0_1"/>
    <w:basedOn w:val="344"/>
    <w:qFormat/>
    <w:uiPriority w:val="0"/>
  </w:style>
  <w:style w:type="paragraph" w:customStyle="1" w:styleId="344">
    <w:name w:val="正文_0_0_2"/>
    <w:basedOn w:val="345"/>
    <w:qFormat/>
    <w:uiPriority w:val="0"/>
    <w:rPr>
      <w:szCs w:val="21"/>
    </w:rPr>
  </w:style>
  <w:style w:type="paragraph" w:customStyle="1" w:styleId="345">
    <w:name w:val="正文_1"/>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46">
    <w:name w:val="font21"/>
    <w:basedOn w:val="51"/>
    <w:qFormat/>
    <w:uiPriority w:val="0"/>
    <w:rPr>
      <w:rFonts w:hint="eastAsia" w:ascii="宋体" w:hAnsi="宋体" w:eastAsia="宋体" w:cs="宋体"/>
      <w:b/>
      <w:color w:val="000000"/>
      <w:sz w:val="22"/>
      <w:szCs w:val="22"/>
      <w:u w:val="none"/>
    </w:rPr>
  </w:style>
  <w:style w:type="character" w:customStyle="1" w:styleId="347">
    <w:name w:val="font61"/>
    <w:basedOn w:val="51"/>
    <w:qFormat/>
    <w:uiPriority w:val="0"/>
    <w:rPr>
      <w:rFonts w:hint="eastAsia" w:ascii="宋体" w:hAnsi="宋体" w:eastAsia="宋体" w:cs="宋体"/>
      <w:color w:val="000000"/>
      <w:sz w:val="20"/>
      <w:szCs w:val="20"/>
      <w:u w:val="none"/>
    </w:rPr>
  </w:style>
  <w:style w:type="character" w:customStyle="1" w:styleId="348">
    <w:name w:val="font41"/>
    <w:basedOn w:val="51"/>
    <w:qFormat/>
    <w:uiPriority w:val="0"/>
    <w:rPr>
      <w:rFonts w:hint="eastAsia" w:ascii="宋体" w:hAnsi="宋体" w:eastAsia="宋体" w:cs="宋体"/>
      <w:color w:val="000000"/>
      <w:sz w:val="22"/>
      <w:szCs w:val="22"/>
      <w:u w:val="none"/>
    </w:rPr>
  </w:style>
  <w:style w:type="character" w:customStyle="1" w:styleId="349">
    <w:name w:val="font31"/>
    <w:basedOn w:val="51"/>
    <w:qFormat/>
    <w:uiPriority w:val="0"/>
    <w:rPr>
      <w:rFonts w:hint="eastAsia" w:ascii="宋体" w:hAnsi="宋体" w:eastAsia="宋体" w:cs="宋体"/>
      <w:b/>
      <w:color w:val="000000"/>
      <w:sz w:val="22"/>
      <w:szCs w:val="22"/>
      <w:u w:val="none"/>
    </w:rPr>
  </w:style>
  <w:style w:type="character" w:customStyle="1" w:styleId="350">
    <w:name w:val="font11"/>
    <w:basedOn w:val="51"/>
    <w:qFormat/>
    <w:uiPriority w:val="0"/>
    <w:rPr>
      <w:rFonts w:hint="eastAsia" w:ascii="宋体" w:hAnsi="宋体" w:eastAsia="宋体" w:cs="宋体"/>
      <w:color w:val="000000"/>
      <w:sz w:val="20"/>
      <w:szCs w:val="20"/>
      <w:u w:val="none"/>
    </w:rPr>
  </w:style>
  <w:style w:type="character" w:customStyle="1" w:styleId="351">
    <w:name w:val="15"/>
    <w:basedOn w:val="51"/>
    <w:qFormat/>
    <w:uiPriority w:val="0"/>
    <w:rPr>
      <w:rFonts w:hint="eastAsia" w:ascii="宋体" w:hAnsi="宋体" w:eastAsia="宋体" w:cs="宋体"/>
      <w:color w:val="000000"/>
      <w:sz w:val="20"/>
      <w:szCs w:val="20"/>
    </w:rPr>
  </w:style>
  <w:style w:type="paragraph" w:customStyle="1" w:styleId="352">
    <w:name w:val="列出段落3"/>
    <w:basedOn w:val="1"/>
    <w:qFormat/>
    <w:uiPriority w:val="34"/>
    <w:pPr>
      <w:ind w:firstLine="420" w:firstLineChars="200"/>
    </w:pPr>
  </w:style>
  <w:style w:type="paragraph" w:customStyle="1" w:styleId="353">
    <w:name w:val="修订1"/>
    <w:hidden/>
    <w:unhideWhenUsed/>
    <w:qFormat/>
    <w:uiPriority w:val="99"/>
    <w:rPr>
      <w:rFonts w:ascii="Times New Roman" w:hAnsi="Times New Roman" w:eastAsia="宋体" w:cs="Times New Roman"/>
      <w:kern w:val="2"/>
      <w:sz w:val="21"/>
      <w:lang w:val="en-US" w:eastAsia="zh-CN" w:bidi="ar-SA"/>
    </w:rPr>
  </w:style>
  <w:style w:type="character" w:customStyle="1" w:styleId="354">
    <w:name w:val="批注文字 Char"/>
    <w:basedOn w:val="51"/>
    <w:link w:val="18"/>
    <w:qFormat/>
    <w:uiPriority w:val="0"/>
    <w:rPr>
      <w:kern w:val="2"/>
      <w:sz w:val="21"/>
    </w:rPr>
  </w:style>
  <w:style w:type="character" w:customStyle="1" w:styleId="355">
    <w:name w:val="未处理的提及1"/>
    <w:basedOn w:val="51"/>
    <w:semiHidden/>
    <w:unhideWhenUsed/>
    <w:qFormat/>
    <w:uiPriority w:val="99"/>
    <w:rPr>
      <w:color w:val="605E5C"/>
      <w:shd w:val="clear" w:color="auto" w:fill="E1DFDD"/>
    </w:rPr>
  </w:style>
  <w:style w:type="paragraph" w:customStyle="1" w:styleId="356">
    <w:name w:val="修订2"/>
    <w:hidden/>
    <w:unhideWhenUsed/>
    <w:qFormat/>
    <w:uiPriority w:val="99"/>
    <w:rPr>
      <w:rFonts w:ascii="Times New Roman" w:hAnsi="Times New Roman" w:eastAsia="宋体" w:cs="Times New Roman"/>
      <w:kern w:val="2"/>
      <w:sz w:val="21"/>
      <w:lang w:val="en-US" w:eastAsia="zh-CN" w:bidi="ar-SA"/>
    </w:rPr>
  </w:style>
  <w:style w:type="paragraph" w:customStyle="1" w:styleId="357">
    <w:name w:val="修订3"/>
    <w:hidden/>
    <w:unhideWhenUsed/>
    <w:qFormat/>
    <w:uiPriority w:val="99"/>
    <w:rPr>
      <w:rFonts w:ascii="Times New Roman" w:hAnsi="Times New Roman" w:eastAsia="宋体" w:cs="Times New Roman"/>
      <w:kern w:val="2"/>
      <w:sz w:val="21"/>
      <w:lang w:val="en-US" w:eastAsia="zh-CN" w:bidi="ar-SA"/>
    </w:rPr>
  </w:style>
  <w:style w:type="paragraph" w:customStyle="1" w:styleId="358">
    <w:name w:val="修订4"/>
    <w:hidden/>
    <w:unhideWhenUsed/>
    <w:qFormat/>
    <w:uiPriority w:val="99"/>
    <w:rPr>
      <w:rFonts w:ascii="Times New Roman" w:hAnsi="Times New Roman" w:eastAsia="宋体" w:cs="Times New Roman"/>
      <w:kern w:val="2"/>
      <w:sz w:val="21"/>
      <w:lang w:val="en-US" w:eastAsia="zh-CN" w:bidi="ar-SA"/>
    </w:rPr>
  </w:style>
  <w:style w:type="paragraph" w:customStyle="1" w:styleId="359">
    <w:name w:val="修订5"/>
    <w:hidden/>
    <w:unhideWhenUsed/>
    <w:qFormat/>
    <w:uiPriority w:val="99"/>
    <w:rPr>
      <w:rFonts w:ascii="Times New Roman" w:hAnsi="Times New Roman" w:eastAsia="宋体" w:cs="Times New Roman"/>
      <w:kern w:val="2"/>
      <w:sz w:val="21"/>
      <w:lang w:val="en-US" w:eastAsia="zh-CN" w:bidi="ar-SA"/>
    </w:rPr>
  </w:style>
  <w:style w:type="paragraph" w:customStyle="1" w:styleId="360">
    <w:name w:val="修订6"/>
    <w:hidden/>
    <w:unhideWhenUsed/>
    <w:qFormat/>
    <w:uiPriority w:val="99"/>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4097"/>
    <customShpInfo spid="_x0000_s4098"/>
    <customShpInfo spid="_x0000_s4099"/>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535F753-4A9A-4C7C-B990-81BCD030B492}">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63</Pages>
  <Words>1740</Words>
  <Characters>2013</Characters>
  <Lines>290</Lines>
  <Paragraphs>81</Paragraphs>
  <TotalTime>13</TotalTime>
  <ScaleCrop>false</ScaleCrop>
  <LinksUpToDate>false</LinksUpToDate>
  <CharactersWithSpaces>2119</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2026-01-16T02:52:00Z</dcterms:created>
  <dc:creator>yanjun</dc:creator>
  <cp:lastModifiedBy> </cp:lastModifiedBy>
  <cp:lastPrinted>2024-04-16T02:19:00Z</cp:lastPrinted>
  <dcterms:modified xsi:type="dcterms:W3CDTF">2026-01-21T05:37:13Z</dcterms:modified>
  <dc:title>政府采购招标文件 (2006版) （修改1稿）</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38AFF36FA4DD48C9AE460D5DECC55996_13</vt:lpwstr>
  </property>
  <property fmtid="{D5CDD505-2E9C-101B-9397-08002B2CF9AE}" pid="4" name="KSOTemplateDocerSaveRecord">
    <vt:lpwstr>eyJoZGlkIjoiYzUwMzliZDJmZWRlOGY2ZWFkMGU3YjcxZTBmNzA1YjQiLCJ1c2VySWQiOiI3NDQwMjUzNjUifQ==</vt:lpwstr>
  </property>
</Properties>
</file>