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6232FE">
      <w:pPr>
        <w:pStyle w:val="27"/>
        <w:rPr>
          <w:rFonts w:hint="eastAsia" w:hAnsi="宋体" w:cs="宋体"/>
          <w:b/>
          <w:color w:val="auto"/>
          <w:sz w:val="44"/>
          <w:szCs w:val="44"/>
        </w:rPr>
      </w:pPr>
    </w:p>
    <w:p w14:paraId="6C0EEFA8">
      <w:pPr>
        <w:pStyle w:val="27"/>
        <w:jc w:val="center"/>
        <w:rPr>
          <w:rFonts w:hint="eastAsia" w:hAnsi="宋体" w:cs="宋体"/>
          <w:b/>
          <w:color w:val="auto"/>
          <w:sz w:val="72"/>
          <w:szCs w:val="72"/>
        </w:rPr>
      </w:pPr>
    </w:p>
    <w:p w14:paraId="374748C5">
      <w:pPr>
        <w:pStyle w:val="27"/>
        <w:spacing w:line="360" w:lineRule="auto"/>
        <w:jc w:val="center"/>
        <w:rPr>
          <w:rFonts w:hint="eastAsia" w:hAnsi="宋体" w:cs="宋体"/>
          <w:b/>
          <w:color w:val="auto"/>
          <w:sz w:val="72"/>
          <w:szCs w:val="72"/>
        </w:rPr>
      </w:pPr>
      <w:r>
        <w:rPr>
          <w:rFonts w:hint="eastAsia" w:hAnsi="宋体" w:cs="宋体"/>
          <w:b/>
          <w:color w:val="auto"/>
          <w:sz w:val="72"/>
          <w:szCs w:val="72"/>
        </w:rPr>
        <w:t>竞争性磋商文件</w:t>
      </w:r>
    </w:p>
    <w:p w14:paraId="2C0BFFC0">
      <w:pPr>
        <w:pStyle w:val="27"/>
        <w:spacing w:line="360" w:lineRule="auto"/>
        <w:jc w:val="center"/>
        <w:rPr>
          <w:rFonts w:hint="eastAsia" w:hAnsi="宋体" w:cs="宋体"/>
          <w:b/>
          <w:color w:val="auto"/>
          <w:sz w:val="24"/>
        </w:rPr>
      </w:pPr>
    </w:p>
    <w:p w14:paraId="3245EA9B">
      <w:pPr>
        <w:pStyle w:val="27"/>
        <w:spacing w:line="360" w:lineRule="auto"/>
        <w:jc w:val="center"/>
        <w:rPr>
          <w:rFonts w:hint="eastAsia" w:hAnsi="宋体" w:cs="宋体"/>
          <w:b/>
          <w:color w:val="auto"/>
          <w:sz w:val="24"/>
        </w:rPr>
      </w:pPr>
    </w:p>
    <w:p w14:paraId="5FAC77AE">
      <w:pPr>
        <w:pStyle w:val="27"/>
        <w:spacing w:line="360" w:lineRule="auto"/>
        <w:rPr>
          <w:rFonts w:hint="eastAsia" w:hAnsi="宋体" w:cs="宋体"/>
          <w:b/>
          <w:color w:val="auto"/>
          <w:sz w:val="24"/>
        </w:rPr>
      </w:pPr>
    </w:p>
    <w:p w14:paraId="2C9BDDF7">
      <w:pPr>
        <w:pStyle w:val="27"/>
        <w:spacing w:line="360" w:lineRule="auto"/>
        <w:rPr>
          <w:rFonts w:hint="eastAsia" w:hAnsi="宋体" w:cs="宋体"/>
          <w:b/>
          <w:color w:val="auto"/>
          <w:sz w:val="44"/>
          <w:szCs w:val="44"/>
        </w:rPr>
      </w:pPr>
      <w:bookmarkStart w:id="238" w:name="_GoBack"/>
      <w:bookmarkEnd w:id="238"/>
    </w:p>
    <w:p w14:paraId="4DED1F31">
      <w:pPr>
        <w:pStyle w:val="27"/>
        <w:spacing w:line="360" w:lineRule="auto"/>
        <w:ind w:firstLine="1285" w:firstLineChars="400"/>
        <w:jc w:val="center"/>
        <w:rPr>
          <w:rFonts w:hint="eastAsia" w:hAnsi="宋体" w:eastAsia="宋体" w:cs="宋体"/>
          <w:b/>
          <w:color w:val="auto"/>
          <w:sz w:val="32"/>
          <w:highlight w:val="yellow"/>
          <w:lang w:eastAsia="zh-CN"/>
        </w:rPr>
      </w:pPr>
      <w:r>
        <w:rPr>
          <w:rFonts w:hint="eastAsia" w:hAnsi="宋体" w:cs="宋体"/>
          <w:b/>
          <w:color w:val="auto"/>
          <w:sz w:val="32"/>
        </w:rPr>
        <w:t>项目编号：</w:t>
      </w:r>
      <w:r>
        <w:rPr>
          <w:rFonts w:hint="eastAsia" w:hAnsi="宋体" w:cs="宋体"/>
          <w:b/>
          <w:color w:val="auto"/>
          <w:sz w:val="32"/>
          <w:lang w:eastAsia="zh-CN"/>
        </w:rPr>
        <w:t>FJYS2025-489-1</w:t>
      </w:r>
    </w:p>
    <w:p w14:paraId="6B2BF33C">
      <w:pPr>
        <w:pStyle w:val="27"/>
        <w:spacing w:line="360" w:lineRule="auto"/>
        <w:ind w:left="2883" w:leftChars="608" w:hanging="1606" w:hangingChars="500"/>
        <w:jc w:val="center"/>
        <w:rPr>
          <w:rFonts w:hint="eastAsia" w:hAnsi="宋体" w:eastAsia="宋体" w:cs="宋体"/>
          <w:b/>
          <w:color w:val="auto"/>
          <w:sz w:val="32"/>
          <w:lang w:eastAsia="zh-CN"/>
        </w:rPr>
      </w:pPr>
      <w:r>
        <w:rPr>
          <w:rFonts w:hint="eastAsia" w:hAnsi="宋体" w:cs="宋体"/>
          <w:b/>
          <w:color w:val="auto"/>
          <w:sz w:val="32"/>
        </w:rPr>
        <w:t>项目名称：</w:t>
      </w:r>
      <w:r>
        <w:rPr>
          <w:rFonts w:hint="eastAsia" w:hAnsi="宋体" w:cs="宋体"/>
          <w:b/>
          <w:color w:val="auto"/>
          <w:sz w:val="32"/>
          <w:lang w:eastAsia="zh-CN"/>
        </w:rPr>
        <w:t xml:space="preserve">建筑消防维护保养服务及相关消防设施配件配送服务采购项目（重新招标） </w:t>
      </w:r>
    </w:p>
    <w:p w14:paraId="0E974E0F">
      <w:pPr>
        <w:pStyle w:val="27"/>
        <w:spacing w:line="360" w:lineRule="auto"/>
        <w:ind w:firstLine="1285" w:firstLineChars="400"/>
        <w:jc w:val="center"/>
        <w:rPr>
          <w:rFonts w:hint="eastAsia" w:hAnsi="宋体" w:cs="宋体"/>
          <w:b/>
          <w:color w:val="auto"/>
          <w:sz w:val="32"/>
          <w:lang w:eastAsia="zh-CN"/>
        </w:rPr>
      </w:pPr>
    </w:p>
    <w:p w14:paraId="6AE72D8B">
      <w:pPr>
        <w:pStyle w:val="27"/>
        <w:spacing w:line="360" w:lineRule="auto"/>
        <w:ind w:firstLine="1285" w:firstLineChars="400"/>
        <w:jc w:val="center"/>
        <w:rPr>
          <w:rFonts w:hint="eastAsia" w:hAnsi="宋体" w:cs="宋体"/>
          <w:b/>
          <w:color w:val="auto"/>
          <w:sz w:val="32"/>
          <w:lang w:eastAsia="zh-CN"/>
        </w:rPr>
      </w:pPr>
    </w:p>
    <w:p w14:paraId="0C62792F">
      <w:pPr>
        <w:pStyle w:val="27"/>
        <w:spacing w:line="360" w:lineRule="auto"/>
        <w:ind w:firstLine="1285" w:firstLineChars="400"/>
        <w:jc w:val="center"/>
        <w:rPr>
          <w:rFonts w:hint="eastAsia" w:hAnsi="宋体" w:cs="宋体"/>
          <w:b/>
          <w:color w:val="auto"/>
          <w:sz w:val="32"/>
          <w:lang w:eastAsia="zh-CN"/>
        </w:rPr>
      </w:pPr>
    </w:p>
    <w:p w14:paraId="351320FE">
      <w:pPr>
        <w:pStyle w:val="27"/>
        <w:spacing w:line="360" w:lineRule="auto"/>
        <w:ind w:firstLine="1285" w:firstLineChars="400"/>
        <w:jc w:val="center"/>
        <w:rPr>
          <w:rFonts w:hint="eastAsia" w:hAnsi="宋体" w:eastAsia="宋体" w:cs="宋体"/>
          <w:b/>
          <w:color w:val="auto"/>
          <w:sz w:val="32"/>
          <w:lang w:eastAsia="zh-CN"/>
        </w:rPr>
      </w:pPr>
      <w:r>
        <w:rPr>
          <w:rFonts w:hint="eastAsia" w:hAnsi="宋体" w:cs="宋体"/>
          <w:b/>
          <w:color w:val="auto"/>
          <w:sz w:val="32"/>
          <w:lang w:eastAsia="zh-CN"/>
        </w:rPr>
        <w:t>采购人</w:t>
      </w:r>
      <w:r>
        <w:rPr>
          <w:rFonts w:hint="eastAsia" w:hAnsi="宋体" w:cs="宋体"/>
          <w:b/>
          <w:color w:val="auto"/>
          <w:sz w:val="32"/>
        </w:rPr>
        <w:t>：</w:t>
      </w:r>
      <w:r>
        <w:rPr>
          <w:rFonts w:hint="eastAsia" w:hAnsi="宋体" w:cs="宋体"/>
          <w:b/>
          <w:color w:val="auto"/>
          <w:sz w:val="32"/>
          <w:lang w:eastAsia="zh-CN"/>
        </w:rPr>
        <w:t>福建省建阳兴欣织造有限责任公司</w:t>
      </w:r>
    </w:p>
    <w:p w14:paraId="709C4D08">
      <w:pPr>
        <w:pStyle w:val="27"/>
        <w:spacing w:line="360" w:lineRule="auto"/>
        <w:ind w:firstLine="1285" w:firstLineChars="400"/>
        <w:jc w:val="center"/>
        <w:rPr>
          <w:rFonts w:hint="eastAsia" w:hAnsi="宋体" w:cs="宋体"/>
          <w:b/>
          <w:color w:val="auto"/>
          <w:sz w:val="32"/>
        </w:rPr>
      </w:pPr>
      <w:r>
        <w:rPr>
          <w:rFonts w:hint="eastAsia" w:hAnsi="宋体" w:cs="宋体"/>
          <w:b/>
          <w:color w:val="auto"/>
          <w:sz w:val="32"/>
        </w:rPr>
        <w:t>采购代理机构：福建优胜招标项目管理集团有限公司</w:t>
      </w:r>
    </w:p>
    <w:p w14:paraId="79D9F8D3">
      <w:pPr>
        <w:spacing w:line="360" w:lineRule="auto"/>
        <w:rPr>
          <w:rFonts w:hint="eastAsia" w:ascii="宋体" w:hAnsi="宋体" w:cs="宋体"/>
          <w:b/>
          <w:color w:val="auto"/>
          <w:sz w:val="32"/>
        </w:rPr>
      </w:pPr>
    </w:p>
    <w:p w14:paraId="01B6CF96">
      <w:pPr>
        <w:spacing w:line="360" w:lineRule="auto"/>
        <w:jc w:val="center"/>
        <w:rPr>
          <w:rFonts w:hint="eastAsia" w:ascii="宋体" w:hAnsi="宋体" w:cs="宋体"/>
          <w:b/>
          <w:bCs/>
          <w:color w:val="auto"/>
          <w:sz w:val="32"/>
          <w:szCs w:val="32"/>
        </w:rPr>
      </w:pPr>
      <w:r>
        <w:rPr>
          <w:rFonts w:hint="eastAsia" w:ascii="宋体" w:hAnsi="宋体" w:cs="宋体"/>
          <w:b/>
          <w:color w:val="auto"/>
          <w:sz w:val="32"/>
        </w:rPr>
        <w:t>二〇二</w:t>
      </w:r>
      <w:r>
        <w:rPr>
          <w:rFonts w:hint="eastAsia" w:ascii="宋体" w:hAnsi="宋体" w:cs="宋体"/>
          <w:b/>
          <w:color w:val="auto"/>
          <w:sz w:val="32"/>
          <w:lang w:val="en-US" w:eastAsia="zh-CN"/>
        </w:rPr>
        <w:t>六</w:t>
      </w:r>
      <w:r>
        <w:rPr>
          <w:rFonts w:hint="eastAsia" w:ascii="宋体" w:hAnsi="宋体" w:cs="宋体"/>
          <w:b/>
          <w:color w:val="auto"/>
          <w:sz w:val="32"/>
        </w:rPr>
        <w:t>年</w:t>
      </w:r>
      <w:r>
        <w:rPr>
          <w:rFonts w:hint="eastAsia" w:ascii="宋体" w:hAnsi="宋体" w:cs="宋体"/>
          <w:b/>
          <w:color w:val="auto"/>
          <w:sz w:val="32"/>
          <w:lang w:val="en-US" w:eastAsia="zh-CN"/>
        </w:rPr>
        <w:t>一</w:t>
      </w:r>
      <w:r>
        <w:rPr>
          <w:rFonts w:hint="eastAsia" w:ascii="宋体" w:hAnsi="宋体" w:cs="宋体"/>
          <w:b/>
          <w:color w:val="auto"/>
          <w:sz w:val="32"/>
        </w:rPr>
        <w:t>月</w:t>
      </w:r>
    </w:p>
    <w:p w14:paraId="411D814F">
      <w:pPr>
        <w:spacing w:line="500" w:lineRule="exact"/>
        <w:rPr>
          <w:rFonts w:hint="eastAsia" w:ascii="宋体" w:hAnsi="宋体" w:cs="宋体"/>
          <w:b/>
          <w:color w:val="auto"/>
          <w:sz w:val="32"/>
          <w:szCs w:val="32"/>
          <w:u w:val="thick"/>
        </w:rPr>
      </w:pPr>
      <w:r>
        <w:rPr>
          <w:rFonts w:hint="eastAsia" w:ascii="宋体" w:hAnsi="宋体" w:cs="宋体"/>
          <w:b/>
          <w:color w:val="auto"/>
          <w:sz w:val="32"/>
          <w:szCs w:val="32"/>
        </w:rPr>
        <w:t xml:space="preserve">                                                           </w:t>
      </w:r>
      <w:r>
        <w:rPr>
          <w:rFonts w:hint="eastAsia" w:ascii="宋体" w:hAnsi="宋体" w:cs="宋体"/>
          <w:b/>
          <w:color w:val="auto"/>
          <w:sz w:val="32"/>
          <w:szCs w:val="32"/>
          <w:u w:val="thick"/>
        </w:rPr>
        <w:t xml:space="preserve">            </w:t>
      </w:r>
    </w:p>
    <w:p w14:paraId="7AD699DD">
      <w:pPr>
        <w:jc w:val="center"/>
        <w:rPr>
          <w:rFonts w:hint="eastAsia" w:ascii="宋体" w:hAnsi="宋体" w:cs="宋体"/>
          <w:color w:val="auto"/>
          <w:sz w:val="32"/>
          <w:szCs w:val="32"/>
        </w:rPr>
      </w:pPr>
    </w:p>
    <w:p w14:paraId="07C154BB">
      <w:pPr>
        <w:keepNext w:val="0"/>
        <w:keepLines w:val="0"/>
        <w:pageBreakBefore/>
        <w:widowControl w:val="0"/>
        <w:kinsoku/>
        <w:wordWrap/>
        <w:overflowPunct/>
        <w:topLinePunct w:val="0"/>
        <w:autoSpaceDE/>
        <w:autoSpaceDN/>
        <w:bidi w:val="0"/>
        <w:adjustRightInd/>
        <w:snapToGrid/>
        <w:jc w:val="center"/>
        <w:textAlignment w:val="auto"/>
        <w:rPr>
          <w:rFonts w:hint="eastAsia" w:ascii="宋体" w:hAnsi="宋体" w:cs="宋体"/>
          <w:color w:val="auto"/>
          <w:sz w:val="32"/>
          <w:szCs w:val="32"/>
        </w:rPr>
      </w:pPr>
      <w:r>
        <w:rPr>
          <w:rFonts w:hint="eastAsia" w:ascii="宋体" w:hAnsi="宋体" w:cs="宋体"/>
          <w:color w:val="auto"/>
          <w:sz w:val="32"/>
          <w:szCs w:val="32"/>
        </w:rPr>
        <w:t>目录</w:t>
      </w:r>
    </w:p>
    <w:p w14:paraId="0C2B950E">
      <w:pPr>
        <w:pStyle w:val="328"/>
        <w:tabs>
          <w:tab w:val="right" w:leader="dot" w:pos="8313"/>
        </w:tabs>
        <w:spacing w:line="360" w:lineRule="auto"/>
        <w:jc w:val="center"/>
        <w:rPr>
          <w:rFonts w:hint="eastAsia" w:ascii="宋体" w:hAnsi="宋体" w:cs="宋体"/>
          <w:color w:val="auto"/>
          <w:sz w:val="24"/>
          <w:szCs w:val="24"/>
        </w:rPr>
      </w:pPr>
      <w:r>
        <w:rPr>
          <w:rFonts w:hint="eastAsia" w:ascii="宋体" w:hAnsi="宋体" w:cs="宋体"/>
          <w:color w:val="auto"/>
        </w:rPr>
        <w:fldChar w:fldCharType="begin"/>
      </w:r>
      <w:r>
        <w:rPr>
          <w:rFonts w:hint="eastAsia" w:ascii="宋体" w:hAnsi="宋体" w:cs="宋体"/>
          <w:color w:val="auto"/>
        </w:rPr>
        <w:instrText xml:space="preserve">TOC \o "1-3" \h \u </w:instrText>
      </w:r>
      <w:r>
        <w:rPr>
          <w:rFonts w:hint="eastAsia" w:ascii="宋体" w:hAnsi="宋体" w:cs="宋体"/>
          <w:color w:val="auto"/>
        </w:rPr>
        <w:fldChar w:fldCharType="separate"/>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_Toc15976 </w:instrText>
      </w:r>
      <w:r>
        <w:rPr>
          <w:rFonts w:hint="eastAsia" w:ascii="宋体" w:hAnsi="宋体" w:cs="宋体"/>
          <w:color w:val="auto"/>
          <w:sz w:val="24"/>
          <w:szCs w:val="24"/>
        </w:rPr>
        <w:fldChar w:fldCharType="separate"/>
      </w:r>
      <w:r>
        <w:rPr>
          <w:rFonts w:hint="eastAsia" w:ascii="宋体" w:hAnsi="宋体" w:cs="宋体"/>
          <w:color w:val="auto"/>
          <w:sz w:val="24"/>
          <w:szCs w:val="24"/>
        </w:rPr>
        <w:t>第一章  磋商邀请</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_Toc15976 </w:instrText>
      </w:r>
      <w:r>
        <w:rPr>
          <w:rFonts w:hint="eastAsia" w:ascii="宋体" w:hAnsi="宋体" w:cs="宋体"/>
          <w:color w:val="auto"/>
          <w:sz w:val="24"/>
          <w:szCs w:val="24"/>
        </w:rPr>
        <w:fldChar w:fldCharType="separate"/>
      </w:r>
      <w:r>
        <w:rPr>
          <w:rFonts w:hint="eastAsia" w:ascii="宋体" w:hAnsi="宋体" w:cs="宋体"/>
          <w:color w:val="auto"/>
          <w:sz w:val="24"/>
          <w:szCs w:val="24"/>
        </w:rPr>
        <w:t>3</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69E9F900">
      <w:pPr>
        <w:pStyle w:val="328"/>
        <w:tabs>
          <w:tab w:val="right" w:leader="dot" w:pos="8313"/>
        </w:tabs>
        <w:spacing w:line="360" w:lineRule="auto"/>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_Toc11465 </w:instrText>
      </w:r>
      <w:r>
        <w:rPr>
          <w:rFonts w:hint="eastAsia" w:ascii="宋体" w:hAnsi="宋体" w:cs="宋体"/>
          <w:color w:val="auto"/>
          <w:sz w:val="24"/>
          <w:szCs w:val="24"/>
        </w:rPr>
        <w:fldChar w:fldCharType="separate"/>
      </w:r>
      <w:r>
        <w:rPr>
          <w:rFonts w:hint="eastAsia" w:ascii="宋体" w:hAnsi="宋体" w:cs="宋体"/>
          <w:color w:val="auto"/>
          <w:sz w:val="24"/>
          <w:szCs w:val="24"/>
        </w:rPr>
        <w:t>第二章  供应商须知</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_Toc11465 </w:instrText>
      </w:r>
      <w:r>
        <w:rPr>
          <w:rFonts w:hint="eastAsia" w:ascii="宋体" w:hAnsi="宋体" w:cs="宋体"/>
          <w:color w:val="auto"/>
          <w:sz w:val="24"/>
          <w:szCs w:val="24"/>
        </w:rPr>
        <w:fldChar w:fldCharType="separate"/>
      </w:r>
      <w:r>
        <w:rPr>
          <w:rFonts w:hint="eastAsia" w:ascii="宋体" w:hAnsi="宋体" w:cs="宋体"/>
          <w:color w:val="auto"/>
          <w:sz w:val="24"/>
          <w:szCs w:val="24"/>
        </w:rPr>
        <w:t>6</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76A968B6">
      <w:pPr>
        <w:pStyle w:val="177"/>
        <w:tabs>
          <w:tab w:val="right" w:leader="dot" w:pos="8313"/>
        </w:tabs>
        <w:spacing w:line="360" w:lineRule="auto"/>
        <w:ind w:left="420"/>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_Toc6163 </w:instrText>
      </w:r>
      <w:r>
        <w:rPr>
          <w:rFonts w:hint="eastAsia" w:ascii="宋体" w:hAnsi="宋体" w:cs="宋体"/>
          <w:color w:val="auto"/>
          <w:sz w:val="24"/>
          <w:szCs w:val="24"/>
        </w:rPr>
        <w:fldChar w:fldCharType="separate"/>
      </w:r>
      <w:r>
        <w:rPr>
          <w:rFonts w:hint="eastAsia" w:ascii="宋体" w:hAnsi="宋体" w:cs="宋体"/>
          <w:color w:val="auto"/>
          <w:sz w:val="24"/>
          <w:szCs w:val="24"/>
        </w:rPr>
        <w:t>供应商须知前附表</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_Toc6163 </w:instrText>
      </w:r>
      <w:r>
        <w:rPr>
          <w:rFonts w:hint="eastAsia" w:ascii="宋体" w:hAnsi="宋体" w:cs="宋体"/>
          <w:color w:val="auto"/>
          <w:sz w:val="24"/>
          <w:szCs w:val="24"/>
        </w:rPr>
        <w:fldChar w:fldCharType="separate"/>
      </w:r>
      <w:r>
        <w:rPr>
          <w:rFonts w:hint="eastAsia" w:ascii="宋体" w:hAnsi="宋体" w:cs="宋体"/>
          <w:color w:val="auto"/>
          <w:sz w:val="24"/>
          <w:szCs w:val="24"/>
        </w:rPr>
        <w:t>6</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0C9C9466">
      <w:pPr>
        <w:pStyle w:val="177"/>
        <w:tabs>
          <w:tab w:val="right" w:leader="dot" w:pos="8313"/>
        </w:tabs>
        <w:spacing w:line="360" w:lineRule="auto"/>
        <w:ind w:left="420"/>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_Toc21122 </w:instrText>
      </w:r>
      <w:r>
        <w:rPr>
          <w:rFonts w:hint="eastAsia" w:ascii="宋体" w:hAnsi="宋体" w:cs="宋体"/>
          <w:color w:val="auto"/>
          <w:sz w:val="24"/>
          <w:szCs w:val="24"/>
        </w:rPr>
        <w:fldChar w:fldCharType="separate"/>
      </w:r>
      <w:r>
        <w:rPr>
          <w:rFonts w:hint="eastAsia" w:ascii="宋体" w:hAnsi="宋体" w:cs="宋体"/>
          <w:color w:val="auto"/>
          <w:sz w:val="24"/>
          <w:szCs w:val="24"/>
        </w:rPr>
        <w:t>一、说明</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_Toc21122 </w:instrText>
      </w:r>
      <w:r>
        <w:rPr>
          <w:rFonts w:hint="eastAsia" w:ascii="宋体" w:hAnsi="宋体" w:cs="宋体"/>
          <w:color w:val="auto"/>
          <w:sz w:val="24"/>
          <w:szCs w:val="24"/>
        </w:rPr>
        <w:fldChar w:fldCharType="separate"/>
      </w:r>
      <w:r>
        <w:rPr>
          <w:rFonts w:hint="eastAsia" w:ascii="宋体" w:hAnsi="宋体" w:cs="宋体"/>
          <w:color w:val="auto"/>
          <w:sz w:val="24"/>
          <w:szCs w:val="24"/>
        </w:rPr>
        <w:t>10</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4876ED56">
      <w:pPr>
        <w:pStyle w:val="177"/>
        <w:tabs>
          <w:tab w:val="right" w:leader="dot" w:pos="8313"/>
        </w:tabs>
        <w:spacing w:line="360" w:lineRule="auto"/>
        <w:ind w:left="420"/>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_Toc15484 </w:instrText>
      </w:r>
      <w:r>
        <w:rPr>
          <w:rFonts w:hint="eastAsia" w:ascii="宋体" w:hAnsi="宋体" w:cs="宋体"/>
          <w:color w:val="auto"/>
          <w:sz w:val="24"/>
          <w:szCs w:val="24"/>
        </w:rPr>
        <w:fldChar w:fldCharType="separate"/>
      </w:r>
      <w:r>
        <w:rPr>
          <w:rFonts w:hint="eastAsia" w:ascii="宋体" w:hAnsi="宋体" w:cs="宋体"/>
          <w:color w:val="auto"/>
          <w:sz w:val="24"/>
          <w:szCs w:val="24"/>
        </w:rPr>
        <w:t>二、竞争性磋商文件</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_Toc15484 </w:instrText>
      </w:r>
      <w:r>
        <w:rPr>
          <w:rFonts w:hint="eastAsia" w:ascii="宋体" w:hAnsi="宋体" w:cs="宋体"/>
          <w:color w:val="auto"/>
          <w:sz w:val="24"/>
          <w:szCs w:val="24"/>
        </w:rPr>
        <w:fldChar w:fldCharType="separate"/>
      </w:r>
      <w:r>
        <w:rPr>
          <w:rFonts w:hint="eastAsia" w:ascii="宋体" w:hAnsi="宋体" w:cs="宋体"/>
          <w:color w:val="auto"/>
          <w:sz w:val="24"/>
          <w:szCs w:val="24"/>
        </w:rPr>
        <w:t>17</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2D2D976C">
      <w:pPr>
        <w:pStyle w:val="177"/>
        <w:tabs>
          <w:tab w:val="right" w:leader="dot" w:pos="8313"/>
        </w:tabs>
        <w:spacing w:line="360" w:lineRule="auto"/>
        <w:ind w:left="420"/>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_Toc18475 </w:instrText>
      </w:r>
      <w:r>
        <w:rPr>
          <w:rFonts w:hint="eastAsia" w:ascii="宋体" w:hAnsi="宋体" w:cs="宋体"/>
          <w:color w:val="auto"/>
          <w:sz w:val="24"/>
          <w:szCs w:val="24"/>
        </w:rPr>
        <w:fldChar w:fldCharType="separate"/>
      </w:r>
      <w:r>
        <w:rPr>
          <w:rFonts w:hint="eastAsia" w:ascii="宋体" w:hAnsi="宋体" w:cs="宋体"/>
          <w:color w:val="auto"/>
          <w:sz w:val="24"/>
          <w:szCs w:val="24"/>
        </w:rPr>
        <w:t>三、响应文件的编写</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_Toc18475 </w:instrText>
      </w:r>
      <w:r>
        <w:rPr>
          <w:rFonts w:hint="eastAsia" w:ascii="宋体" w:hAnsi="宋体" w:cs="宋体"/>
          <w:color w:val="auto"/>
          <w:sz w:val="24"/>
          <w:szCs w:val="24"/>
        </w:rPr>
        <w:fldChar w:fldCharType="separate"/>
      </w:r>
      <w:r>
        <w:rPr>
          <w:rFonts w:hint="eastAsia" w:ascii="宋体" w:hAnsi="宋体" w:cs="宋体"/>
          <w:color w:val="auto"/>
          <w:sz w:val="24"/>
          <w:szCs w:val="24"/>
        </w:rPr>
        <w:t>18</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77D3CD44">
      <w:pPr>
        <w:pStyle w:val="177"/>
        <w:tabs>
          <w:tab w:val="right" w:leader="dot" w:pos="8313"/>
        </w:tabs>
        <w:spacing w:line="360" w:lineRule="auto"/>
        <w:ind w:left="420"/>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_Toc18424 </w:instrText>
      </w:r>
      <w:r>
        <w:rPr>
          <w:rFonts w:hint="eastAsia" w:ascii="宋体" w:hAnsi="宋体" w:cs="宋体"/>
          <w:color w:val="auto"/>
          <w:sz w:val="24"/>
          <w:szCs w:val="24"/>
        </w:rPr>
        <w:fldChar w:fldCharType="separate"/>
      </w:r>
      <w:r>
        <w:rPr>
          <w:rFonts w:hint="eastAsia" w:ascii="宋体" w:hAnsi="宋体" w:cs="宋体"/>
          <w:color w:val="auto"/>
          <w:sz w:val="24"/>
          <w:szCs w:val="24"/>
        </w:rPr>
        <w:t>四、响应文件的提交</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_Toc18424 </w:instrText>
      </w:r>
      <w:r>
        <w:rPr>
          <w:rFonts w:hint="eastAsia" w:ascii="宋体" w:hAnsi="宋体" w:cs="宋体"/>
          <w:color w:val="auto"/>
          <w:sz w:val="24"/>
          <w:szCs w:val="24"/>
        </w:rPr>
        <w:fldChar w:fldCharType="separate"/>
      </w:r>
      <w:r>
        <w:rPr>
          <w:rFonts w:hint="eastAsia" w:ascii="宋体" w:hAnsi="宋体" w:cs="宋体"/>
          <w:color w:val="auto"/>
          <w:sz w:val="24"/>
          <w:szCs w:val="24"/>
        </w:rPr>
        <w:t>22</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0FE0955F">
      <w:pPr>
        <w:pStyle w:val="177"/>
        <w:tabs>
          <w:tab w:val="right" w:leader="dot" w:pos="8313"/>
        </w:tabs>
        <w:spacing w:line="360" w:lineRule="auto"/>
        <w:ind w:left="420"/>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_Toc8432 </w:instrText>
      </w:r>
      <w:r>
        <w:rPr>
          <w:rFonts w:hint="eastAsia" w:ascii="宋体" w:hAnsi="宋体" w:cs="宋体"/>
          <w:color w:val="auto"/>
          <w:sz w:val="24"/>
          <w:szCs w:val="24"/>
        </w:rPr>
        <w:fldChar w:fldCharType="separate"/>
      </w:r>
      <w:r>
        <w:rPr>
          <w:rFonts w:hint="eastAsia" w:ascii="宋体" w:hAnsi="宋体" w:cs="宋体"/>
          <w:color w:val="auto"/>
          <w:sz w:val="24"/>
          <w:szCs w:val="24"/>
        </w:rPr>
        <w:t>五、响应文件的评估和比较</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_Toc8432 </w:instrText>
      </w:r>
      <w:r>
        <w:rPr>
          <w:rFonts w:hint="eastAsia" w:ascii="宋体" w:hAnsi="宋体" w:cs="宋体"/>
          <w:color w:val="auto"/>
          <w:sz w:val="24"/>
          <w:szCs w:val="24"/>
        </w:rPr>
        <w:fldChar w:fldCharType="separate"/>
      </w:r>
      <w:r>
        <w:rPr>
          <w:rFonts w:hint="eastAsia" w:ascii="宋体" w:hAnsi="宋体" w:cs="宋体"/>
          <w:color w:val="auto"/>
          <w:sz w:val="24"/>
          <w:szCs w:val="24"/>
        </w:rPr>
        <w:t>22</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5C8F913E">
      <w:pPr>
        <w:pStyle w:val="177"/>
        <w:tabs>
          <w:tab w:val="right" w:leader="dot" w:pos="8313"/>
        </w:tabs>
        <w:spacing w:line="360" w:lineRule="auto"/>
        <w:ind w:left="420"/>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_Toc2591 </w:instrText>
      </w:r>
      <w:r>
        <w:rPr>
          <w:rFonts w:hint="eastAsia" w:ascii="宋体" w:hAnsi="宋体" w:cs="宋体"/>
          <w:color w:val="auto"/>
          <w:sz w:val="24"/>
          <w:szCs w:val="24"/>
        </w:rPr>
        <w:fldChar w:fldCharType="separate"/>
      </w:r>
      <w:r>
        <w:rPr>
          <w:rFonts w:hint="eastAsia" w:ascii="宋体" w:hAnsi="宋体" w:cs="宋体"/>
          <w:color w:val="auto"/>
          <w:sz w:val="24"/>
          <w:szCs w:val="24"/>
        </w:rPr>
        <w:t>六、定标与签订合同</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_Toc2591 </w:instrText>
      </w:r>
      <w:r>
        <w:rPr>
          <w:rFonts w:hint="eastAsia" w:ascii="宋体" w:hAnsi="宋体" w:cs="宋体"/>
          <w:color w:val="auto"/>
          <w:sz w:val="24"/>
          <w:szCs w:val="24"/>
        </w:rPr>
        <w:fldChar w:fldCharType="separate"/>
      </w:r>
      <w:r>
        <w:rPr>
          <w:rFonts w:hint="eastAsia" w:ascii="宋体" w:hAnsi="宋体" w:cs="宋体"/>
          <w:color w:val="auto"/>
          <w:sz w:val="24"/>
          <w:szCs w:val="24"/>
        </w:rPr>
        <w:t>26</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266A8E16">
      <w:pPr>
        <w:pStyle w:val="328"/>
        <w:tabs>
          <w:tab w:val="right" w:leader="dot" w:pos="8313"/>
        </w:tabs>
        <w:spacing w:line="360" w:lineRule="auto"/>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_Toc15035 </w:instrText>
      </w:r>
      <w:r>
        <w:rPr>
          <w:rFonts w:hint="eastAsia" w:ascii="宋体" w:hAnsi="宋体" w:cs="宋体"/>
          <w:color w:val="auto"/>
          <w:sz w:val="24"/>
          <w:szCs w:val="24"/>
        </w:rPr>
        <w:fldChar w:fldCharType="separate"/>
      </w:r>
      <w:r>
        <w:rPr>
          <w:rFonts w:hint="eastAsia" w:ascii="宋体" w:hAnsi="宋体" w:cs="宋体"/>
          <w:color w:val="auto"/>
          <w:sz w:val="24"/>
          <w:szCs w:val="24"/>
        </w:rPr>
        <w:t>第三章 采购内容及要求</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_Toc15035 </w:instrText>
      </w:r>
      <w:r>
        <w:rPr>
          <w:rFonts w:hint="eastAsia" w:ascii="宋体" w:hAnsi="宋体" w:cs="宋体"/>
          <w:color w:val="auto"/>
          <w:sz w:val="24"/>
          <w:szCs w:val="24"/>
        </w:rPr>
        <w:fldChar w:fldCharType="separate"/>
      </w:r>
      <w:r>
        <w:rPr>
          <w:rFonts w:hint="eastAsia" w:ascii="宋体" w:hAnsi="宋体" w:cs="宋体"/>
          <w:color w:val="auto"/>
          <w:sz w:val="24"/>
          <w:szCs w:val="24"/>
        </w:rPr>
        <w:t>28</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74D27C98">
      <w:pPr>
        <w:pStyle w:val="328"/>
        <w:tabs>
          <w:tab w:val="right" w:leader="dot" w:pos="8313"/>
        </w:tabs>
        <w:spacing w:line="360" w:lineRule="auto"/>
        <w:jc w:val="center"/>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_Toc16217 </w:instrText>
      </w:r>
      <w:r>
        <w:rPr>
          <w:rFonts w:hint="eastAsia" w:ascii="宋体" w:hAnsi="宋体" w:cs="宋体"/>
          <w:color w:val="auto"/>
          <w:sz w:val="24"/>
          <w:szCs w:val="24"/>
        </w:rPr>
        <w:fldChar w:fldCharType="separate"/>
      </w:r>
      <w:r>
        <w:rPr>
          <w:rFonts w:hint="eastAsia" w:ascii="宋体" w:hAnsi="宋体" w:cs="宋体"/>
          <w:color w:val="auto"/>
          <w:sz w:val="24"/>
          <w:szCs w:val="24"/>
        </w:rPr>
        <w:t>第四章 采购合同</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_Toc16217 </w:instrText>
      </w:r>
      <w:r>
        <w:rPr>
          <w:rFonts w:hint="eastAsia" w:ascii="宋体" w:hAnsi="宋体" w:cs="宋体"/>
          <w:color w:val="auto"/>
          <w:sz w:val="24"/>
          <w:szCs w:val="24"/>
        </w:rPr>
        <w:fldChar w:fldCharType="separate"/>
      </w:r>
      <w:r>
        <w:rPr>
          <w:rFonts w:hint="eastAsia" w:ascii="宋体" w:hAnsi="宋体" w:cs="宋体"/>
          <w:color w:val="auto"/>
          <w:sz w:val="24"/>
          <w:szCs w:val="24"/>
        </w:rPr>
        <w:t>51</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430BA95E">
      <w:pPr>
        <w:pStyle w:val="328"/>
        <w:tabs>
          <w:tab w:val="right" w:leader="dot" w:pos="8313"/>
        </w:tabs>
        <w:spacing w:line="360" w:lineRule="auto"/>
        <w:jc w:val="center"/>
        <w:rPr>
          <w:rFonts w:hint="eastAsia" w:ascii="宋体" w:hAnsi="宋体" w:cs="宋体"/>
          <w:color w:val="auto"/>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HYPERLINK \l _Toc12704 </w:instrText>
      </w:r>
      <w:r>
        <w:rPr>
          <w:rFonts w:hint="eastAsia" w:ascii="宋体" w:hAnsi="宋体" w:cs="宋体"/>
          <w:color w:val="auto"/>
          <w:sz w:val="24"/>
          <w:szCs w:val="24"/>
        </w:rPr>
        <w:fldChar w:fldCharType="separate"/>
      </w:r>
      <w:r>
        <w:rPr>
          <w:rFonts w:hint="eastAsia" w:ascii="宋体" w:hAnsi="宋体" w:cs="宋体"/>
          <w:color w:val="auto"/>
          <w:sz w:val="24"/>
          <w:szCs w:val="24"/>
        </w:rPr>
        <w:t>第五章 响应文件格式</w:t>
      </w:r>
      <w:r>
        <w:rPr>
          <w:rFonts w:hint="eastAsia" w:ascii="宋体" w:hAnsi="宋体" w:cs="宋体"/>
          <w:color w:val="auto"/>
          <w:sz w:val="24"/>
          <w:szCs w:val="24"/>
        </w:rPr>
        <w:tab/>
      </w: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PAGEREF _Toc12704 </w:instrText>
      </w:r>
      <w:r>
        <w:rPr>
          <w:rFonts w:hint="eastAsia" w:ascii="宋体" w:hAnsi="宋体" w:cs="宋体"/>
          <w:color w:val="auto"/>
          <w:sz w:val="24"/>
          <w:szCs w:val="24"/>
        </w:rPr>
        <w:fldChar w:fldCharType="separate"/>
      </w:r>
      <w:r>
        <w:rPr>
          <w:rFonts w:hint="eastAsia" w:ascii="宋体" w:hAnsi="宋体" w:cs="宋体"/>
          <w:color w:val="auto"/>
          <w:sz w:val="24"/>
          <w:szCs w:val="24"/>
        </w:rPr>
        <w:t>59</w:t>
      </w:r>
      <w:r>
        <w:rPr>
          <w:rFonts w:hint="eastAsia" w:ascii="宋体" w:hAnsi="宋体" w:cs="宋体"/>
          <w:color w:val="auto"/>
          <w:sz w:val="24"/>
          <w:szCs w:val="24"/>
        </w:rPr>
        <w:fldChar w:fldCharType="end"/>
      </w:r>
      <w:r>
        <w:rPr>
          <w:rFonts w:hint="eastAsia" w:ascii="宋体" w:hAnsi="宋体" w:cs="宋体"/>
          <w:color w:val="auto"/>
          <w:sz w:val="24"/>
          <w:szCs w:val="24"/>
        </w:rPr>
        <w:fldChar w:fldCharType="end"/>
      </w:r>
    </w:p>
    <w:p w14:paraId="6637E86F">
      <w:pPr>
        <w:pStyle w:val="328"/>
        <w:tabs>
          <w:tab w:val="right" w:leader="dot" w:pos="8313"/>
        </w:tabs>
        <w:rPr>
          <w:rFonts w:hint="eastAsia" w:ascii="宋体" w:hAnsi="宋体" w:cs="宋体"/>
          <w:color w:val="auto"/>
        </w:rPr>
      </w:pPr>
    </w:p>
    <w:p w14:paraId="52BBF790">
      <w:pPr>
        <w:rPr>
          <w:rFonts w:hint="eastAsia" w:ascii="宋体" w:hAnsi="宋体" w:cs="宋体"/>
          <w:color w:val="auto"/>
        </w:rPr>
      </w:pPr>
      <w:r>
        <w:rPr>
          <w:rFonts w:hint="eastAsia" w:ascii="宋体" w:hAnsi="宋体" w:cs="宋体"/>
          <w:color w:val="auto"/>
        </w:rPr>
        <w:fldChar w:fldCharType="end"/>
      </w:r>
    </w:p>
    <w:p w14:paraId="60B308DB">
      <w:pPr>
        <w:pStyle w:val="289"/>
        <w:ind w:firstLine="422"/>
        <w:rPr>
          <w:rFonts w:hint="eastAsia" w:ascii="宋体" w:hAnsi="宋体" w:cs="宋体"/>
          <w:color w:val="auto"/>
        </w:rPr>
      </w:pPr>
      <w:r>
        <w:rPr>
          <w:rFonts w:hint="eastAsia" w:ascii="宋体" w:hAnsi="宋体" w:cs="宋体"/>
          <w:b/>
          <w:color w:val="auto"/>
          <w:szCs w:val="21"/>
        </w:rPr>
        <w:t>注：本竞争性磋商文件共</w:t>
      </w:r>
      <w:r>
        <w:rPr>
          <w:rFonts w:hint="eastAsia" w:ascii="宋体" w:hAnsi="宋体" w:cs="宋体"/>
          <w:b/>
          <w:color w:val="auto"/>
          <w:szCs w:val="21"/>
          <w:lang w:val="en-US" w:eastAsia="zh-CN"/>
        </w:rPr>
        <w:t>80</w:t>
      </w:r>
      <w:r>
        <w:rPr>
          <w:rFonts w:hint="eastAsia" w:ascii="宋体" w:hAnsi="宋体" w:cs="宋体"/>
          <w:b/>
          <w:color w:val="auto"/>
          <w:szCs w:val="21"/>
        </w:rPr>
        <w:t>页（含封面），请供应商领取竞争性磋商文件时自行核对，如发现缺、损等情况，自领取竞争性磋商文件之日起二日内向福建优胜招标项目管理集团有限公司提出，否则，由此造成的一切后果由供应商自负。</w:t>
      </w:r>
    </w:p>
    <w:p w14:paraId="51AE42F1">
      <w:pPr>
        <w:pStyle w:val="27"/>
        <w:snapToGrid w:val="0"/>
        <w:spacing w:line="360" w:lineRule="auto"/>
        <w:jc w:val="center"/>
        <w:outlineLvl w:val="0"/>
        <w:rPr>
          <w:rFonts w:hint="eastAsia" w:hAnsi="宋体" w:cs="宋体"/>
          <w:b/>
          <w:color w:val="auto"/>
          <w:sz w:val="36"/>
        </w:rPr>
        <w:sectPr>
          <w:headerReference r:id="rId3" w:type="default"/>
          <w:footerReference r:id="rId4" w:type="default"/>
          <w:pgSz w:w="11907" w:h="16840"/>
          <w:pgMar w:top="1440" w:right="1080" w:bottom="1440" w:left="1080" w:header="851" w:footer="992" w:gutter="0"/>
          <w:pgNumType w:start="1"/>
          <w:cols w:space="720" w:num="1"/>
          <w:docGrid w:linePitch="312" w:charSpace="0"/>
        </w:sectPr>
      </w:pPr>
      <w:bookmarkStart w:id="0" w:name="投标邀请"/>
      <w:bookmarkEnd w:id="0"/>
      <w:bookmarkStart w:id="1" w:name="_Toc9374_WPSOffice_Level1"/>
      <w:bookmarkStart w:id="2" w:name="_Toc23427_WPSOffice_Level1"/>
      <w:bookmarkStart w:id="3" w:name="_Toc18833_WPSOffice_Level1"/>
      <w:bookmarkStart w:id="4" w:name="_Toc15976"/>
    </w:p>
    <w:p w14:paraId="6B9F61A3">
      <w:pPr>
        <w:pStyle w:val="27"/>
        <w:snapToGrid w:val="0"/>
        <w:spacing w:line="360" w:lineRule="auto"/>
        <w:jc w:val="center"/>
        <w:outlineLvl w:val="0"/>
        <w:rPr>
          <w:rFonts w:hint="eastAsia" w:hAnsi="宋体" w:cs="宋体"/>
          <w:b/>
          <w:color w:val="auto"/>
          <w:sz w:val="36"/>
        </w:rPr>
      </w:pPr>
      <w:r>
        <w:rPr>
          <w:rFonts w:hint="eastAsia" w:hAnsi="宋体" w:cs="宋体"/>
          <w:b/>
          <w:color w:val="auto"/>
          <w:sz w:val="36"/>
        </w:rPr>
        <w:t>第一章  磋商邀请</w:t>
      </w:r>
      <w:bookmarkEnd w:id="1"/>
      <w:bookmarkEnd w:id="2"/>
      <w:bookmarkEnd w:id="3"/>
      <w:bookmarkEnd w:id="4"/>
    </w:p>
    <w:p w14:paraId="490D105B">
      <w:pPr>
        <w:snapToGrid w:val="0"/>
        <w:spacing w:before="0" w:line="400" w:lineRule="exact"/>
        <w:ind w:firstLine="480" w:firstLineChars="200"/>
        <w:rPr>
          <w:rFonts w:hint="eastAsia" w:ascii="宋体" w:hAnsi="宋体" w:cs="宋体"/>
          <w:color w:val="auto"/>
          <w:sz w:val="24"/>
        </w:rPr>
      </w:pPr>
      <w:r>
        <w:rPr>
          <w:rFonts w:hint="eastAsia" w:ascii="宋体" w:hAnsi="宋体" w:cs="宋体"/>
          <w:color w:val="auto"/>
          <w:sz w:val="24"/>
        </w:rPr>
        <w:t>福建优胜招标项目管理集团有限公司受</w:t>
      </w:r>
      <w:r>
        <w:rPr>
          <w:rFonts w:hint="eastAsia" w:ascii="宋体" w:hAnsi="宋体" w:cs="宋体"/>
          <w:color w:val="auto"/>
          <w:sz w:val="24"/>
          <w:szCs w:val="22"/>
          <w:u w:val="single"/>
          <w:lang w:eastAsia="zh-CN"/>
        </w:rPr>
        <w:t>福建省建阳兴欣织造有限责任公司</w:t>
      </w:r>
      <w:r>
        <w:rPr>
          <w:rFonts w:hint="eastAsia" w:ascii="宋体" w:hAnsi="宋体" w:cs="宋体"/>
          <w:color w:val="auto"/>
          <w:sz w:val="24"/>
        </w:rPr>
        <w:t>委托，对下述项目进行国内竞争性磋商，现欢迎国内合格的</w:t>
      </w:r>
      <w:r>
        <w:rPr>
          <w:rFonts w:hint="eastAsia" w:ascii="宋体" w:hAnsi="宋体" w:cs="宋体"/>
          <w:color w:val="auto"/>
          <w:sz w:val="24"/>
          <w:szCs w:val="24"/>
        </w:rPr>
        <w:t>供应商</w:t>
      </w:r>
      <w:r>
        <w:rPr>
          <w:rFonts w:hint="eastAsia" w:ascii="宋体" w:hAnsi="宋体" w:cs="宋体"/>
          <w:color w:val="auto"/>
          <w:sz w:val="24"/>
        </w:rPr>
        <w:t>前来提交密封的响应文件。</w:t>
      </w:r>
    </w:p>
    <w:p w14:paraId="104E5E5D">
      <w:pPr>
        <w:snapToGrid w:val="0"/>
        <w:spacing w:line="400" w:lineRule="exact"/>
        <w:rPr>
          <w:rFonts w:hint="eastAsia" w:ascii="宋体" w:hAnsi="宋体" w:eastAsia="宋体" w:cs="宋体"/>
          <w:b/>
          <w:color w:val="auto"/>
          <w:sz w:val="24"/>
          <w:szCs w:val="22"/>
          <w:highlight w:val="none"/>
          <w:lang w:eastAsia="zh-CN"/>
        </w:rPr>
      </w:pPr>
      <w:r>
        <w:rPr>
          <w:rFonts w:hint="eastAsia" w:ascii="宋体" w:hAnsi="宋体" w:cs="宋体"/>
          <w:b/>
          <w:color w:val="auto"/>
          <w:sz w:val="24"/>
        </w:rPr>
        <w:t>1</w:t>
      </w:r>
      <w:r>
        <w:rPr>
          <w:rFonts w:hint="eastAsia" w:ascii="宋体" w:hAnsi="宋体" w:cs="宋体"/>
          <w:b/>
          <w:color w:val="auto"/>
          <w:sz w:val="24"/>
          <w:lang w:val="en-US" w:eastAsia="zh-CN"/>
        </w:rPr>
        <w:t>.</w:t>
      </w:r>
      <w:r>
        <w:rPr>
          <w:rFonts w:hint="eastAsia" w:ascii="宋体" w:hAnsi="宋体" w:cs="宋体"/>
          <w:b/>
          <w:color w:val="auto"/>
          <w:sz w:val="24"/>
          <w:highlight w:val="none"/>
        </w:rPr>
        <w:t>项目编号</w:t>
      </w:r>
      <w:r>
        <w:rPr>
          <w:rFonts w:hint="eastAsia" w:ascii="宋体" w:hAnsi="宋体" w:cs="宋体"/>
          <w:b/>
          <w:color w:val="auto"/>
          <w:sz w:val="24"/>
          <w:szCs w:val="22"/>
          <w:highlight w:val="none"/>
        </w:rPr>
        <w:t>：</w:t>
      </w:r>
      <w:r>
        <w:rPr>
          <w:rFonts w:hint="eastAsia" w:ascii="宋体" w:hAnsi="宋体" w:cs="宋体"/>
          <w:b/>
          <w:color w:val="auto"/>
          <w:sz w:val="24"/>
          <w:szCs w:val="22"/>
          <w:highlight w:val="none"/>
          <w:lang w:eastAsia="zh-CN"/>
        </w:rPr>
        <w:t>FJYS2025-489-1</w:t>
      </w:r>
    </w:p>
    <w:p w14:paraId="1E761859">
      <w:pPr>
        <w:spacing w:line="400" w:lineRule="exact"/>
        <w:ind w:firstLine="360" w:firstLineChars="150"/>
        <w:rPr>
          <w:rFonts w:hint="eastAsia" w:ascii="宋体" w:hAnsi="宋体" w:eastAsia="宋体" w:cs="宋体"/>
          <w:color w:val="auto"/>
          <w:sz w:val="24"/>
          <w:szCs w:val="22"/>
          <w:highlight w:val="none"/>
          <w:lang w:eastAsia="zh-CN"/>
        </w:rPr>
      </w:pPr>
      <w:r>
        <w:rPr>
          <w:rFonts w:hint="eastAsia" w:ascii="宋体" w:hAnsi="宋体" w:cs="宋体"/>
          <w:color w:val="auto"/>
          <w:sz w:val="24"/>
          <w:szCs w:val="22"/>
          <w:highlight w:val="none"/>
          <w:lang w:eastAsia="zh-CN"/>
        </w:rPr>
        <w:t>采购人</w:t>
      </w:r>
      <w:r>
        <w:rPr>
          <w:rFonts w:hint="eastAsia" w:ascii="宋体" w:hAnsi="宋体" w:cs="宋体"/>
          <w:color w:val="auto"/>
          <w:sz w:val="24"/>
          <w:szCs w:val="22"/>
          <w:highlight w:val="none"/>
        </w:rPr>
        <w:t>：</w:t>
      </w:r>
      <w:r>
        <w:rPr>
          <w:rFonts w:hint="eastAsia" w:ascii="宋体" w:hAnsi="宋体" w:cs="宋体"/>
          <w:color w:val="auto"/>
          <w:sz w:val="24"/>
          <w:szCs w:val="22"/>
          <w:highlight w:val="none"/>
          <w:lang w:eastAsia="zh-CN"/>
        </w:rPr>
        <w:t>福建省建阳兴欣织造有限责任公司</w:t>
      </w:r>
    </w:p>
    <w:p w14:paraId="38AEE410">
      <w:pPr>
        <w:spacing w:line="400" w:lineRule="exact"/>
        <w:ind w:firstLine="360" w:firstLineChars="150"/>
        <w:rPr>
          <w:rFonts w:hint="eastAsia" w:ascii="宋体" w:hAnsi="宋体" w:eastAsia="宋体" w:cs="宋体"/>
          <w:color w:val="auto"/>
          <w:sz w:val="24"/>
          <w:szCs w:val="22"/>
          <w:highlight w:val="none"/>
          <w:lang w:val="en-US" w:eastAsia="zh-CN"/>
        </w:rPr>
      </w:pPr>
      <w:r>
        <w:rPr>
          <w:rFonts w:hint="eastAsia" w:ascii="宋体" w:hAnsi="宋体" w:cs="宋体"/>
          <w:color w:val="auto"/>
          <w:sz w:val="24"/>
          <w:szCs w:val="22"/>
          <w:highlight w:val="none"/>
        </w:rPr>
        <w:t>联系人：</w:t>
      </w:r>
      <w:r>
        <w:rPr>
          <w:rFonts w:hint="eastAsia" w:ascii="宋体" w:hAnsi="宋体" w:cs="宋体"/>
          <w:color w:val="auto"/>
          <w:sz w:val="24"/>
          <w:szCs w:val="22"/>
          <w:highlight w:val="none"/>
          <w:lang w:val="en-US" w:eastAsia="zh-CN"/>
        </w:rPr>
        <w:t>张工</w:t>
      </w:r>
    </w:p>
    <w:p w14:paraId="1ED1ABC1">
      <w:pPr>
        <w:spacing w:line="400" w:lineRule="exact"/>
        <w:ind w:firstLine="360" w:firstLineChars="150"/>
        <w:rPr>
          <w:rFonts w:hint="eastAsia" w:ascii="宋体" w:hAnsi="宋体" w:eastAsia="宋体" w:cs="宋体"/>
          <w:color w:val="auto"/>
          <w:sz w:val="24"/>
          <w:szCs w:val="22"/>
          <w:highlight w:val="none"/>
          <w:lang w:val="en-US" w:eastAsia="zh-CN"/>
        </w:rPr>
      </w:pPr>
      <w:r>
        <w:rPr>
          <w:rFonts w:hint="eastAsia" w:ascii="宋体" w:hAnsi="宋体" w:cs="宋体"/>
          <w:color w:val="auto"/>
          <w:sz w:val="24"/>
          <w:szCs w:val="22"/>
          <w:highlight w:val="none"/>
        </w:rPr>
        <w:t>联系电话：</w:t>
      </w:r>
      <w:r>
        <w:rPr>
          <w:rFonts w:hint="eastAsia" w:ascii="宋体" w:hAnsi="宋体" w:cs="宋体"/>
          <w:color w:val="auto"/>
          <w:sz w:val="24"/>
          <w:szCs w:val="22"/>
          <w:highlight w:val="none"/>
          <w:lang w:val="en-US" w:eastAsia="zh-CN"/>
        </w:rPr>
        <w:t>0599-8071251</w:t>
      </w:r>
    </w:p>
    <w:p w14:paraId="5076FB53">
      <w:pPr>
        <w:spacing w:line="400" w:lineRule="exact"/>
        <w:ind w:firstLine="360" w:firstLineChars="150"/>
        <w:rPr>
          <w:rFonts w:hint="eastAsia" w:ascii="宋体" w:hAnsi="宋体" w:cs="宋体"/>
          <w:color w:val="auto"/>
          <w:sz w:val="24"/>
          <w:szCs w:val="22"/>
          <w:highlight w:val="none"/>
        </w:rPr>
      </w:pPr>
      <w:r>
        <w:rPr>
          <w:rFonts w:hint="eastAsia" w:ascii="宋体" w:hAnsi="宋体" w:cs="宋体"/>
          <w:color w:val="auto"/>
          <w:sz w:val="24"/>
          <w:szCs w:val="22"/>
          <w:highlight w:val="none"/>
        </w:rPr>
        <w:t xml:space="preserve">地  址：福建省建阳市童游曼头山7号 </w:t>
      </w:r>
    </w:p>
    <w:p w14:paraId="5EAC1A97">
      <w:pPr>
        <w:snapToGrid w:val="0"/>
        <w:spacing w:line="400" w:lineRule="exact"/>
        <w:rPr>
          <w:rFonts w:hint="eastAsia" w:ascii="宋体" w:hAnsi="宋体" w:cs="宋体"/>
          <w:b/>
          <w:color w:val="auto"/>
          <w:spacing w:val="-14"/>
          <w:sz w:val="24"/>
          <w:highlight w:val="none"/>
        </w:rPr>
      </w:pPr>
      <w:r>
        <w:rPr>
          <w:rFonts w:hint="eastAsia" w:ascii="宋体" w:hAnsi="宋体" w:cs="宋体"/>
          <w:b/>
          <w:color w:val="auto"/>
          <w:spacing w:val="-14"/>
          <w:sz w:val="24"/>
          <w:highlight w:val="none"/>
        </w:rPr>
        <w:t>2</w:t>
      </w:r>
      <w:r>
        <w:rPr>
          <w:rFonts w:hint="eastAsia" w:ascii="宋体" w:hAnsi="宋体" w:cs="宋体"/>
          <w:b/>
          <w:color w:val="auto"/>
          <w:spacing w:val="-14"/>
          <w:sz w:val="24"/>
          <w:highlight w:val="none"/>
          <w:lang w:val="en-US" w:eastAsia="zh-CN"/>
        </w:rPr>
        <w:t>.</w:t>
      </w:r>
      <w:r>
        <w:rPr>
          <w:rFonts w:hint="eastAsia" w:ascii="宋体" w:hAnsi="宋体" w:cs="宋体"/>
          <w:b/>
          <w:color w:val="auto"/>
          <w:spacing w:val="-14"/>
          <w:sz w:val="24"/>
          <w:highlight w:val="none"/>
        </w:rPr>
        <w:t>采购服务名称、数量及主要技术规格</w:t>
      </w:r>
      <w:r>
        <w:rPr>
          <w:rFonts w:hint="eastAsia" w:ascii="宋体" w:hAnsi="宋体" w:cs="宋体"/>
          <w:color w:val="auto"/>
          <w:spacing w:val="-14"/>
          <w:sz w:val="24"/>
          <w:highlight w:val="none"/>
        </w:rPr>
        <w:t>：见后</w:t>
      </w:r>
      <w:r>
        <w:rPr>
          <w:rFonts w:hint="eastAsia" w:ascii="宋体" w:hAnsi="宋体" w:cs="宋体"/>
          <w:color w:val="auto"/>
          <w:sz w:val="24"/>
          <w:highlight w:val="none"/>
        </w:rPr>
        <w:t>附“采购标的一览表”。</w:t>
      </w:r>
    </w:p>
    <w:p w14:paraId="151F0285">
      <w:pPr>
        <w:snapToGrid w:val="0"/>
        <w:spacing w:line="400" w:lineRule="exact"/>
        <w:rPr>
          <w:rFonts w:hint="eastAsia" w:ascii="宋体" w:hAnsi="宋体" w:cs="宋体"/>
          <w:color w:val="auto"/>
          <w:sz w:val="24"/>
          <w:highlight w:val="none"/>
        </w:rPr>
      </w:pPr>
      <w:r>
        <w:rPr>
          <w:rFonts w:hint="eastAsia" w:ascii="宋体" w:hAnsi="宋体" w:cs="宋体"/>
          <w:b/>
          <w:color w:val="auto"/>
          <w:spacing w:val="-14"/>
          <w:sz w:val="24"/>
          <w:highlight w:val="none"/>
        </w:rPr>
        <w:t>3</w:t>
      </w:r>
      <w:r>
        <w:rPr>
          <w:rFonts w:hint="eastAsia" w:ascii="宋体" w:hAnsi="宋体" w:cs="宋体"/>
          <w:b/>
          <w:color w:val="auto"/>
          <w:spacing w:val="-14"/>
          <w:sz w:val="24"/>
          <w:highlight w:val="none"/>
          <w:lang w:val="en-US" w:eastAsia="zh-CN"/>
        </w:rPr>
        <w:t>.</w:t>
      </w:r>
      <w:r>
        <w:rPr>
          <w:rFonts w:hint="eastAsia" w:ascii="宋体" w:hAnsi="宋体" w:cs="宋体"/>
          <w:b/>
          <w:color w:val="auto"/>
          <w:spacing w:val="-14"/>
          <w:sz w:val="24"/>
          <w:highlight w:val="none"/>
        </w:rPr>
        <w:t>竞争性磋商文件</w:t>
      </w:r>
      <w:r>
        <w:rPr>
          <w:rFonts w:hint="eastAsia" w:ascii="宋体" w:hAnsi="宋体" w:cs="宋体"/>
          <w:b/>
          <w:color w:val="auto"/>
          <w:sz w:val="24"/>
          <w:highlight w:val="none"/>
        </w:rPr>
        <w:t>报名时间：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6</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01</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21</w:t>
      </w:r>
      <w:r>
        <w:rPr>
          <w:rFonts w:hint="eastAsia" w:ascii="宋体" w:hAnsi="宋体" w:cs="宋体"/>
          <w:color w:val="auto"/>
          <w:sz w:val="24"/>
          <w:highlight w:val="none"/>
          <w:u w:val="single"/>
        </w:rPr>
        <w:t>日至202</w:t>
      </w:r>
      <w:r>
        <w:rPr>
          <w:rFonts w:hint="eastAsia" w:ascii="宋体" w:hAnsi="宋体" w:cs="宋体"/>
          <w:color w:val="auto"/>
          <w:sz w:val="24"/>
          <w:highlight w:val="none"/>
          <w:u w:val="single"/>
          <w:lang w:val="en-US" w:eastAsia="zh-CN"/>
        </w:rPr>
        <w:t>6</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01</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28</w:t>
      </w:r>
      <w:r>
        <w:rPr>
          <w:rFonts w:hint="eastAsia" w:ascii="宋体" w:hAnsi="宋体" w:cs="宋体"/>
          <w:color w:val="auto"/>
          <w:sz w:val="24"/>
          <w:highlight w:val="none"/>
          <w:u w:val="single"/>
        </w:rPr>
        <w:t>日（</w:t>
      </w:r>
      <w:r>
        <w:rPr>
          <w:rFonts w:hint="eastAsia" w:ascii="宋体" w:hAnsi="宋体" w:cs="宋体"/>
          <w:color w:val="auto"/>
          <w:sz w:val="24"/>
          <w:highlight w:val="none"/>
        </w:rPr>
        <w:t>公休、法定节假日除外），每天上午</w:t>
      </w:r>
      <w:r>
        <w:rPr>
          <w:rFonts w:hint="eastAsia" w:ascii="宋体" w:hAnsi="宋体" w:cs="宋体"/>
          <w:color w:val="auto"/>
          <w:sz w:val="24"/>
          <w:highlight w:val="none"/>
          <w:u w:val="single"/>
        </w:rPr>
        <w:t>8:30～12:00</w:t>
      </w:r>
      <w:r>
        <w:rPr>
          <w:rFonts w:hint="eastAsia" w:ascii="宋体" w:hAnsi="宋体" w:cs="宋体"/>
          <w:color w:val="auto"/>
          <w:sz w:val="24"/>
          <w:highlight w:val="none"/>
        </w:rPr>
        <w:t>，下午</w:t>
      </w:r>
      <w:r>
        <w:rPr>
          <w:rFonts w:hint="eastAsia" w:ascii="宋体" w:hAnsi="宋体" w:cs="宋体"/>
          <w:color w:val="auto"/>
          <w:sz w:val="24"/>
          <w:highlight w:val="none"/>
          <w:u w:val="single"/>
        </w:rPr>
        <w:t>14:</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0～</w:t>
      </w:r>
      <w:r>
        <w:rPr>
          <w:rFonts w:hint="eastAsia" w:ascii="宋体" w:hAnsi="宋体" w:cs="宋体"/>
          <w:color w:val="auto"/>
          <w:sz w:val="24"/>
          <w:szCs w:val="24"/>
          <w:highlight w:val="none"/>
          <w:u w:val="single"/>
          <w:lang w:val="en-US" w:eastAsia="zh-CN"/>
        </w:rPr>
        <w:t>17</w:t>
      </w:r>
      <w:r>
        <w:rPr>
          <w:rFonts w:ascii="宋体" w:hAnsi="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30</w:t>
      </w:r>
      <w:r>
        <w:rPr>
          <w:rFonts w:hint="eastAsia" w:ascii="宋体" w:hAnsi="宋体" w:cs="宋体"/>
          <w:color w:val="auto"/>
          <w:sz w:val="24"/>
          <w:highlight w:val="none"/>
          <w:u w:val="single"/>
        </w:rPr>
        <w:t>（北京时间）。</w:t>
      </w:r>
      <w:r>
        <w:rPr>
          <w:rFonts w:hint="eastAsia" w:ascii="宋体" w:hAnsi="宋体" w:cs="宋体"/>
          <w:color w:val="auto"/>
          <w:sz w:val="24"/>
          <w:highlight w:val="none"/>
        </w:rPr>
        <w:t>未购买竞争性磋商文件的潜在供应商无资格参加报价。递交响应文件时供应商名称与报名登记的名称不一致的，须提供工商管理部门出具的单位名称变更证明，否则代理机构将拒绝接收响应文件。</w:t>
      </w:r>
    </w:p>
    <w:p w14:paraId="6D26FD3D">
      <w:pPr>
        <w:snapToGrid w:val="0"/>
        <w:spacing w:line="400" w:lineRule="exact"/>
        <w:rPr>
          <w:rFonts w:hint="eastAsia" w:ascii="宋体" w:hAnsi="宋体" w:cs="宋体"/>
          <w:color w:val="auto"/>
          <w:sz w:val="24"/>
          <w:highlight w:val="none"/>
        </w:rPr>
      </w:pPr>
      <w:r>
        <w:rPr>
          <w:rFonts w:hint="eastAsia" w:ascii="宋体" w:hAnsi="宋体" w:cs="宋体"/>
          <w:b/>
          <w:color w:val="auto"/>
          <w:sz w:val="24"/>
          <w:highlight w:val="none"/>
        </w:rPr>
        <w:t>4</w:t>
      </w:r>
      <w:r>
        <w:rPr>
          <w:rFonts w:hint="eastAsia" w:ascii="宋体" w:hAnsi="宋体" w:cs="宋体"/>
          <w:b/>
          <w:color w:val="auto"/>
          <w:sz w:val="24"/>
          <w:highlight w:val="none"/>
          <w:lang w:val="en-US" w:eastAsia="zh-CN"/>
        </w:rPr>
        <w:t>.</w:t>
      </w:r>
      <w:r>
        <w:rPr>
          <w:rFonts w:hint="eastAsia" w:ascii="宋体" w:hAnsi="宋体" w:cs="宋体"/>
          <w:b/>
          <w:color w:val="auto"/>
          <w:sz w:val="24"/>
          <w:highlight w:val="none"/>
        </w:rPr>
        <w:t>竞争性磋商文件售价：</w:t>
      </w:r>
      <w:r>
        <w:rPr>
          <w:rFonts w:hint="eastAsia" w:ascii="宋体" w:hAnsi="宋体" w:cs="宋体"/>
          <w:color w:val="auto"/>
          <w:kern w:val="0"/>
          <w:sz w:val="24"/>
          <w:szCs w:val="24"/>
          <w:highlight w:val="none"/>
        </w:rPr>
        <w:t>本次竞争性磋商文件（电子版）售价为0元</w:t>
      </w:r>
      <w:r>
        <w:rPr>
          <w:rFonts w:hint="eastAsia" w:ascii="宋体" w:hAnsi="宋体" w:cs="宋体"/>
          <w:color w:val="auto"/>
          <w:sz w:val="24"/>
          <w:szCs w:val="22"/>
          <w:highlight w:val="none"/>
        </w:rPr>
        <w:t>。</w:t>
      </w:r>
    </w:p>
    <w:p w14:paraId="6B570BE7">
      <w:pPr>
        <w:pStyle w:val="301"/>
        <w:widowControl w:val="0"/>
        <w:wordWrap w:val="0"/>
        <w:spacing w:line="400" w:lineRule="exact"/>
        <w:outlineLvl w:val="2"/>
        <w:rPr>
          <w:rFonts w:ascii="宋体" w:hAnsi="宋体" w:cs="宋体"/>
          <w:b/>
          <w:color w:val="auto"/>
          <w:sz w:val="24"/>
          <w:szCs w:val="24"/>
          <w:highlight w:val="none"/>
        </w:rPr>
      </w:pPr>
      <w:r>
        <w:rPr>
          <w:rFonts w:ascii="宋体" w:hAnsi="宋体" w:cs="宋体"/>
          <w:b/>
          <w:color w:val="auto"/>
          <w:sz w:val="24"/>
          <w:szCs w:val="24"/>
          <w:highlight w:val="none"/>
          <w:lang w:eastAsia="zh-CN"/>
        </w:rPr>
        <w:t>5.</w:t>
      </w:r>
      <w:r>
        <w:rPr>
          <w:rFonts w:ascii="宋体" w:hAnsi="宋体" w:cs="宋体"/>
          <w:b/>
          <w:color w:val="auto"/>
          <w:sz w:val="24"/>
          <w:szCs w:val="24"/>
          <w:highlight w:val="none"/>
        </w:rPr>
        <w:t>竞争性磋商文件获取期限：</w:t>
      </w:r>
    </w:p>
    <w:p w14:paraId="061E6CA6">
      <w:pPr>
        <w:pStyle w:val="301"/>
        <w:widowControl w:val="0"/>
        <w:wordWrap w:val="0"/>
        <w:spacing w:line="400" w:lineRule="exact"/>
        <w:rPr>
          <w:rFonts w:ascii="宋体" w:hAnsi="宋体" w:cs="宋体"/>
          <w:color w:val="auto"/>
          <w:sz w:val="24"/>
          <w:szCs w:val="24"/>
          <w:highlight w:val="none"/>
          <w:lang w:eastAsia="zh-CN"/>
        </w:rPr>
      </w:pPr>
      <w:r>
        <w:rPr>
          <w:rFonts w:ascii="宋体" w:hAnsi="宋体" w:cs="宋体"/>
          <w:b/>
          <w:bCs/>
          <w:color w:val="auto"/>
          <w:sz w:val="24"/>
          <w:szCs w:val="24"/>
          <w:highlight w:val="none"/>
          <w:lang w:eastAsia="zh-CN"/>
        </w:rPr>
        <w:t>5.1获取</w:t>
      </w:r>
      <w:r>
        <w:rPr>
          <w:rFonts w:ascii="宋体" w:hAnsi="宋体" w:cs="宋体"/>
          <w:b/>
          <w:bCs/>
          <w:color w:val="auto"/>
          <w:sz w:val="24"/>
          <w:szCs w:val="24"/>
          <w:highlight w:val="none"/>
        </w:rPr>
        <w:t>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6</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01</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21</w:t>
      </w:r>
      <w:r>
        <w:rPr>
          <w:rFonts w:hint="eastAsia" w:ascii="宋体" w:hAnsi="宋体" w:cs="宋体"/>
          <w:color w:val="auto"/>
          <w:sz w:val="24"/>
          <w:highlight w:val="none"/>
          <w:u w:val="single"/>
        </w:rPr>
        <w:t>日至202</w:t>
      </w:r>
      <w:r>
        <w:rPr>
          <w:rFonts w:hint="eastAsia" w:ascii="宋体" w:hAnsi="宋体" w:cs="宋体"/>
          <w:color w:val="auto"/>
          <w:sz w:val="24"/>
          <w:highlight w:val="none"/>
          <w:u w:val="single"/>
          <w:lang w:val="en-US" w:eastAsia="zh-CN"/>
        </w:rPr>
        <w:t>6</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01</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28</w:t>
      </w:r>
      <w:r>
        <w:rPr>
          <w:rFonts w:hint="eastAsia" w:ascii="宋体" w:hAnsi="宋体" w:cs="宋体"/>
          <w:color w:val="auto"/>
          <w:sz w:val="24"/>
          <w:highlight w:val="none"/>
          <w:u w:val="single"/>
        </w:rPr>
        <w:t>日</w:t>
      </w:r>
      <w:r>
        <w:rPr>
          <w:rFonts w:ascii="宋体" w:hAnsi="宋体" w:cs="宋体"/>
          <w:color w:val="auto"/>
          <w:sz w:val="24"/>
          <w:szCs w:val="24"/>
          <w:highlight w:val="none"/>
        </w:rPr>
        <w:t>，每天上午</w:t>
      </w:r>
      <w:r>
        <w:rPr>
          <w:rFonts w:ascii="宋体" w:hAnsi="宋体" w:cs="宋体"/>
          <w:color w:val="auto"/>
          <w:sz w:val="24"/>
          <w:szCs w:val="24"/>
          <w:highlight w:val="none"/>
          <w:lang w:eastAsia="zh-CN"/>
        </w:rPr>
        <w:t>08</w:t>
      </w:r>
      <w:r>
        <w:rPr>
          <w:rFonts w:ascii="宋体" w:hAnsi="宋体" w:cs="宋体"/>
          <w:color w:val="auto"/>
          <w:sz w:val="24"/>
          <w:szCs w:val="24"/>
          <w:highlight w:val="none"/>
        </w:rPr>
        <w:t>:</w:t>
      </w:r>
      <w:r>
        <w:rPr>
          <w:rFonts w:ascii="宋体" w:hAnsi="宋体" w:cs="宋体"/>
          <w:color w:val="auto"/>
          <w:sz w:val="24"/>
          <w:szCs w:val="24"/>
          <w:highlight w:val="none"/>
          <w:lang w:eastAsia="zh-CN"/>
        </w:rPr>
        <w:t>3</w:t>
      </w:r>
      <w:r>
        <w:rPr>
          <w:rFonts w:ascii="宋体" w:hAnsi="宋体" w:cs="宋体"/>
          <w:color w:val="auto"/>
          <w:sz w:val="24"/>
          <w:szCs w:val="24"/>
          <w:highlight w:val="none"/>
        </w:rPr>
        <w:t>0:00至12:00:00，下午</w:t>
      </w:r>
      <w:r>
        <w:rPr>
          <w:rFonts w:ascii="宋体" w:hAnsi="宋体" w:cs="宋体"/>
          <w:color w:val="auto"/>
          <w:sz w:val="24"/>
          <w:szCs w:val="24"/>
          <w:highlight w:val="none"/>
          <w:lang w:eastAsia="zh-CN"/>
        </w:rPr>
        <w:t>14</w:t>
      </w:r>
      <w:r>
        <w:rPr>
          <w:rFonts w:ascii="宋体" w:hAnsi="宋体" w:cs="宋体"/>
          <w:color w:val="auto"/>
          <w:sz w:val="24"/>
          <w:szCs w:val="24"/>
          <w:highlight w:val="none"/>
        </w:rPr>
        <w:t>:</w:t>
      </w:r>
      <w:r>
        <w:rPr>
          <w:rFonts w:hint="eastAsia" w:ascii="宋体" w:hAnsi="宋体" w:cs="宋体"/>
          <w:color w:val="auto"/>
          <w:sz w:val="24"/>
          <w:szCs w:val="24"/>
          <w:highlight w:val="none"/>
          <w:lang w:val="en-US" w:eastAsia="zh-CN"/>
        </w:rPr>
        <w:t>3</w:t>
      </w:r>
      <w:r>
        <w:rPr>
          <w:rFonts w:ascii="宋体" w:hAnsi="宋体" w:cs="宋体"/>
          <w:color w:val="auto"/>
          <w:sz w:val="24"/>
          <w:szCs w:val="24"/>
          <w:highlight w:val="none"/>
        </w:rPr>
        <w:t>0:00至</w:t>
      </w:r>
      <w:r>
        <w:rPr>
          <w:rFonts w:hint="eastAsia" w:ascii="宋体" w:hAnsi="宋体" w:cs="宋体"/>
          <w:color w:val="auto"/>
          <w:sz w:val="24"/>
          <w:szCs w:val="24"/>
          <w:highlight w:val="none"/>
          <w:lang w:val="en-US" w:eastAsia="zh-CN"/>
        </w:rPr>
        <w:t>17</w:t>
      </w:r>
      <w:r>
        <w:rPr>
          <w:rFonts w:ascii="宋体" w:hAnsi="宋体" w:cs="宋体"/>
          <w:color w:val="auto"/>
          <w:sz w:val="24"/>
          <w:szCs w:val="24"/>
          <w:highlight w:val="none"/>
        </w:rPr>
        <w:t>:</w:t>
      </w:r>
      <w:r>
        <w:rPr>
          <w:rFonts w:hint="eastAsia" w:ascii="宋体" w:hAnsi="宋体" w:cs="宋体"/>
          <w:color w:val="auto"/>
          <w:sz w:val="24"/>
          <w:szCs w:val="24"/>
          <w:highlight w:val="none"/>
          <w:lang w:val="en-US" w:eastAsia="zh-CN"/>
        </w:rPr>
        <w:t>30</w:t>
      </w:r>
      <w:r>
        <w:rPr>
          <w:rFonts w:ascii="宋体" w:hAnsi="宋体" w:cs="宋体"/>
          <w:color w:val="auto"/>
          <w:sz w:val="24"/>
          <w:szCs w:val="24"/>
          <w:highlight w:val="none"/>
        </w:rPr>
        <w:t>:</w:t>
      </w:r>
      <w:r>
        <w:rPr>
          <w:rFonts w:ascii="宋体" w:hAnsi="宋体" w:cs="宋体"/>
          <w:color w:val="auto"/>
          <w:sz w:val="24"/>
          <w:szCs w:val="24"/>
          <w:highlight w:val="none"/>
          <w:lang w:eastAsia="zh-CN"/>
        </w:rPr>
        <w:t>00</w:t>
      </w:r>
      <w:r>
        <w:rPr>
          <w:rFonts w:ascii="宋体" w:hAnsi="宋体" w:cs="宋体"/>
          <w:color w:val="auto"/>
          <w:sz w:val="24"/>
          <w:szCs w:val="24"/>
          <w:highlight w:val="none"/>
        </w:rPr>
        <w:t>（北京时间，法定节假日除外）</w:t>
      </w:r>
      <w:r>
        <w:rPr>
          <w:rFonts w:ascii="宋体" w:hAnsi="宋体" w:cs="宋体"/>
          <w:color w:val="auto"/>
          <w:sz w:val="24"/>
          <w:szCs w:val="24"/>
          <w:highlight w:val="none"/>
          <w:lang w:eastAsia="zh-CN"/>
        </w:rPr>
        <w:t>。</w:t>
      </w:r>
    </w:p>
    <w:p w14:paraId="78695A11">
      <w:pPr>
        <w:pStyle w:val="301"/>
        <w:widowControl w:val="0"/>
        <w:wordWrap w:val="0"/>
        <w:spacing w:line="400" w:lineRule="exact"/>
        <w:rPr>
          <w:rFonts w:hint="default" w:ascii="宋体" w:hAnsi="宋体" w:cs="宋体"/>
          <w:color w:val="auto"/>
          <w:sz w:val="24"/>
          <w:szCs w:val="24"/>
          <w:highlight w:val="none"/>
        </w:rPr>
      </w:pPr>
      <w:r>
        <w:rPr>
          <w:rFonts w:ascii="宋体" w:hAnsi="宋体" w:cs="宋体"/>
          <w:color w:val="auto"/>
          <w:sz w:val="24"/>
          <w:szCs w:val="24"/>
          <w:highlight w:val="none"/>
          <w:lang w:eastAsia="zh-CN"/>
        </w:rPr>
        <w:t>5.2获取方式：</w:t>
      </w:r>
      <w:r>
        <w:rPr>
          <w:rFonts w:ascii="宋体" w:hAnsi="宋体" w:cs="宋体"/>
          <w:color w:val="auto"/>
          <w:sz w:val="24"/>
          <w:szCs w:val="24"/>
          <w:highlight w:val="none"/>
        </w:rPr>
        <w:t>进入福建优胜招标项目管理集团有限公司官网（http://www.fjyszb.com/）注册，线上报名获取文件。</w:t>
      </w:r>
    </w:p>
    <w:p w14:paraId="1EEB510B">
      <w:pPr>
        <w:tabs>
          <w:tab w:val="left" w:pos="142"/>
          <w:tab w:val="left" w:pos="284"/>
          <w:tab w:val="left" w:pos="426"/>
        </w:tabs>
        <w:snapToGrid w:val="0"/>
        <w:spacing w:line="400" w:lineRule="exact"/>
        <w:rPr>
          <w:rFonts w:hint="eastAsia" w:ascii="宋体" w:hAnsi="宋体" w:cs="宋体"/>
          <w:color w:val="auto"/>
          <w:sz w:val="24"/>
          <w:highlight w:val="none"/>
          <w:u w:val="single"/>
        </w:rPr>
      </w:pPr>
      <w:r>
        <w:rPr>
          <w:rFonts w:hint="eastAsia" w:ascii="宋体" w:hAnsi="宋体" w:cs="宋体"/>
          <w:color w:val="auto"/>
          <w:sz w:val="24"/>
          <w:szCs w:val="24"/>
          <w:highlight w:val="none"/>
        </w:rPr>
        <w:t>注：未按以上规定获取竞争性磋商文件的其报价响应将被拒绝。如果采购过程中有发出更正公告，</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将根据实际情况确定是否延长文件获取期限，则文件获取截止时间以更正公告中的约定为准。</w:t>
      </w:r>
    </w:p>
    <w:p w14:paraId="6A2FD3E2">
      <w:pPr>
        <w:snapToGrid w:val="0"/>
        <w:spacing w:line="400" w:lineRule="exact"/>
        <w:rPr>
          <w:rFonts w:hint="eastAsia" w:ascii="宋体" w:hAnsi="宋体" w:cs="宋体"/>
          <w:color w:val="auto"/>
          <w:sz w:val="24"/>
          <w:highlight w:val="none"/>
        </w:rPr>
      </w:pPr>
      <w:r>
        <w:rPr>
          <w:rFonts w:hint="eastAsia" w:ascii="宋体" w:hAnsi="宋体" w:cs="宋体"/>
          <w:b/>
          <w:color w:val="auto"/>
          <w:sz w:val="24"/>
          <w:highlight w:val="none"/>
        </w:rPr>
        <w:t>6</w:t>
      </w:r>
      <w:r>
        <w:rPr>
          <w:rFonts w:hint="eastAsia" w:ascii="宋体" w:hAnsi="宋体" w:cs="宋体"/>
          <w:b/>
          <w:color w:val="auto"/>
          <w:sz w:val="24"/>
          <w:highlight w:val="none"/>
          <w:lang w:val="en-US" w:eastAsia="zh-CN"/>
        </w:rPr>
        <w:t>.</w:t>
      </w:r>
      <w:r>
        <w:rPr>
          <w:rFonts w:hint="eastAsia" w:ascii="宋体" w:hAnsi="宋体" w:cs="宋体"/>
          <w:b/>
          <w:color w:val="auto"/>
          <w:sz w:val="24"/>
          <w:szCs w:val="24"/>
          <w:highlight w:val="none"/>
        </w:rPr>
        <w:t>首次</w:t>
      </w:r>
      <w:r>
        <w:rPr>
          <w:rFonts w:hint="eastAsia" w:ascii="宋体" w:hAnsi="宋体" w:cs="宋体"/>
          <w:b/>
          <w:color w:val="auto"/>
          <w:sz w:val="24"/>
          <w:highlight w:val="none"/>
        </w:rPr>
        <w:t>响应文件递交截止时间：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6</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02</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03</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30</w:t>
      </w:r>
      <w:r>
        <w:rPr>
          <w:rFonts w:hint="eastAsia" w:ascii="宋体" w:hAnsi="宋体" w:cs="宋体"/>
          <w:b/>
          <w:bCs/>
          <w:color w:val="auto"/>
          <w:sz w:val="24"/>
          <w:highlight w:val="none"/>
          <w:u w:val="single"/>
        </w:rPr>
        <w:t>（北京时间）</w:t>
      </w:r>
      <w:r>
        <w:rPr>
          <w:rFonts w:hint="eastAsia" w:ascii="宋体" w:hAnsi="宋体" w:cs="宋体"/>
          <w:color w:val="auto"/>
          <w:sz w:val="24"/>
          <w:highlight w:val="none"/>
          <w:u w:val="none"/>
        </w:rPr>
        <w:t>。</w:t>
      </w:r>
      <w:r>
        <w:rPr>
          <w:rFonts w:hint="eastAsia" w:ascii="宋体" w:hAnsi="宋体" w:cs="宋体"/>
          <w:color w:val="auto"/>
          <w:sz w:val="24"/>
          <w:highlight w:val="none"/>
        </w:rPr>
        <w:t>供应商应在此之前将密封的响应文件送达，逾期送达的或不符合规定的响应文件将被拒绝接受。</w:t>
      </w:r>
    </w:p>
    <w:p w14:paraId="651C76E9">
      <w:pPr>
        <w:snapToGrid w:val="0"/>
        <w:spacing w:line="400" w:lineRule="exact"/>
        <w:rPr>
          <w:rFonts w:hint="eastAsia" w:ascii="宋体" w:hAnsi="宋体" w:cs="宋体"/>
          <w:b/>
          <w:color w:val="auto"/>
          <w:sz w:val="24"/>
          <w:highlight w:val="none"/>
        </w:rPr>
      </w:pPr>
      <w:r>
        <w:rPr>
          <w:rFonts w:hint="eastAsia" w:ascii="宋体" w:hAnsi="宋体" w:cs="宋体"/>
          <w:b/>
          <w:color w:val="auto"/>
          <w:sz w:val="24"/>
          <w:highlight w:val="none"/>
        </w:rPr>
        <w:t>7</w:t>
      </w:r>
      <w:r>
        <w:rPr>
          <w:rFonts w:hint="eastAsia" w:ascii="宋体" w:hAnsi="宋体" w:cs="宋体"/>
          <w:b/>
          <w:color w:val="auto"/>
          <w:sz w:val="24"/>
          <w:highlight w:val="none"/>
          <w:lang w:val="en-US" w:eastAsia="zh-CN"/>
        </w:rPr>
        <w:t>.</w:t>
      </w:r>
      <w:r>
        <w:rPr>
          <w:rFonts w:hint="eastAsia" w:ascii="宋体" w:hAnsi="宋体" w:cs="宋体"/>
          <w:b/>
          <w:color w:val="auto"/>
          <w:sz w:val="24"/>
          <w:highlight w:val="none"/>
        </w:rPr>
        <w:t>磋商</w:t>
      </w:r>
      <w:r>
        <w:rPr>
          <w:rFonts w:hint="eastAsia" w:ascii="宋体" w:hAnsi="宋体" w:cs="宋体"/>
          <w:b/>
          <w:color w:val="auto"/>
          <w:sz w:val="24"/>
          <w:highlight w:val="none"/>
          <w:lang w:val="en-US" w:eastAsia="zh-CN"/>
        </w:rPr>
        <w:t>截止</w:t>
      </w:r>
      <w:r>
        <w:rPr>
          <w:rFonts w:hint="eastAsia" w:ascii="宋体" w:hAnsi="宋体" w:cs="宋体"/>
          <w:b/>
          <w:color w:val="auto"/>
          <w:sz w:val="24"/>
          <w:highlight w:val="none"/>
        </w:rPr>
        <w:t>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6</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02</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03</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30</w:t>
      </w:r>
      <w:r>
        <w:rPr>
          <w:rFonts w:hint="eastAsia" w:ascii="宋体" w:hAnsi="宋体" w:cs="宋体"/>
          <w:b/>
          <w:bCs/>
          <w:color w:val="auto"/>
          <w:sz w:val="24"/>
          <w:highlight w:val="none"/>
          <w:u w:val="single"/>
        </w:rPr>
        <w:t>（北京时间）</w:t>
      </w:r>
      <w:r>
        <w:rPr>
          <w:rFonts w:hint="eastAsia" w:ascii="宋体" w:hAnsi="宋体" w:cs="宋体"/>
          <w:color w:val="auto"/>
          <w:sz w:val="24"/>
          <w:highlight w:val="none"/>
          <w:u w:val="none"/>
        </w:rPr>
        <w:t>。</w:t>
      </w:r>
    </w:p>
    <w:p w14:paraId="5CA28DC7">
      <w:pPr>
        <w:snapToGrid w:val="0"/>
        <w:spacing w:line="400" w:lineRule="exact"/>
        <w:rPr>
          <w:rFonts w:hint="eastAsia" w:ascii="宋体" w:hAnsi="宋体" w:cs="宋体"/>
          <w:color w:val="auto"/>
          <w:sz w:val="24"/>
          <w:highlight w:val="none"/>
        </w:rPr>
      </w:pPr>
      <w:r>
        <w:rPr>
          <w:rFonts w:hint="eastAsia" w:ascii="宋体" w:hAnsi="宋体" w:cs="宋体"/>
          <w:b/>
          <w:color w:val="auto"/>
          <w:sz w:val="24"/>
          <w:highlight w:val="none"/>
        </w:rPr>
        <w:t>8</w:t>
      </w:r>
      <w:r>
        <w:rPr>
          <w:rFonts w:hint="eastAsia" w:ascii="宋体" w:hAnsi="宋体" w:cs="宋体"/>
          <w:b/>
          <w:color w:val="auto"/>
          <w:sz w:val="24"/>
          <w:highlight w:val="none"/>
          <w:lang w:val="en-US" w:eastAsia="zh-CN"/>
        </w:rPr>
        <w:t>.</w:t>
      </w:r>
      <w:r>
        <w:rPr>
          <w:rFonts w:hint="eastAsia" w:ascii="宋体" w:hAnsi="宋体" w:cs="宋体"/>
          <w:b/>
          <w:color w:val="auto"/>
          <w:sz w:val="24"/>
          <w:highlight w:val="none"/>
        </w:rPr>
        <w:t>响应文件递交地点：</w:t>
      </w:r>
      <w:r>
        <w:rPr>
          <w:rFonts w:hint="eastAsia" w:ascii="宋体" w:hAnsi="宋体" w:cs="宋体"/>
          <w:b/>
          <w:color w:val="auto"/>
          <w:sz w:val="24"/>
          <w:szCs w:val="24"/>
          <w:highlight w:val="none"/>
          <w:u w:val="single"/>
          <w:lang w:eastAsia="zh-CN"/>
        </w:rPr>
        <w:t>福州市鼓楼区福三路20号华润万象城一期S2#楼4层</w:t>
      </w:r>
      <w:r>
        <w:rPr>
          <w:rFonts w:hint="eastAsia" w:ascii="宋体" w:hAnsi="宋体" w:cs="宋体"/>
          <w:color w:val="auto"/>
          <w:sz w:val="24"/>
          <w:highlight w:val="none"/>
        </w:rPr>
        <w:t>。</w:t>
      </w:r>
    </w:p>
    <w:p w14:paraId="2CB25F5D">
      <w:pPr>
        <w:snapToGrid w:val="0"/>
        <w:spacing w:line="400" w:lineRule="exact"/>
        <w:rPr>
          <w:rFonts w:hint="eastAsia" w:ascii="宋体" w:hAnsi="宋体" w:cs="宋体"/>
          <w:bCs/>
          <w:color w:val="auto"/>
          <w:sz w:val="24"/>
        </w:rPr>
      </w:pPr>
      <w:r>
        <w:rPr>
          <w:rFonts w:hint="eastAsia" w:ascii="宋体" w:hAnsi="宋体" w:cs="宋体"/>
          <w:color w:val="auto"/>
          <w:sz w:val="24"/>
          <w:highlight w:val="none"/>
        </w:rPr>
        <w:t>9</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供应商对本次采购活动事项提出疑问的，应在报名竞争性磋商文件之日起7个工作日内及国家规定的时限前，按照规定的格式，将问题以书面形式与</w:t>
      </w:r>
      <w:r>
        <w:rPr>
          <w:rFonts w:hint="eastAsia" w:ascii="宋体" w:hAnsi="宋体" w:cs="宋体"/>
          <w:color w:val="auto"/>
          <w:sz w:val="24"/>
        </w:rPr>
        <w:t>本采购代理机构联系（逾期或不按规定格式呈送的将不予受理）。</w:t>
      </w:r>
    </w:p>
    <w:p w14:paraId="70D45D07">
      <w:pPr>
        <w:snapToGrid w:val="0"/>
        <w:spacing w:line="400" w:lineRule="exact"/>
        <w:rPr>
          <w:rFonts w:hint="eastAsia" w:ascii="宋体" w:hAnsi="宋体" w:cs="宋体"/>
          <w:color w:val="auto"/>
          <w:sz w:val="24"/>
        </w:rPr>
      </w:pPr>
      <w:r>
        <w:rPr>
          <w:rFonts w:hint="eastAsia" w:ascii="宋体" w:hAnsi="宋体" w:cs="宋体"/>
          <w:color w:val="auto"/>
          <w:sz w:val="24"/>
        </w:rPr>
        <w:t>10</w:t>
      </w:r>
      <w:r>
        <w:rPr>
          <w:rFonts w:hint="eastAsia" w:ascii="宋体" w:hAnsi="宋体" w:cs="宋体"/>
          <w:color w:val="auto"/>
          <w:sz w:val="24"/>
          <w:lang w:val="en-US" w:eastAsia="zh-CN"/>
        </w:rPr>
        <w:t>.</w:t>
      </w:r>
      <w:r>
        <w:rPr>
          <w:rFonts w:hint="eastAsia" w:ascii="宋体" w:hAnsi="宋体" w:cs="宋体"/>
          <w:color w:val="auto"/>
          <w:sz w:val="24"/>
        </w:rPr>
        <w:t>以上如有变更，我公司将通过下列媒体通知，请各潜在供应商及时关注：</w:t>
      </w:r>
    </w:p>
    <w:p w14:paraId="2D176EBC">
      <w:pPr>
        <w:numPr>
          <w:ilvl w:val="1"/>
          <w:numId w:val="9"/>
        </w:numPr>
        <w:snapToGrid w:val="0"/>
        <w:spacing w:line="400" w:lineRule="exact"/>
        <w:rPr>
          <w:rFonts w:hint="eastAsia" w:ascii="宋体" w:hAnsi="宋体" w:cs="宋体"/>
          <w:color w:val="auto"/>
          <w:sz w:val="24"/>
        </w:rPr>
      </w:pPr>
      <w:r>
        <w:rPr>
          <w:rFonts w:hint="eastAsia" w:ascii="宋体" w:hAnsi="宋体" w:cs="宋体"/>
          <w:color w:val="auto"/>
          <w:sz w:val="24"/>
        </w:rPr>
        <w:t>福建省国资</w:t>
      </w:r>
      <w:r>
        <w:rPr>
          <w:rFonts w:hint="eastAsia" w:ascii="宋体" w:hAnsi="宋体" w:cs="宋体"/>
          <w:color w:val="auto"/>
          <w:sz w:val="24"/>
          <w:lang w:eastAsia="zh-CN"/>
        </w:rPr>
        <w:t>采购</w:t>
      </w:r>
      <w:r>
        <w:rPr>
          <w:rFonts w:hint="eastAsia" w:ascii="宋体" w:hAnsi="宋体" w:cs="宋体"/>
          <w:color w:val="auto"/>
          <w:sz w:val="24"/>
        </w:rPr>
        <w:t>平台：</w:t>
      </w:r>
      <w:r>
        <w:rPr>
          <w:rStyle w:val="57"/>
          <w:rFonts w:hint="eastAsia" w:ascii="宋体" w:hAnsi="宋体" w:cs="宋体"/>
          <w:color w:val="auto"/>
          <w:sz w:val="24"/>
        </w:rPr>
        <w:t>https://ygcg.fjcqjy.com/</w:t>
      </w:r>
    </w:p>
    <w:p w14:paraId="6DE42168">
      <w:pPr>
        <w:numPr>
          <w:ilvl w:val="1"/>
          <w:numId w:val="9"/>
        </w:numPr>
        <w:snapToGrid w:val="0"/>
        <w:spacing w:line="400" w:lineRule="exact"/>
        <w:rPr>
          <w:rFonts w:hint="eastAsia" w:ascii="宋体" w:hAnsi="宋体" w:cs="宋体"/>
          <w:color w:val="auto"/>
        </w:rPr>
      </w:pPr>
      <w:r>
        <w:rPr>
          <w:rFonts w:ascii="宋体" w:hAnsi="宋体" w:cs="宋体"/>
          <w:bCs/>
          <w:color w:val="auto"/>
          <w:sz w:val="24"/>
          <w:szCs w:val="24"/>
        </w:rPr>
        <w:t>福建优胜招标项目管理集团有限公司</w:t>
      </w:r>
      <w:r>
        <w:rPr>
          <w:rFonts w:hint="eastAsia" w:ascii="宋体" w:hAnsi="宋体" w:cs="宋体"/>
          <w:color w:val="auto"/>
          <w:sz w:val="24"/>
        </w:rPr>
        <w:t>：</w:t>
      </w:r>
      <w:r>
        <w:rPr>
          <w:rFonts w:ascii="宋体" w:hAnsi="宋体" w:cs="宋体"/>
          <w:bCs/>
          <w:color w:val="auto"/>
          <w:sz w:val="24"/>
          <w:szCs w:val="24"/>
        </w:rPr>
        <w:t>http://www.fjyszb.com</w:t>
      </w:r>
    </w:p>
    <w:p w14:paraId="77A4B822">
      <w:pPr>
        <w:snapToGrid w:val="0"/>
        <w:spacing w:line="400" w:lineRule="exact"/>
        <w:rPr>
          <w:rFonts w:hint="eastAsia" w:ascii="宋体" w:hAnsi="宋体" w:cs="宋体"/>
          <w:color w:val="auto"/>
          <w:sz w:val="24"/>
          <w:szCs w:val="24"/>
        </w:rPr>
      </w:pPr>
      <w:r>
        <w:rPr>
          <w:rFonts w:hint="eastAsia" w:ascii="宋体" w:hAnsi="宋体" w:cs="宋体"/>
          <w:color w:val="auto"/>
          <w:sz w:val="24"/>
          <w:szCs w:val="24"/>
        </w:rPr>
        <w:t>11</w:t>
      </w:r>
      <w:r>
        <w:rPr>
          <w:rFonts w:hint="eastAsia" w:ascii="宋体" w:hAnsi="宋体" w:cs="宋体"/>
          <w:color w:val="auto"/>
          <w:sz w:val="24"/>
          <w:szCs w:val="24"/>
          <w:lang w:val="en-US" w:eastAsia="zh-CN"/>
        </w:rPr>
        <w:t>.</w:t>
      </w:r>
      <w:r>
        <w:rPr>
          <w:rFonts w:hint="eastAsia" w:ascii="宋体" w:hAnsi="宋体" w:cs="宋体"/>
          <w:color w:val="auto"/>
          <w:sz w:val="24"/>
          <w:szCs w:val="24"/>
        </w:rPr>
        <w:t>相关联系人及联系方式</w:t>
      </w:r>
    </w:p>
    <w:p w14:paraId="3AD290EA">
      <w:pPr>
        <w:snapToGrid w:val="0"/>
        <w:spacing w:line="400" w:lineRule="exact"/>
        <w:ind w:firstLine="480"/>
        <w:rPr>
          <w:rFonts w:hint="eastAsia" w:ascii="宋体" w:hAnsi="宋体" w:cs="宋体"/>
          <w:color w:val="auto"/>
          <w:sz w:val="24"/>
          <w:szCs w:val="24"/>
        </w:rPr>
      </w:pPr>
      <w:r>
        <w:rPr>
          <w:rFonts w:hint="eastAsia" w:ascii="宋体" w:hAnsi="宋体" w:cs="宋体"/>
          <w:color w:val="auto"/>
          <w:sz w:val="24"/>
          <w:szCs w:val="24"/>
        </w:rPr>
        <w:t>代理机构：福建优胜招标项目管理集团有限公司</w:t>
      </w:r>
    </w:p>
    <w:p w14:paraId="1818AA31">
      <w:pPr>
        <w:snapToGrid w:val="0"/>
        <w:spacing w:line="400" w:lineRule="exact"/>
        <w:ind w:firstLine="480"/>
        <w:rPr>
          <w:rFonts w:hint="eastAsia" w:ascii="宋体" w:hAnsi="宋体" w:cs="宋体"/>
          <w:color w:val="auto"/>
          <w:sz w:val="24"/>
          <w:szCs w:val="24"/>
        </w:rPr>
      </w:pPr>
      <w:r>
        <w:rPr>
          <w:rFonts w:hint="eastAsia" w:ascii="宋体" w:hAnsi="宋体" w:cs="宋体"/>
          <w:color w:val="auto"/>
          <w:sz w:val="24"/>
          <w:szCs w:val="24"/>
        </w:rPr>
        <w:t>地址：福州市鼓楼区华润万象城一期S2号四层</w:t>
      </w:r>
    </w:p>
    <w:p w14:paraId="73D757A6">
      <w:pPr>
        <w:snapToGrid w:val="0"/>
        <w:spacing w:line="400" w:lineRule="exact"/>
        <w:ind w:firstLine="480"/>
        <w:rPr>
          <w:rFonts w:hint="eastAsia" w:ascii="宋体" w:hAnsi="宋体" w:eastAsia="宋体" w:cs="宋体"/>
          <w:color w:val="auto"/>
          <w:sz w:val="24"/>
          <w:szCs w:val="24"/>
          <w:lang w:eastAsia="zh-CN"/>
        </w:rPr>
      </w:pPr>
      <w:r>
        <w:rPr>
          <w:rFonts w:hint="eastAsia" w:ascii="宋体" w:hAnsi="宋体" w:cs="宋体"/>
          <w:color w:val="auto"/>
          <w:sz w:val="24"/>
          <w:szCs w:val="24"/>
        </w:rPr>
        <w:t>联系人：林榕华、周翔、马光锦</w:t>
      </w:r>
    </w:p>
    <w:p w14:paraId="48032363">
      <w:pPr>
        <w:snapToGrid w:val="0"/>
        <w:spacing w:line="400" w:lineRule="exact"/>
        <w:ind w:firstLine="480"/>
        <w:rPr>
          <w:rFonts w:hint="eastAsia" w:ascii="宋体" w:hAnsi="宋体" w:cs="宋体"/>
          <w:color w:val="auto"/>
          <w:sz w:val="24"/>
        </w:rPr>
      </w:pPr>
      <w:r>
        <w:rPr>
          <w:rFonts w:hint="eastAsia" w:ascii="宋体" w:hAnsi="宋体" w:cs="宋体"/>
          <w:color w:val="auto"/>
          <w:sz w:val="24"/>
          <w:szCs w:val="24"/>
        </w:rPr>
        <w:t>联系电话：0591-87679372、876793</w:t>
      </w:r>
      <w:r>
        <w:rPr>
          <w:rFonts w:hint="eastAsia" w:ascii="宋体" w:hAnsi="宋体" w:cs="宋体"/>
          <w:color w:val="auto"/>
          <w:sz w:val="24"/>
          <w:szCs w:val="24"/>
          <w:lang w:val="en-US" w:eastAsia="zh-CN"/>
        </w:rPr>
        <w:t>5</w:t>
      </w:r>
      <w:r>
        <w:rPr>
          <w:rFonts w:hint="eastAsia" w:ascii="宋体" w:hAnsi="宋体" w:cs="宋体"/>
          <w:color w:val="auto"/>
          <w:sz w:val="24"/>
          <w:szCs w:val="24"/>
        </w:rPr>
        <w:t>2</w:t>
      </w:r>
    </w:p>
    <w:p w14:paraId="5B6C4A4D">
      <w:pPr>
        <w:pStyle w:val="301"/>
        <w:widowControl w:val="0"/>
        <w:wordWrap w:val="0"/>
        <w:spacing w:line="400" w:lineRule="exact"/>
        <w:rPr>
          <w:rFonts w:ascii="宋体" w:hAnsi="宋体" w:cs="宋体"/>
          <w:color w:val="auto"/>
          <w:sz w:val="24"/>
          <w:szCs w:val="24"/>
        </w:rPr>
      </w:pPr>
      <w:r>
        <w:rPr>
          <w:rFonts w:ascii="宋体" w:hAnsi="宋体" w:cs="宋体"/>
          <w:b/>
          <w:color w:val="auto"/>
          <w:sz w:val="24"/>
          <w:szCs w:val="24"/>
        </w:rPr>
        <w:t>附1：提交磋商保证金</w:t>
      </w:r>
      <w:r>
        <w:rPr>
          <w:rFonts w:ascii="宋体" w:hAnsi="宋体" w:cs="宋体"/>
          <w:b/>
          <w:color w:val="auto"/>
          <w:sz w:val="24"/>
          <w:szCs w:val="24"/>
          <w:lang w:eastAsia="zh-CN"/>
        </w:rPr>
        <w:t>及代理服务费</w:t>
      </w:r>
      <w:r>
        <w:rPr>
          <w:rFonts w:ascii="宋体" w:hAnsi="宋体" w:cs="宋体"/>
          <w:b/>
          <w:color w:val="auto"/>
          <w:sz w:val="24"/>
          <w:szCs w:val="24"/>
        </w:rPr>
        <w:t>的银行账户信息</w:t>
      </w:r>
    </w:p>
    <w:tbl>
      <w:tblPr>
        <w:tblStyle w:val="4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20"/>
      </w:tblGrid>
      <w:tr w14:paraId="3C4689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443" w:hRule="atLeast"/>
        </w:trPr>
        <w:tc>
          <w:tcPr>
            <w:tcW w:w="9220" w:type="dxa"/>
            <w:noWrap w:val="0"/>
            <w:vAlign w:val="top"/>
          </w:tcPr>
          <w:p w14:paraId="5ED601AA">
            <w:pPr>
              <w:pStyle w:val="301"/>
              <w:keepNext w:val="0"/>
              <w:keepLines w:val="0"/>
              <w:widowControl w:val="0"/>
              <w:suppressLineNumbers w:val="0"/>
              <w:wordWrap w:val="0"/>
              <w:spacing w:before="0" w:beforeAutospacing="0" w:after="0" w:afterAutospacing="0" w:line="440" w:lineRule="exact"/>
              <w:ind w:left="0" w:right="0"/>
              <w:jc w:val="center"/>
              <w:rPr>
                <w:rFonts w:ascii="宋体" w:hAnsi="宋体" w:cs="宋体"/>
                <w:color w:val="auto"/>
                <w:sz w:val="24"/>
                <w:szCs w:val="24"/>
              </w:rPr>
            </w:pPr>
            <w:r>
              <w:rPr>
                <w:rFonts w:ascii="宋体" w:hAnsi="宋体" w:cs="宋体"/>
                <w:b/>
                <w:color w:val="auto"/>
                <w:sz w:val="24"/>
                <w:szCs w:val="24"/>
              </w:rPr>
              <w:t>银行账户</w:t>
            </w:r>
          </w:p>
        </w:tc>
      </w:tr>
      <w:tr w14:paraId="68A3EE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3" w:hRule="atLeast"/>
        </w:trPr>
        <w:tc>
          <w:tcPr>
            <w:tcW w:w="9220" w:type="dxa"/>
            <w:noWrap w:val="0"/>
            <w:vAlign w:val="top"/>
          </w:tcPr>
          <w:p w14:paraId="7173274E">
            <w:pPr>
              <w:pStyle w:val="301"/>
              <w:keepNext w:val="0"/>
              <w:keepLines w:val="0"/>
              <w:widowControl w:val="0"/>
              <w:suppressLineNumbers w:val="0"/>
              <w:wordWrap w:val="0"/>
              <w:spacing w:before="0" w:beforeAutospacing="0" w:after="0" w:afterAutospacing="0" w:line="440" w:lineRule="exact"/>
              <w:ind w:left="0" w:right="0"/>
              <w:rPr>
                <w:rFonts w:ascii="宋体" w:hAnsi="宋体" w:cs="宋体"/>
                <w:bCs/>
                <w:color w:val="auto"/>
                <w:sz w:val="24"/>
                <w:szCs w:val="24"/>
              </w:rPr>
            </w:pPr>
            <w:r>
              <w:rPr>
                <w:rFonts w:ascii="宋体" w:hAnsi="宋体" w:cs="宋体"/>
                <w:bCs/>
                <w:color w:val="auto"/>
                <w:sz w:val="24"/>
                <w:szCs w:val="24"/>
              </w:rPr>
              <w:t>开户名称：福建优胜招标项目管理集团有限公司</w:t>
            </w:r>
          </w:p>
          <w:p w14:paraId="5DE9CBCF">
            <w:pPr>
              <w:pStyle w:val="301"/>
              <w:keepNext w:val="0"/>
              <w:keepLines w:val="0"/>
              <w:widowControl w:val="0"/>
              <w:suppressLineNumbers w:val="0"/>
              <w:wordWrap w:val="0"/>
              <w:spacing w:before="0" w:beforeAutospacing="0" w:after="0" w:afterAutospacing="0" w:line="440" w:lineRule="exact"/>
              <w:ind w:left="0" w:right="0"/>
              <w:rPr>
                <w:rFonts w:ascii="宋体" w:hAnsi="宋体" w:cs="宋体"/>
                <w:bCs/>
                <w:color w:val="auto"/>
                <w:sz w:val="24"/>
                <w:szCs w:val="24"/>
              </w:rPr>
            </w:pPr>
            <w:r>
              <w:rPr>
                <w:rFonts w:ascii="宋体" w:hAnsi="宋体" w:cs="宋体"/>
                <w:bCs/>
                <w:color w:val="auto"/>
                <w:sz w:val="24"/>
                <w:szCs w:val="24"/>
              </w:rPr>
              <w:t>开户银行：兴业银行福州华林支行</w:t>
            </w:r>
          </w:p>
          <w:p w14:paraId="08E11ED2">
            <w:pPr>
              <w:pStyle w:val="301"/>
              <w:keepNext w:val="0"/>
              <w:keepLines w:val="0"/>
              <w:widowControl w:val="0"/>
              <w:suppressLineNumbers w:val="0"/>
              <w:wordWrap w:val="0"/>
              <w:spacing w:before="0" w:beforeAutospacing="0" w:after="0" w:afterAutospacing="0" w:line="440" w:lineRule="exact"/>
              <w:ind w:left="0" w:right="0"/>
              <w:rPr>
                <w:rFonts w:ascii="宋体" w:hAnsi="宋体" w:cs="宋体"/>
                <w:color w:val="auto"/>
                <w:sz w:val="24"/>
                <w:szCs w:val="24"/>
              </w:rPr>
            </w:pPr>
            <w:r>
              <w:rPr>
                <w:rFonts w:ascii="宋体" w:hAnsi="宋体" w:cs="宋体"/>
                <w:bCs/>
                <w:color w:val="auto"/>
                <w:sz w:val="24"/>
                <w:szCs w:val="24"/>
              </w:rPr>
              <w:t>账    号：11713 01001 000 37952</w:t>
            </w:r>
          </w:p>
        </w:tc>
      </w:tr>
      <w:tr w14:paraId="6E9A50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3" w:hRule="atLeast"/>
        </w:trPr>
        <w:tc>
          <w:tcPr>
            <w:tcW w:w="9220" w:type="dxa"/>
            <w:noWrap w:val="0"/>
            <w:vAlign w:val="top"/>
          </w:tcPr>
          <w:p w14:paraId="5FEBE3A1">
            <w:pPr>
              <w:pStyle w:val="301"/>
              <w:keepNext w:val="0"/>
              <w:keepLines w:val="0"/>
              <w:widowControl w:val="0"/>
              <w:suppressLineNumbers w:val="0"/>
              <w:wordWrap w:val="0"/>
              <w:spacing w:before="0" w:beforeAutospacing="0" w:after="0" w:afterAutospacing="0" w:line="440" w:lineRule="exact"/>
              <w:ind w:left="0" w:right="0"/>
              <w:jc w:val="center"/>
              <w:rPr>
                <w:rFonts w:ascii="宋体" w:hAnsi="宋体" w:cs="宋体"/>
                <w:color w:val="auto"/>
                <w:sz w:val="24"/>
                <w:szCs w:val="24"/>
              </w:rPr>
            </w:pPr>
            <w:r>
              <w:rPr>
                <w:rFonts w:ascii="宋体" w:hAnsi="宋体" w:cs="宋体"/>
                <w:b/>
                <w:color w:val="auto"/>
                <w:sz w:val="24"/>
                <w:szCs w:val="24"/>
              </w:rPr>
              <w:t>特别提示</w:t>
            </w:r>
          </w:p>
        </w:tc>
      </w:tr>
      <w:tr w14:paraId="7C2194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762" w:hRule="atLeast"/>
        </w:trPr>
        <w:tc>
          <w:tcPr>
            <w:tcW w:w="9220" w:type="dxa"/>
            <w:noWrap w:val="0"/>
            <w:vAlign w:val="top"/>
          </w:tcPr>
          <w:p w14:paraId="7CB6F681">
            <w:pPr>
              <w:pStyle w:val="301"/>
              <w:keepNext w:val="0"/>
              <w:keepLines w:val="0"/>
              <w:widowControl w:val="0"/>
              <w:suppressLineNumbers w:val="0"/>
              <w:wordWrap w:val="0"/>
              <w:spacing w:before="0" w:beforeAutospacing="0" w:after="0" w:afterAutospacing="0" w:line="440" w:lineRule="exact"/>
              <w:ind w:left="0" w:right="0"/>
              <w:rPr>
                <w:rFonts w:ascii="宋体" w:hAnsi="宋体" w:cs="宋体"/>
                <w:bCs/>
                <w:color w:val="auto"/>
                <w:sz w:val="24"/>
                <w:szCs w:val="24"/>
              </w:rPr>
            </w:pPr>
            <w:r>
              <w:rPr>
                <w:rFonts w:ascii="宋体" w:hAnsi="宋体" w:cs="宋体"/>
                <w:bCs/>
                <w:color w:val="auto"/>
                <w:sz w:val="24"/>
                <w:szCs w:val="24"/>
              </w:rPr>
              <w:t>1</w:t>
            </w:r>
            <w:r>
              <w:rPr>
                <w:rFonts w:hint="eastAsia" w:ascii="宋体" w:hAnsi="宋体" w:cs="宋体"/>
                <w:bCs/>
                <w:color w:val="auto"/>
                <w:sz w:val="24"/>
                <w:szCs w:val="24"/>
                <w:lang w:val="en-US" w:eastAsia="zh-CN"/>
              </w:rPr>
              <w:t>.</w:t>
            </w:r>
            <w:r>
              <w:rPr>
                <w:rFonts w:ascii="宋体" w:hAnsi="宋体" w:cs="宋体"/>
                <w:bCs/>
                <w:color w:val="auto"/>
                <w:sz w:val="24"/>
                <w:szCs w:val="24"/>
              </w:rPr>
              <w:t>请供应商务必认真核对账户信息，将磋商保证金</w:t>
            </w:r>
            <w:r>
              <w:rPr>
                <w:rFonts w:ascii="宋体" w:hAnsi="宋体" w:cs="宋体"/>
                <w:bCs/>
                <w:color w:val="auto"/>
                <w:sz w:val="24"/>
                <w:szCs w:val="24"/>
                <w:lang w:eastAsia="zh-CN"/>
              </w:rPr>
              <w:t>或代理服务费</w:t>
            </w:r>
            <w:r>
              <w:rPr>
                <w:rFonts w:ascii="宋体" w:hAnsi="宋体" w:cs="宋体"/>
                <w:bCs/>
                <w:color w:val="auto"/>
                <w:sz w:val="24"/>
                <w:szCs w:val="24"/>
              </w:rPr>
              <w:t>款项汇入对应账户，并自行承担因款项汇错而产生的一切后果。</w:t>
            </w:r>
          </w:p>
          <w:p w14:paraId="575F0381">
            <w:pPr>
              <w:pStyle w:val="301"/>
              <w:keepNext w:val="0"/>
              <w:keepLines w:val="0"/>
              <w:widowControl w:val="0"/>
              <w:suppressLineNumbers w:val="0"/>
              <w:wordWrap w:val="0"/>
              <w:spacing w:before="0" w:beforeAutospacing="0" w:after="0" w:afterAutospacing="0" w:line="440" w:lineRule="exact"/>
              <w:ind w:left="0" w:right="0"/>
              <w:rPr>
                <w:rFonts w:ascii="宋体" w:hAnsi="宋体" w:cs="宋体"/>
                <w:bCs/>
                <w:color w:val="auto"/>
                <w:sz w:val="24"/>
                <w:szCs w:val="24"/>
              </w:rPr>
            </w:pPr>
            <w:r>
              <w:rPr>
                <w:rFonts w:ascii="宋体" w:hAnsi="宋体" w:cs="宋体"/>
                <w:bCs/>
                <w:color w:val="auto"/>
                <w:sz w:val="24"/>
                <w:szCs w:val="24"/>
              </w:rPr>
              <w:t>2</w:t>
            </w:r>
            <w:r>
              <w:rPr>
                <w:rFonts w:hint="eastAsia" w:ascii="宋体" w:hAnsi="宋体" w:cs="宋体"/>
                <w:bCs/>
                <w:color w:val="auto"/>
                <w:sz w:val="24"/>
                <w:szCs w:val="24"/>
                <w:lang w:val="en-US" w:eastAsia="zh-CN"/>
              </w:rPr>
              <w:t>.</w:t>
            </w:r>
            <w:r>
              <w:rPr>
                <w:rFonts w:ascii="宋体" w:hAnsi="宋体" w:cs="宋体"/>
                <w:bCs/>
                <w:color w:val="auto"/>
                <w:sz w:val="24"/>
                <w:szCs w:val="24"/>
              </w:rPr>
              <w:t>请供应商在转账或电汇的凭证上务必按照以下格式注明，以便核对：“（项目编号：***、</w:t>
            </w:r>
            <w:r>
              <w:rPr>
                <w:rFonts w:hint="eastAsia" w:ascii="宋体" w:hAnsi="宋体" w:cs="宋体"/>
                <w:bCs/>
                <w:color w:val="auto"/>
                <w:sz w:val="24"/>
                <w:szCs w:val="24"/>
                <w:lang w:eastAsia="zh-CN"/>
              </w:rPr>
              <w:t>合同包</w:t>
            </w:r>
            <w:r>
              <w:rPr>
                <w:rFonts w:ascii="宋体" w:hAnsi="宋体" w:cs="宋体"/>
                <w:bCs/>
                <w:color w:val="auto"/>
                <w:sz w:val="24"/>
                <w:szCs w:val="24"/>
              </w:rPr>
              <w:t>：***）”。</w:t>
            </w:r>
          </w:p>
          <w:p w14:paraId="33B0A31F">
            <w:pPr>
              <w:pStyle w:val="301"/>
              <w:keepNext w:val="0"/>
              <w:keepLines w:val="0"/>
              <w:widowControl w:val="0"/>
              <w:suppressLineNumbers w:val="0"/>
              <w:wordWrap w:val="0"/>
              <w:spacing w:before="0" w:beforeAutospacing="0" w:after="0" w:afterAutospacing="0" w:line="440" w:lineRule="exact"/>
              <w:ind w:left="0" w:right="0"/>
              <w:rPr>
                <w:rFonts w:ascii="宋体" w:hAnsi="宋体" w:cs="宋体"/>
                <w:b/>
                <w:color w:val="auto"/>
                <w:sz w:val="24"/>
                <w:szCs w:val="24"/>
                <w:lang w:eastAsia="zh-CN"/>
              </w:rPr>
            </w:pPr>
            <w:r>
              <w:rPr>
                <w:rFonts w:ascii="宋体" w:hAnsi="宋体" w:cs="宋体"/>
                <w:bCs/>
                <w:color w:val="auto"/>
                <w:sz w:val="24"/>
                <w:szCs w:val="24"/>
                <w:lang w:eastAsia="zh-CN"/>
              </w:rPr>
              <w:t>3</w:t>
            </w:r>
            <w:r>
              <w:rPr>
                <w:rFonts w:hint="eastAsia" w:ascii="宋体" w:hAnsi="宋体" w:cs="宋体"/>
                <w:bCs/>
                <w:color w:val="auto"/>
                <w:sz w:val="24"/>
                <w:szCs w:val="24"/>
                <w:lang w:val="en-US" w:eastAsia="zh-CN"/>
              </w:rPr>
              <w:t>.</w:t>
            </w:r>
            <w:r>
              <w:rPr>
                <w:rFonts w:ascii="宋体" w:hAnsi="宋体" w:cs="宋体"/>
                <w:bCs/>
                <w:color w:val="auto"/>
                <w:sz w:val="24"/>
                <w:szCs w:val="24"/>
              </w:rPr>
              <w:t>若投多个</w:t>
            </w:r>
            <w:r>
              <w:rPr>
                <w:rFonts w:hint="eastAsia" w:ascii="宋体" w:hAnsi="宋体" w:cs="宋体"/>
                <w:bCs/>
                <w:color w:val="auto"/>
                <w:sz w:val="24"/>
                <w:szCs w:val="24"/>
                <w:lang w:eastAsia="zh-CN"/>
              </w:rPr>
              <w:t>合同包</w:t>
            </w:r>
            <w:r>
              <w:rPr>
                <w:rFonts w:ascii="宋体" w:hAnsi="宋体" w:cs="宋体"/>
                <w:bCs/>
                <w:color w:val="auto"/>
                <w:sz w:val="24"/>
                <w:szCs w:val="24"/>
                <w:lang w:eastAsia="zh-CN"/>
              </w:rPr>
              <w:t>的，</w:t>
            </w:r>
            <w:r>
              <w:rPr>
                <w:rFonts w:ascii="宋体" w:hAnsi="宋体" w:cs="宋体"/>
                <w:bCs/>
                <w:color w:val="auto"/>
                <w:sz w:val="24"/>
                <w:szCs w:val="24"/>
              </w:rPr>
              <w:t>请</w:t>
            </w:r>
            <w:r>
              <w:rPr>
                <w:rFonts w:ascii="宋体" w:hAnsi="宋体" w:cs="宋体"/>
                <w:bCs/>
                <w:color w:val="auto"/>
                <w:sz w:val="24"/>
                <w:szCs w:val="24"/>
                <w:lang w:eastAsia="zh-CN"/>
              </w:rPr>
              <w:t>供应商</w:t>
            </w:r>
            <w:r>
              <w:rPr>
                <w:rFonts w:ascii="宋体" w:hAnsi="宋体" w:cs="宋体"/>
                <w:bCs/>
                <w:color w:val="auto"/>
                <w:sz w:val="24"/>
                <w:szCs w:val="24"/>
              </w:rPr>
              <w:t>分别根据所投</w:t>
            </w:r>
            <w:r>
              <w:rPr>
                <w:rFonts w:hint="eastAsia" w:ascii="宋体" w:hAnsi="宋体" w:cs="宋体"/>
                <w:bCs/>
                <w:color w:val="auto"/>
                <w:sz w:val="24"/>
                <w:szCs w:val="24"/>
                <w:lang w:eastAsia="zh-CN"/>
              </w:rPr>
              <w:t>合同包</w:t>
            </w:r>
            <w:r>
              <w:rPr>
                <w:rFonts w:ascii="宋体" w:hAnsi="宋体" w:cs="宋体"/>
                <w:bCs/>
                <w:color w:val="auto"/>
                <w:sz w:val="24"/>
                <w:szCs w:val="24"/>
              </w:rPr>
              <w:t>的要求，进行缴交。</w:t>
            </w:r>
          </w:p>
        </w:tc>
      </w:tr>
    </w:tbl>
    <w:p w14:paraId="24F36F98">
      <w:pPr>
        <w:spacing w:line="360" w:lineRule="auto"/>
        <w:ind w:firstLine="480" w:firstLineChars="200"/>
        <w:rPr>
          <w:rFonts w:hint="eastAsia" w:ascii="宋体" w:hAnsi="宋体" w:cs="宋体"/>
          <w:color w:val="auto"/>
          <w:sz w:val="24"/>
          <w:u w:val="single"/>
        </w:rPr>
      </w:pPr>
    </w:p>
    <w:p w14:paraId="5794DFD8">
      <w:pPr>
        <w:snapToGrid w:val="0"/>
        <w:spacing w:line="360" w:lineRule="auto"/>
        <w:rPr>
          <w:rFonts w:hint="eastAsia" w:ascii="宋体" w:hAnsi="宋体" w:cs="宋体"/>
          <w:color w:val="auto"/>
        </w:rPr>
        <w:sectPr>
          <w:footerReference r:id="rId5" w:type="default"/>
          <w:pgSz w:w="11907" w:h="16840"/>
          <w:pgMar w:top="1440" w:right="1080" w:bottom="1440" w:left="1080" w:header="851" w:footer="992" w:gutter="0"/>
          <w:cols w:space="720" w:num="1"/>
          <w:docGrid w:linePitch="312" w:charSpace="0"/>
        </w:sectPr>
      </w:pPr>
    </w:p>
    <w:p w14:paraId="78570C1E">
      <w:pPr>
        <w:pStyle w:val="27"/>
        <w:snapToGrid w:val="0"/>
        <w:spacing w:line="360" w:lineRule="auto"/>
        <w:outlineLvl w:val="0"/>
        <w:rPr>
          <w:rFonts w:hint="eastAsia" w:hAnsi="宋体" w:cs="宋体"/>
          <w:b/>
          <w:color w:val="auto"/>
          <w:sz w:val="28"/>
        </w:rPr>
      </w:pPr>
      <w:bookmarkStart w:id="5" w:name="_Toc27849"/>
      <w:bookmarkStart w:id="6" w:name="_Toc23068_WPSOffice_Level2"/>
      <w:bookmarkStart w:id="7" w:name="_Toc24037_WPSOffice_Level2"/>
      <w:r>
        <w:rPr>
          <w:rFonts w:hint="eastAsia" w:hAnsi="宋体" w:cs="宋体"/>
          <w:b/>
          <w:color w:val="auto"/>
          <w:sz w:val="28"/>
        </w:rPr>
        <w:t>附：</w:t>
      </w:r>
      <w:bookmarkEnd w:id="5"/>
      <w:bookmarkEnd w:id="6"/>
      <w:bookmarkEnd w:id="7"/>
      <w:r>
        <w:rPr>
          <w:rFonts w:hint="eastAsia" w:hAnsi="宋体" w:cs="宋体"/>
          <w:b/>
          <w:color w:val="auto"/>
          <w:sz w:val="28"/>
        </w:rPr>
        <w:t xml:space="preserve">             </w:t>
      </w:r>
      <w:bookmarkStart w:id="8" w:name="招标货物（服务）一览表"/>
      <w:bookmarkEnd w:id="8"/>
      <w:r>
        <w:rPr>
          <w:rFonts w:hint="eastAsia" w:hAnsi="宋体" w:cs="宋体"/>
          <w:b/>
          <w:color w:val="auto"/>
          <w:sz w:val="28"/>
        </w:rPr>
        <w:t xml:space="preserve"> </w:t>
      </w:r>
    </w:p>
    <w:p w14:paraId="7BF4EE35">
      <w:pPr>
        <w:pStyle w:val="27"/>
        <w:snapToGrid w:val="0"/>
        <w:spacing w:line="360" w:lineRule="auto"/>
        <w:jc w:val="center"/>
        <w:outlineLvl w:val="0"/>
        <w:rPr>
          <w:rFonts w:hint="eastAsia" w:hAnsi="宋体" w:cs="宋体"/>
          <w:b/>
          <w:color w:val="auto"/>
          <w:sz w:val="28"/>
        </w:rPr>
      </w:pPr>
      <w:bookmarkStart w:id="9" w:name="_Toc23242_WPSOffice_Level3"/>
      <w:bookmarkStart w:id="10" w:name="_Toc17992_WPSOffice_Level3"/>
      <w:bookmarkStart w:id="11" w:name="_Toc13975"/>
      <w:r>
        <w:rPr>
          <w:rFonts w:hint="eastAsia" w:hAnsi="宋体" w:cs="宋体"/>
          <w:b/>
          <w:color w:val="auto"/>
          <w:sz w:val="28"/>
        </w:rPr>
        <w:t>采购标的一览表</w:t>
      </w:r>
      <w:bookmarkEnd w:id="9"/>
      <w:bookmarkEnd w:id="10"/>
      <w:bookmarkEnd w:id="11"/>
    </w:p>
    <w:p w14:paraId="265B2760">
      <w:pPr>
        <w:pStyle w:val="255"/>
        <w:ind w:firstLine="2040"/>
        <w:jc w:val="center"/>
        <w:rPr>
          <w:rFonts w:hint="eastAsia" w:ascii="宋体" w:hAnsi="宋体" w:cs="宋体"/>
          <w:color w:val="auto"/>
          <w:sz w:val="24"/>
        </w:rPr>
      </w:pPr>
      <w:r>
        <w:rPr>
          <w:rFonts w:hint="eastAsia" w:ascii="宋体" w:hAnsi="宋体" w:cs="宋体"/>
          <w:color w:val="auto"/>
          <w:sz w:val="24"/>
        </w:rPr>
        <w:t xml:space="preserve">                                       金额单位：人民币元</w:t>
      </w:r>
    </w:p>
    <w:tbl>
      <w:tblPr>
        <w:tblStyle w:val="49"/>
        <w:tblW w:w="5037"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955"/>
        <w:gridCol w:w="864"/>
        <w:gridCol w:w="3057"/>
        <w:gridCol w:w="1077"/>
        <w:gridCol w:w="1218"/>
        <w:gridCol w:w="1332"/>
        <w:gridCol w:w="1332"/>
      </w:tblGrid>
      <w:tr w14:paraId="70A6D1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05" w:hRule="atLeast"/>
          <w:tblHeader/>
          <w:jc w:val="center"/>
        </w:trPr>
        <w:tc>
          <w:tcPr>
            <w:tcW w:w="485" w:type="pct"/>
            <w:tcBorders>
              <w:top w:val="outset" w:color="auto" w:sz="6" w:space="0"/>
              <w:left w:val="outset" w:color="auto" w:sz="6" w:space="0"/>
              <w:bottom w:val="outset" w:color="auto" w:sz="6" w:space="0"/>
              <w:right w:val="outset" w:color="auto" w:sz="6" w:space="0"/>
            </w:tcBorders>
            <w:noWrap w:val="0"/>
            <w:vAlign w:val="center"/>
          </w:tcPr>
          <w:p w14:paraId="12B28BB3">
            <w:pPr>
              <w:keepNext w:val="0"/>
              <w:keepLines w:val="0"/>
              <w:widowControl/>
              <w:suppressLineNumbers w:val="0"/>
              <w:spacing w:before="0" w:beforeAutospacing="0" w:after="0" w:afterAutospacing="0"/>
              <w:ind w:left="0" w:right="0"/>
              <w:jc w:val="center"/>
              <w:rPr>
                <w:rFonts w:hint="eastAsia" w:ascii="宋体" w:hAnsi="宋体" w:cs="宋体"/>
                <w:color w:val="auto"/>
                <w:szCs w:val="20"/>
              </w:rPr>
            </w:pPr>
            <w:r>
              <w:rPr>
                <w:rFonts w:hint="eastAsia" w:ascii="宋体" w:hAnsi="宋体" w:cs="宋体"/>
                <w:color w:val="auto"/>
                <w:kern w:val="0"/>
                <w:sz w:val="24"/>
                <w:szCs w:val="20"/>
                <w:lang w:bidi="ar"/>
              </w:rPr>
              <w:t>合同包</w:t>
            </w:r>
          </w:p>
        </w:tc>
        <w:tc>
          <w:tcPr>
            <w:tcW w:w="439" w:type="pct"/>
            <w:tcBorders>
              <w:top w:val="outset" w:color="auto" w:sz="6" w:space="0"/>
              <w:left w:val="outset" w:color="auto" w:sz="6" w:space="0"/>
              <w:bottom w:val="outset" w:color="auto" w:sz="6" w:space="0"/>
              <w:right w:val="outset" w:color="auto" w:sz="6" w:space="0"/>
            </w:tcBorders>
            <w:noWrap w:val="0"/>
            <w:vAlign w:val="center"/>
          </w:tcPr>
          <w:p w14:paraId="10527BE2">
            <w:pPr>
              <w:keepNext w:val="0"/>
              <w:keepLines w:val="0"/>
              <w:widowControl/>
              <w:suppressLineNumbers w:val="0"/>
              <w:spacing w:before="0" w:beforeAutospacing="0" w:after="0" w:afterAutospacing="0"/>
              <w:ind w:left="0" w:right="0"/>
              <w:jc w:val="center"/>
              <w:rPr>
                <w:rFonts w:hint="eastAsia" w:ascii="宋体" w:hAnsi="宋体" w:cs="宋体"/>
                <w:color w:val="auto"/>
                <w:szCs w:val="20"/>
              </w:rPr>
            </w:pPr>
            <w:r>
              <w:rPr>
                <w:rFonts w:hint="eastAsia" w:ascii="宋体" w:hAnsi="宋体" w:cs="宋体"/>
                <w:color w:val="auto"/>
                <w:kern w:val="0"/>
                <w:sz w:val="24"/>
                <w:szCs w:val="20"/>
                <w:lang w:bidi="ar"/>
              </w:rPr>
              <w:t>品目号</w:t>
            </w:r>
          </w:p>
        </w:tc>
        <w:tc>
          <w:tcPr>
            <w:tcW w:w="1553" w:type="pct"/>
            <w:tcBorders>
              <w:top w:val="outset" w:color="auto" w:sz="6" w:space="0"/>
              <w:left w:val="outset" w:color="auto" w:sz="6" w:space="0"/>
              <w:bottom w:val="outset" w:color="auto" w:sz="6" w:space="0"/>
              <w:right w:val="outset" w:color="auto" w:sz="6" w:space="0"/>
            </w:tcBorders>
            <w:noWrap w:val="0"/>
            <w:vAlign w:val="center"/>
          </w:tcPr>
          <w:p w14:paraId="4848D0FB">
            <w:pPr>
              <w:keepNext w:val="0"/>
              <w:keepLines w:val="0"/>
              <w:widowControl/>
              <w:suppressLineNumbers w:val="0"/>
              <w:spacing w:before="0" w:beforeAutospacing="0" w:after="0" w:afterAutospacing="0"/>
              <w:ind w:left="0" w:right="0"/>
              <w:jc w:val="center"/>
              <w:rPr>
                <w:rFonts w:hint="eastAsia" w:ascii="宋体" w:hAnsi="宋体" w:cs="宋体"/>
                <w:color w:val="auto"/>
                <w:szCs w:val="20"/>
              </w:rPr>
            </w:pPr>
            <w:r>
              <w:rPr>
                <w:rFonts w:hint="eastAsia" w:ascii="宋体" w:hAnsi="宋体" w:cs="宋体"/>
                <w:color w:val="auto"/>
                <w:kern w:val="0"/>
                <w:sz w:val="24"/>
                <w:szCs w:val="20"/>
                <w:lang w:bidi="ar"/>
              </w:rPr>
              <w:t>采购标的</w:t>
            </w:r>
          </w:p>
        </w:tc>
        <w:tc>
          <w:tcPr>
            <w:tcW w:w="547" w:type="pct"/>
            <w:tcBorders>
              <w:top w:val="outset" w:color="auto" w:sz="6" w:space="0"/>
              <w:left w:val="outset" w:color="auto" w:sz="6" w:space="0"/>
              <w:bottom w:val="outset" w:color="auto" w:sz="6" w:space="0"/>
              <w:right w:val="outset" w:color="auto" w:sz="6" w:space="0"/>
            </w:tcBorders>
            <w:noWrap w:val="0"/>
            <w:vAlign w:val="center"/>
          </w:tcPr>
          <w:p w14:paraId="09A7EE67">
            <w:pPr>
              <w:keepNext w:val="0"/>
              <w:keepLines w:val="0"/>
              <w:widowControl/>
              <w:suppressLineNumbers w:val="0"/>
              <w:spacing w:before="0" w:beforeAutospacing="0" w:after="0" w:afterAutospacing="0"/>
              <w:ind w:left="0" w:right="0"/>
              <w:jc w:val="center"/>
              <w:rPr>
                <w:rFonts w:hint="default" w:ascii="宋体" w:hAnsi="宋体" w:eastAsia="宋体" w:cs="宋体"/>
                <w:color w:val="auto"/>
                <w:szCs w:val="20"/>
                <w:lang w:val="en-US" w:eastAsia="zh-CN"/>
              </w:rPr>
            </w:pPr>
            <w:r>
              <w:rPr>
                <w:rFonts w:hint="eastAsia" w:ascii="宋体" w:hAnsi="宋体" w:cs="宋体"/>
                <w:color w:val="auto"/>
                <w:kern w:val="0"/>
                <w:sz w:val="24"/>
                <w:szCs w:val="20"/>
                <w:lang w:val="en-US" w:eastAsia="zh-CN" w:bidi="ar"/>
              </w:rPr>
              <w:t>数量</w:t>
            </w:r>
          </w:p>
        </w:tc>
        <w:tc>
          <w:tcPr>
            <w:tcW w:w="619" w:type="pct"/>
            <w:tcBorders>
              <w:top w:val="outset" w:color="auto" w:sz="6" w:space="0"/>
              <w:left w:val="outset" w:color="auto" w:sz="6" w:space="0"/>
              <w:bottom w:val="outset" w:color="auto" w:sz="6" w:space="0"/>
              <w:right w:val="outset" w:color="auto" w:sz="6" w:space="0"/>
            </w:tcBorders>
            <w:noWrap w:val="0"/>
            <w:vAlign w:val="center"/>
          </w:tcPr>
          <w:p w14:paraId="5AC9AE42">
            <w:pPr>
              <w:keepNext w:val="0"/>
              <w:keepLines w:val="0"/>
              <w:widowControl/>
              <w:suppressLineNumbers w:val="0"/>
              <w:spacing w:before="0" w:beforeAutospacing="0" w:after="0" w:afterAutospacing="0"/>
              <w:ind w:left="0" w:right="0"/>
              <w:jc w:val="center"/>
              <w:rPr>
                <w:rFonts w:hint="eastAsia" w:ascii="宋体" w:hAnsi="宋体" w:cs="宋体"/>
                <w:color w:val="auto"/>
                <w:sz w:val="24"/>
                <w:szCs w:val="20"/>
              </w:rPr>
            </w:pPr>
            <w:r>
              <w:rPr>
                <w:rFonts w:hint="eastAsia" w:ascii="宋体" w:hAnsi="宋体" w:cs="宋体"/>
                <w:color w:val="auto"/>
                <w:sz w:val="24"/>
                <w:szCs w:val="20"/>
              </w:rPr>
              <w:t>最高限价</w:t>
            </w:r>
          </w:p>
          <w:p w14:paraId="7F5569FC">
            <w:pPr>
              <w:keepNext w:val="0"/>
              <w:keepLines w:val="0"/>
              <w:widowControl/>
              <w:suppressLineNumbers w:val="0"/>
              <w:spacing w:before="0" w:beforeAutospacing="0" w:after="0" w:afterAutospacing="0"/>
              <w:ind w:left="0" w:right="0"/>
              <w:jc w:val="center"/>
              <w:rPr>
                <w:rFonts w:hint="eastAsia" w:ascii="宋体" w:hAnsi="宋体" w:eastAsia="宋体" w:cs="宋体"/>
                <w:color w:val="auto"/>
                <w:szCs w:val="20"/>
                <w:lang w:eastAsia="zh-CN"/>
              </w:rPr>
            </w:pPr>
            <w:r>
              <w:rPr>
                <w:rFonts w:hint="eastAsia" w:ascii="宋体" w:hAnsi="宋体" w:cs="宋体"/>
                <w:color w:val="auto"/>
                <w:sz w:val="24"/>
                <w:szCs w:val="20"/>
                <w:lang w:eastAsia="zh-CN"/>
              </w:rPr>
              <w:t>（</w:t>
            </w:r>
            <w:r>
              <w:rPr>
                <w:rFonts w:hint="eastAsia" w:ascii="宋体" w:hAnsi="宋体" w:cs="宋体"/>
                <w:color w:val="auto"/>
                <w:sz w:val="24"/>
                <w:szCs w:val="20"/>
                <w:lang w:val="en-US" w:eastAsia="zh-CN"/>
              </w:rPr>
              <w:t>预算价</w:t>
            </w:r>
            <w:r>
              <w:rPr>
                <w:rFonts w:hint="eastAsia" w:ascii="宋体" w:hAnsi="宋体" w:cs="宋体"/>
                <w:color w:val="auto"/>
                <w:sz w:val="24"/>
                <w:szCs w:val="20"/>
                <w:lang w:eastAsia="zh-CN"/>
              </w:rPr>
              <w:t>）</w:t>
            </w:r>
          </w:p>
        </w:tc>
        <w:tc>
          <w:tcPr>
            <w:tcW w:w="677" w:type="pct"/>
            <w:tcBorders>
              <w:top w:val="outset" w:color="auto" w:sz="6" w:space="0"/>
              <w:left w:val="outset" w:color="auto" w:sz="6" w:space="0"/>
              <w:bottom w:val="outset" w:color="auto" w:sz="6" w:space="0"/>
              <w:right w:val="outset" w:color="auto" w:sz="6" w:space="0"/>
            </w:tcBorders>
            <w:noWrap w:val="0"/>
            <w:vAlign w:val="center"/>
          </w:tcPr>
          <w:p w14:paraId="1E7BFE44">
            <w:pPr>
              <w:keepNext w:val="0"/>
              <w:keepLines w:val="0"/>
              <w:widowControl/>
              <w:suppressLineNumbers w:val="0"/>
              <w:spacing w:before="0" w:beforeAutospacing="0" w:after="0" w:afterAutospacing="0"/>
              <w:ind w:left="0" w:right="0"/>
              <w:jc w:val="center"/>
              <w:rPr>
                <w:rFonts w:hint="eastAsia" w:ascii="宋体" w:hAnsi="宋体" w:cs="宋体"/>
                <w:color w:val="auto"/>
                <w:szCs w:val="20"/>
              </w:rPr>
            </w:pPr>
            <w:r>
              <w:rPr>
                <w:rFonts w:hint="eastAsia" w:ascii="宋体" w:hAnsi="宋体" w:cs="宋体"/>
                <w:color w:val="auto"/>
                <w:kern w:val="0"/>
                <w:sz w:val="24"/>
                <w:szCs w:val="20"/>
                <w:lang w:bidi="ar"/>
              </w:rPr>
              <w:t>磋商保证金</w:t>
            </w:r>
          </w:p>
        </w:tc>
        <w:tc>
          <w:tcPr>
            <w:tcW w:w="677" w:type="pct"/>
            <w:tcBorders>
              <w:top w:val="outset" w:color="auto" w:sz="6" w:space="0"/>
              <w:left w:val="outset" w:color="auto" w:sz="6" w:space="0"/>
              <w:bottom w:val="outset" w:color="auto" w:sz="6" w:space="0"/>
              <w:right w:val="outset" w:color="auto" w:sz="6" w:space="0"/>
            </w:tcBorders>
            <w:noWrap w:val="0"/>
            <w:vAlign w:val="center"/>
          </w:tcPr>
          <w:p w14:paraId="50495DC0">
            <w:pPr>
              <w:keepNext w:val="0"/>
              <w:keepLines w:val="0"/>
              <w:widowControl/>
              <w:suppressLineNumbers w:val="0"/>
              <w:spacing w:before="0" w:beforeAutospacing="0" w:after="0" w:afterAutospacing="0"/>
              <w:ind w:left="0" w:right="0"/>
              <w:jc w:val="center"/>
              <w:rPr>
                <w:rFonts w:hint="eastAsia" w:ascii="宋体" w:hAnsi="宋体" w:cs="宋体"/>
                <w:color w:val="auto"/>
                <w:kern w:val="0"/>
                <w:sz w:val="24"/>
                <w:szCs w:val="20"/>
                <w:lang w:bidi="ar"/>
              </w:rPr>
            </w:pPr>
            <w:r>
              <w:rPr>
                <w:rFonts w:hint="eastAsia" w:ascii="宋体" w:hAnsi="宋体" w:cs="宋体"/>
                <w:color w:val="auto"/>
                <w:kern w:val="0"/>
                <w:sz w:val="24"/>
                <w:szCs w:val="20"/>
                <w:lang w:bidi="ar"/>
              </w:rPr>
              <w:t>品目编码及品目名称</w:t>
            </w:r>
          </w:p>
        </w:tc>
      </w:tr>
      <w:tr w14:paraId="703F37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6" w:hRule="atLeast"/>
          <w:tblHeader/>
          <w:jc w:val="center"/>
        </w:trPr>
        <w:tc>
          <w:tcPr>
            <w:tcW w:w="485" w:type="pct"/>
            <w:vMerge w:val="restart"/>
            <w:tcBorders>
              <w:top w:val="outset" w:color="auto" w:sz="6" w:space="0"/>
              <w:left w:val="outset" w:color="auto" w:sz="6" w:space="0"/>
              <w:right w:val="outset" w:color="auto" w:sz="6" w:space="0"/>
            </w:tcBorders>
            <w:noWrap w:val="0"/>
            <w:vAlign w:val="center"/>
          </w:tcPr>
          <w:p w14:paraId="18264A91">
            <w:pPr>
              <w:keepNext w:val="0"/>
              <w:keepLines w:val="0"/>
              <w:widowControl/>
              <w:suppressLineNumbers w:val="0"/>
              <w:spacing w:before="0" w:beforeAutospacing="0" w:after="0" w:afterAutospacing="0"/>
              <w:ind w:left="0" w:right="0"/>
              <w:jc w:val="center"/>
              <w:rPr>
                <w:rFonts w:hint="eastAsia" w:ascii="宋体" w:hAnsi="宋体" w:cs="宋体"/>
                <w:color w:val="auto"/>
                <w:kern w:val="0"/>
                <w:sz w:val="24"/>
                <w:szCs w:val="20"/>
                <w:lang w:bidi="ar"/>
              </w:rPr>
            </w:pPr>
            <w:r>
              <w:rPr>
                <w:rFonts w:hint="eastAsia" w:ascii="宋体" w:hAnsi="宋体" w:cs="宋体"/>
                <w:color w:val="auto"/>
                <w:kern w:val="0"/>
                <w:sz w:val="24"/>
                <w:szCs w:val="20"/>
                <w:lang w:bidi="ar"/>
              </w:rPr>
              <w:t>1</w:t>
            </w:r>
          </w:p>
        </w:tc>
        <w:tc>
          <w:tcPr>
            <w:tcW w:w="439" w:type="pct"/>
            <w:tcBorders>
              <w:top w:val="outset" w:color="auto" w:sz="6" w:space="0"/>
              <w:left w:val="outset" w:color="auto" w:sz="6" w:space="0"/>
              <w:bottom w:val="outset" w:color="auto" w:sz="6" w:space="0"/>
              <w:right w:val="outset" w:color="auto" w:sz="6" w:space="0"/>
            </w:tcBorders>
            <w:noWrap w:val="0"/>
            <w:vAlign w:val="center"/>
          </w:tcPr>
          <w:p w14:paraId="2C46DE47">
            <w:pPr>
              <w:keepNext w:val="0"/>
              <w:keepLines w:val="0"/>
              <w:widowControl/>
              <w:suppressLineNumbers w:val="0"/>
              <w:spacing w:before="0" w:beforeAutospacing="0" w:after="0" w:afterAutospacing="0"/>
              <w:ind w:left="0" w:right="0"/>
              <w:jc w:val="center"/>
              <w:rPr>
                <w:rFonts w:hint="eastAsia" w:ascii="宋体" w:hAnsi="宋体" w:cs="宋体"/>
                <w:color w:val="auto"/>
                <w:kern w:val="0"/>
                <w:sz w:val="24"/>
                <w:szCs w:val="20"/>
                <w:lang w:bidi="ar"/>
              </w:rPr>
            </w:pPr>
            <w:r>
              <w:rPr>
                <w:rFonts w:hint="eastAsia" w:ascii="宋体" w:hAnsi="宋体" w:cs="宋体"/>
                <w:color w:val="auto"/>
                <w:kern w:val="0"/>
                <w:sz w:val="24"/>
                <w:szCs w:val="20"/>
                <w:lang w:bidi="ar"/>
              </w:rPr>
              <w:t>1-1</w:t>
            </w:r>
          </w:p>
        </w:tc>
        <w:tc>
          <w:tcPr>
            <w:tcW w:w="1553" w:type="pct"/>
            <w:tcBorders>
              <w:top w:val="outset" w:color="auto" w:sz="6" w:space="0"/>
              <w:left w:val="outset" w:color="auto" w:sz="6" w:space="0"/>
              <w:bottom w:val="outset" w:color="auto" w:sz="6" w:space="0"/>
              <w:right w:val="outset" w:color="auto" w:sz="6" w:space="0"/>
            </w:tcBorders>
            <w:noWrap w:val="0"/>
            <w:vAlign w:val="center"/>
          </w:tcPr>
          <w:p w14:paraId="08B45F07">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4"/>
                <w:szCs w:val="20"/>
                <w:lang w:eastAsia="zh-CN" w:bidi="ar"/>
              </w:rPr>
            </w:pPr>
            <w:r>
              <w:rPr>
                <w:rFonts w:hint="eastAsia" w:ascii="宋体" w:hAnsi="宋体" w:cs="宋体"/>
                <w:color w:val="auto"/>
                <w:kern w:val="0"/>
                <w:sz w:val="24"/>
                <w:szCs w:val="20"/>
                <w:lang w:eastAsia="zh-CN" w:bidi="ar"/>
              </w:rPr>
              <w:t>建筑消防维护保养服务</w:t>
            </w:r>
          </w:p>
        </w:tc>
        <w:tc>
          <w:tcPr>
            <w:tcW w:w="547" w:type="pct"/>
            <w:tcBorders>
              <w:top w:val="outset" w:color="auto" w:sz="6" w:space="0"/>
              <w:left w:val="outset" w:color="auto" w:sz="6" w:space="0"/>
              <w:bottom w:val="outset" w:color="auto" w:sz="6" w:space="0"/>
              <w:right w:val="outset" w:color="auto" w:sz="6" w:space="0"/>
            </w:tcBorders>
            <w:noWrap w:val="0"/>
            <w:vAlign w:val="center"/>
          </w:tcPr>
          <w:p w14:paraId="1F569494">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0"/>
                <w:lang w:val="en-US" w:eastAsia="zh-CN" w:bidi="ar"/>
              </w:rPr>
            </w:pPr>
            <w:r>
              <w:rPr>
                <w:rFonts w:hint="eastAsia" w:ascii="宋体" w:hAnsi="宋体" w:cs="宋体"/>
                <w:color w:val="auto"/>
                <w:sz w:val="24"/>
                <w:szCs w:val="24"/>
                <w:lang w:val="en-US" w:eastAsia="zh-CN"/>
              </w:rPr>
              <w:t>2年</w:t>
            </w:r>
          </w:p>
        </w:tc>
        <w:tc>
          <w:tcPr>
            <w:tcW w:w="619" w:type="pct"/>
            <w:tcBorders>
              <w:top w:val="outset" w:color="auto" w:sz="6" w:space="0"/>
              <w:left w:val="outset" w:color="auto" w:sz="6" w:space="0"/>
              <w:bottom w:val="outset" w:color="auto" w:sz="6" w:space="0"/>
              <w:right w:val="outset" w:color="auto" w:sz="6" w:space="0"/>
            </w:tcBorders>
            <w:noWrap w:val="0"/>
            <w:vAlign w:val="center"/>
          </w:tcPr>
          <w:p w14:paraId="032ABFF3">
            <w:pPr>
              <w:keepNext w:val="0"/>
              <w:keepLines w:val="0"/>
              <w:widowControl/>
              <w:suppressLineNumbers w:val="0"/>
              <w:spacing w:before="0" w:beforeAutospacing="0" w:after="0" w:afterAutospacing="0"/>
              <w:ind w:left="0" w:right="0"/>
              <w:jc w:val="center"/>
              <w:rPr>
                <w:rFonts w:hint="default" w:ascii="宋体" w:hAnsi="宋体" w:eastAsia="宋体" w:cs="宋体"/>
                <w:color w:val="auto"/>
                <w:sz w:val="24"/>
                <w:szCs w:val="24"/>
                <w:lang w:val="en-US" w:eastAsia="zh-CN"/>
              </w:rPr>
            </w:pPr>
            <w:r>
              <w:rPr>
                <w:rFonts w:hint="default" w:ascii="宋体" w:hAnsi="宋体" w:eastAsia="宋体" w:cs="宋体"/>
                <w:color w:val="auto"/>
                <w:sz w:val="24"/>
                <w:szCs w:val="24"/>
                <w:lang w:val="en-US" w:eastAsia="zh-CN"/>
              </w:rPr>
              <w:t>188240</w:t>
            </w:r>
          </w:p>
        </w:tc>
        <w:tc>
          <w:tcPr>
            <w:tcW w:w="677" w:type="pct"/>
            <w:vMerge w:val="restart"/>
            <w:tcBorders>
              <w:top w:val="outset" w:color="auto" w:sz="6" w:space="0"/>
              <w:left w:val="outset" w:color="auto" w:sz="6" w:space="0"/>
              <w:right w:val="outset" w:color="auto" w:sz="6" w:space="0"/>
            </w:tcBorders>
            <w:noWrap w:val="0"/>
            <w:vAlign w:val="center"/>
          </w:tcPr>
          <w:p w14:paraId="32DBA503">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0"/>
                <w:lang w:val="en-US" w:eastAsia="zh-CN" w:bidi="ar"/>
              </w:rPr>
            </w:pPr>
            <w:r>
              <w:rPr>
                <w:rFonts w:hint="eastAsia" w:ascii="宋体" w:hAnsi="宋体" w:cs="宋体"/>
                <w:color w:val="auto"/>
                <w:kern w:val="0"/>
                <w:sz w:val="24"/>
                <w:szCs w:val="20"/>
                <w:lang w:val="en-US" w:eastAsia="zh-CN" w:bidi="ar"/>
              </w:rPr>
              <w:t>9882</w:t>
            </w:r>
          </w:p>
        </w:tc>
        <w:tc>
          <w:tcPr>
            <w:tcW w:w="677" w:type="pct"/>
            <w:tcBorders>
              <w:top w:val="outset" w:color="auto" w:sz="6" w:space="0"/>
              <w:left w:val="outset" w:color="auto" w:sz="6" w:space="0"/>
              <w:bottom w:val="outset" w:color="auto" w:sz="6" w:space="0"/>
              <w:right w:val="outset" w:color="auto" w:sz="6" w:space="0"/>
            </w:tcBorders>
            <w:noWrap w:val="0"/>
            <w:vAlign w:val="center"/>
          </w:tcPr>
          <w:p w14:paraId="48A1C2C9">
            <w:pPr>
              <w:keepNext w:val="0"/>
              <w:keepLines w:val="0"/>
              <w:widowControl/>
              <w:suppressLineNumbers w:val="0"/>
              <w:spacing w:before="0" w:beforeAutospacing="0" w:after="0" w:afterAutospacing="0"/>
              <w:ind w:left="0" w:right="0"/>
              <w:jc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C23129900其他维修和保养服务</w:t>
            </w:r>
          </w:p>
        </w:tc>
      </w:tr>
      <w:tr w14:paraId="26EDD1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85" w:hRule="atLeast"/>
          <w:tblHeader/>
          <w:jc w:val="center"/>
        </w:trPr>
        <w:tc>
          <w:tcPr>
            <w:tcW w:w="485" w:type="pct"/>
            <w:vMerge w:val="continue"/>
            <w:tcBorders>
              <w:left w:val="outset" w:color="auto" w:sz="6" w:space="0"/>
              <w:right w:val="outset" w:color="auto" w:sz="6" w:space="0"/>
            </w:tcBorders>
            <w:noWrap w:val="0"/>
            <w:vAlign w:val="center"/>
          </w:tcPr>
          <w:p w14:paraId="33EC4E52">
            <w:pPr>
              <w:keepNext w:val="0"/>
              <w:keepLines w:val="0"/>
              <w:widowControl/>
              <w:suppressLineNumbers w:val="0"/>
              <w:spacing w:before="0" w:beforeAutospacing="0" w:after="0" w:afterAutospacing="0"/>
              <w:ind w:left="0" w:right="0"/>
              <w:jc w:val="center"/>
              <w:rPr>
                <w:rFonts w:hint="eastAsia" w:ascii="宋体" w:hAnsi="宋体" w:cs="宋体"/>
                <w:color w:val="auto"/>
                <w:kern w:val="0"/>
                <w:sz w:val="24"/>
                <w:szCs w:val="20"/>
                <w:lang w:bidi="ar"/>
              </w:rPr>
            </w:pPr>
          </w:p>
        </w:tc>
        <w:tc>
          <w:tcPr>
            <w:tcW w:w="439" w:type="pct"/>
            <w:tcBorders>
              <w:top w:val="outset" w:color="auto" w:sz="6" w:space="0"/>
              <w:left w:val="outset" w:color="auto" w:sz="6" w:space="0"/>
              <w:bottom w:val="outset" w:color="auto" w:sz="6" w:space="0"/>
              <w:right w:val="outset" w:color="auto" w:sz="6" w:space="0"/>
            </w:tcBorders>
            <w:noWrap w:val="0"/>
            <w:vAlign w:val="center"/>
          </w:tcPr>
          <w:p w14:paraId="1AAA302F">
            <w:pPr>
              <w:keepNext w:val="0"/>
              <w:keepLines w:val="0"/>
              <w:widowControl/>
              <w:suppressLineNumbers w:val="0"/>
              <w:spacing w:before="0" w:beforeAutospacing="0" w:after="0" w:afterAutospacing="0"/>
              <w:ind w:left="0" w:right="0"/>
              <w:jc w:val="center"/>
              <w:rPr>
                <w:rFonts w:hint="default" w:ascii="宋体" w:hAnsi="宋体" w:eastAsia="宋体" w:cs="宋体"/>
                <w:color w:val="auto"/>
                <w:kern w:val="0"/>
                <w:sz w:val="24"/>
                <w:szCs w:val="20"/>
                <w:lang w:val="en-US" w:eastAsia="zh-CN" w:bidi="ar"/>
              </w:rPr>
            </w:pPr>
            <w:r>
              <w:rPr>
                <w:rFonts w:hint="eastAsia" w:ascii="宋体" w:hAnsi="宋体" w:cs="宋体"/>
                <w:color w:val="auto"/>
                <w:kern w:val="0"/>
                <w:sz w:val="24"/>
                <w:szCs w:val="20"/>
                <w:lang w:val="en-US" w:eastAsia="zh-CN" w:bidi="ar"/>
              </w:rPr>
              <w:t>1-2</w:t>
            </w:r>
          </w:p>
        </w:tc>
        <w:tc>
          <w:tcPr>
            <w:tcW w:w="1553" w:type="pct"/>
            <w:tcBorders>
              <w:top w:val="outset" w:color="auto" w:sz="6" w:space="0"/>
              <w:left w:val="outset" w:color="auto" w:sz="6" w:space="0"/>
              <w:bottom w:val="outset" w:color="auto" w:sz="6" w:space="0"/>
              <w:right w:val="outset" w:color="auto" w:sz="6" w:space="0"/>
            </w:tcBorders>
            <w:noWrap w:val="0"/>
            <w:vAlign w:val="center"/>
          </w:tcPr>
          <w:p w14:paraId="7E2308AA">
            <w:pPr>
              <w:keepNext w:val="0"/>
              <w:keepLines w:val="0"/>
              <w:widowControl/>
              <w:suppressLineNumbers w:val="0"/>
              <w:spacing w:before="0" w:beforeAutospacing="0" w:after="0" w:afterAutospacing="0"/>
              <w:ind w:left="0" w:right="0"/>
              <w:jc w:val="center"/>
              <w:rPr>
                <w:rFonts w:hint="eastAsia" w:ascii="宋体" w:hAnsi="宋体" w:cs="宋体"/>
                <w:color w:val="auto"/>
                <w:kern w:val="0"/>
                <w:sz w:val="24"/>
                <w:szCs w:val="20"/>
                <w:lang w:eastAsia="zh-CN" w:bidi="ar"/>
              </w:rPr>
            </w:pPr>
            <w:r>
              <w:rPr>
                <w:rFonts w:hint="eastAsia" w:ascii="宋体" w:hAnsi="宋体" w:cs="宋体"/>
                <w:color w:val="auto"/>
                <w:kern w:val="0"/>
                <w:sz w:val="24"/>
                <w:szCs w:val="20"/>
                <w:lang w:eastAsia="zh-CN" w:bidi="ar"/>
              </w:rPr>
              <w:t xml:space="preserve">相关消防设施配件配送服务 </w:t>
            </w:r>
          </w:p>
        </w:tc>
        <w:tc>
          <w:tcPr>
            <w:tcW w:w="547" w:type="pct"/>
            <w:tcBorders>
              <w:top w:val="outset" w:color="auto" w:sz="6" w:space="0"/>
              <w:left w:val="outset" w:color="auto" w:sz="6" w:space="0"/>
              <w:bottom w:val="outset" w:color="auto" w:sz="6" w:space="0"/>
              <w:right w:val="outset" w:color="auto" w:sz="6" w:space="0"/>
            </w:tcBorders>
            <w:noWrap w:val="0"/>
            <w:vAlign w:val="center"/>
          </w:tcPr>
          <w:p w14:paraId="10DA445E">
            <w:pPr>
              <w:keepNext w:val="0"/>
              <w:keepLines w:val="0"/>
              <w:widowControl/>
              <w:suppressLineNumbers w:val="0"/>
              <w:spacing w:before="0" w:beforeAutospacing="0" w:after="0" w:afterAutospacing="0"/>
              <w:ind w:left="0" w:right="0"/>
              <w:jc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2年</w:t>
            </w:r>
          </w:p>
        </w:tc>
        <w:tc>
          <w:tcPr>
            <w:tcW w:w="619" w:type="pct"/>
            <w:tcBorders>
              <w:top w:val="outset" w:color="auto" w:sz="6" w:space="0"/>
              <w:left w:val="outset" w:color="auto" w:sz="6" w:space="0"/>
              <w:right w:val="outset" w:color="auto" w:sz="6" w:space="0"/>
            </w:tcBorders>
            <w:noWrap w:val="0"/>
            <w:vAlign w:val="center"/>
          </w:tcPr>
          <w:p w14:paraId="76357884">
            <w:pPr>
              <w:keepNext w:val="0"/>
              <w:keepLines w:val="0"/>
              <w:widowControl/>
              <w:suppressLineNumbers w:val="0"/>
              <w:spacing w:before="0" w:beforeAutospacing="0" w:after="0" w:afterAutospacing="0"/>
              <w:ind w:left="0" w:right="0"/>
              <w:jc w:val="center"/>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800000</w:t>
            </w:r>
          </w:p>
        </w:tc>
        <w:tc>
          <w:tcPr>
            <w:tcW w:w="677" w:type="pct"/>
            <w:vMerge w:val="continue"/>
            <w:tcBorders>
              <w:left w:val="outset" w:color="auto" w:sz="6" w:space="0"/>
              <w:right w:val="outset" w:color="auto" w:sz="6" w:space="0"/>
            </w:tcBorders>
            <w:noWrap w:val="0"/>
            <w:vAlign w:val="center"/>
          </w:tcPr>
          <w:p w14:paraId="0722DF4F">
            <w:pPr>
              <w:keepNext w:val="0"/>
              <w:keepLines w:val="0"/>
              <w:widowControl/>
              <w:suppressLineNumbers w:val="0"/>
              <w:spacing w:before="0" w:beforeAutospacing="0" w:after="0" w:afterAutospacing="0"/>
              <w:ind w:left="0" w:right="0"/>
              <w:jc w:val="center"/>
              <w:rPr>
                <w:rFonts w:hint="eastAsia" w:ascii="宋体" w:hAnsi="宋体" w:cs="宋体"/>
                <w:color w:val="auto"/>
                <w:kern w:val="0"/>
                <w:sz w:val="24"/>
                <w:szCs w:val="20"/>
                <w:lang w:val="en-US" w:eastAsia="zh-CN" w:bidi="ar"/>
              </w:rPr>
            </w:pPr>
          </w:p>
        </w:tc>
        <w:tc>
          <w:tcPr>
            <w:tcW w:w="677" w:type="pct"/>
            <w:tcBorders>
              <w:top w:val="outset" w:color="auto" w:sz="6" w:space="0"/>
              <w:left w:val="outset" w:color="auto" w:sz="6" w:space="0"/>
              <w:right w:val="outset" w:color="auto" w:sz="6" w:space="0"/>
            </w:tcBorders>
            <w:noWrap w:val="0"/>
            <w:vAlign w:val="center"/>
          </w:tcPr>
          <w:p w14:paraId="441ADFA5">
            <w:pPr>
              <w:keepNext w:val="0"/>
              <w:keepLines w:val="0"/>
              <w:widowControl/>
              <w:suppressLineNumbers w:val="0"/>
              <w:spacing w:before="0" w:beforeAutospacing="0" w:after="0" w:afterAutospacing="0"/>
              <w:ind w:left="0" w:right="0"/>
              <w:jc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C23139900-其他批发服务</w:t>
            </w:r>
          </w:p>
        </w:tc>
      </w:tr>
    </w:tbl>
    <w:p w14:paraId="23BDDE68">
      <w:pPr>
        <w:widowControl/>
        <w:snapToGrid w:val="0"/>
        <w:ind w:left="34"/>
        <w:rPr>
          <w:rFonts w:hint="eastAsia" w:ascii="宋体" w:hAnsi="宋体" w:cs="宋体"/>
          <w:b/>
          <w:color w:val="auto"/>
          <w:sz w:val="24"/>
          <w:szCs w:val="24"/>
        </w:rPr>
      </w:pPr>
    </w:p>
    <w:p w14:paraId="5B26B463">
      <w:pPr>
        <w:keepNext w:val="0"/>
        <w:keepLines w:val="0"/>
        <w:pageBreakBefore w:val="0"/>
        <w:widowControl/>
        <w:kinsoku/>
        <w:wordWrap/>
        <w:overflowPunct/>
        <w:topLinePunct w:val="0"/>
        <w:autoSpaceDE/>
        <w:autoSpaceDN/>
        <w:bidi w:val="0"/>
        <w:snapToGrid w:val="0"/>
        <w:ind w:left="0" w:firstLine="482" w:firstLineChars="200"/>
        <w:textAlignment w:val="auto"/>
        <w:rPr>
          <w:rFonts w:hint="eastAsia" w:ascii="宋体" w:hAnsi="宋体" w:cs="宋体"/>
          <w:b/>
          <w:color w:val="auto"/>
          <w:sz w:val="24"/>
          <w:szCs w:val="24"/>
        </w:rPr>
      </w:pPr>
      <w:r>
        <w:rPr>
          <w:rFonts w:hint="eastAsia" w:ascii="宋体" w:hAnsi="宋体" w:cs="宋体"/>
          <w:b/>
          <w:color w:val="auto"/>
          <w:sz w:val="24"/>
          <w:szCs w:val="24"/>
        </w:rPr>
        <w:t>注：</w:t>
      </w:r>
    </w:p>
    <w:p w14:paraId="7B8EBAF5">
      <w:pPr>
        <w:pStyle w:val="27"/>
        <w:keepNext w:val="0"/>
        <w:keepLines w:val="0"/>
        <w:pageBreakBefore w:val="0"/>
        <w:tabs>
          <w:tab w:val="left" w:pos="8360"/>
        </w:tabs>
        <w:kinsoku/>
        <w:wordWrap/>
        <w:overflowPunct/>
        <w:topLinePunct w:val="0"/>
        <w:autoSpaceDE/>
        <w:autoSpaceDN/>
        <w:bidi w:val="0"/>
        <w:adjustRightInd w:val="0"/>
        <w:snapToGrid w:val="0"/>
        <w:spacing w:line="420" w:lineRule="exact"/>
        <w:ind w:left="0" w:firstLine="480" w:firstLineChars="200"/>
        <w:jc w:val="left"/>
        <w:textAlignment w:val="auto"/>
        <w:rPr>
          <w:rFonts w:hint="eastAsia" w:hAnsi="宋体" w:cs="宋体"/>
          <w:color w:val="auto"/>
          <w:kern w:val="0"/>
          <w:sz w:val="24"/>
        </w:rPr>
      </w:pPr>
      <w:r>
        <w:rPr>
          <w:rFonts w:hint="eastAsia" w:hAnsi="宋体" w:cs="宋体"/>
          <w:color w:val="auto"/>
          <w:kern w:val="0"/>
          <w:sz w:val="24"/>
        </w:rPr>
        <w:t>1</w:t>
      </w:r>
      <w:r>
        <w:rPr>
          <w:rFonts w:hint="eastAsia" w:hAnsi="宋体" w:cs="宋体"/>
          <w:color w:val="auto"/>
          <w:kern w:val="0"/>
          <w:sz w:val="24"/>
          <w:lang w:val="en-US" w:eastAsia="zh-CN"/>
        </w:rPr>
        <w:t>.</w:t>
      </w:r>
      <w:r>
        <w:rPr>
          <w:rFonts w:hint="eastAsia" w:hAnsi="宋体" w:cs="宋体"/>
          <w:color w:val="auto"/>
          <w:kern w:val="0"/>
          <w:sz w:val="24"/>
        </w:rPr>
        <w:t>供应商可按合同包报价，对同一合同包内所有品目号内容磋商时必须完整。评审与授标以合同包为单位。</w:t>
      </w:r>
    </w:p>
    <w:p w14:paraId="5CB56A97">
      <w:pPr>
        <w:pStyle w:val="27"/>
        <w:keepNext w:val="0"/>
        <w:keepLines w:val="0"/>
        <w:pageBreakBefore w:val="0"/>
        <w:tabs>
          <w:tab w:val="left" w:pos="8360"/>
        </w:tabs>
        <w:kinsoku/>
        <w:wordWrap/>
        <w:overflowPunct/>
        <w:topLinePunct w:val="0"/>
        <w:autoSpaceDE/>
        <w:autoSpaceDN/>
        <w:bidi w:val="0"/>
        <w:adjustRightInd w:val="0"/>
        <w:snapToGrid w:val="0"/>
        <w:spacing w:line="480" w:lineRule="exact"/>
        <w:ind w:left="0" w:firstLine="480" w:firstLineChars="200"/>
        <w:jc w:val="left"/>
        <w:textAlignment w:val="auto"/>
        <w:rPr>
          <w:rFonts w:hint="eastAsia" w:hAnsi="宋体" w:cs="宋体"/>
          <w:color w:val="auto"/>
          <w:kern w:val="0"/>
          <w:sz w:val="24"/>
          <w:szCs w:val="22"/>
        </w:rPr>
      </w:pPr>
      <w:r>
        <w:rPr>
          <w:rFonts w:hint="eastAsia" w:hAnsi="宋体" w:cs="宋体"/>
          <w:color w:val="auto"/>
          <w:kern w:val="0"/>
          <w:sz w:val="24"/>
          <w:szCs w:val="22"/>
          <w:lang w:val="en-US" w:eastAsia="zh-CN"/>
        </w:rPr>
        <w:t>2.</w:t>
      </w:r>
      <w:r>
        <w:rPr>
          <w:rFonts w:hint="eastAsia" w:hAnsi="宋体" w:cs="宋体"/>
          <w:color w:val="auto"/>
          <w:kern w:val="0"/>
          <w:sz w:val="24"/>
          <w:szCs w:val="22"/>
        </w:rPr>
        <w:t>磋商报价不得超出磋商文件规定的合同包最高限价。</w:t>
      </w:r>
    </w:p>
    <w:p w14:paraId="02AC5E5B">
      <w:pPr>
        <w:pStyle w:val="27"/>
        <w:tabs>
          <w:tab w:val="left" w:pos="8360"/>
        </w:tabs>
        <w:adjustRightInd w:val="0"/>
        <w:snapToGrid w:val="0"/>
        <w:spacing w:line="480" w:lineRule="exact"/>
        <w:ind w:left="360" w:hanging="360"/>
        <w:jc w:val="left"/>
        <w:rPr>
          <w:rFonts w:hint="eastAsia" w:hAnsi="宋体" w:cs="宋体"/>
          <w:color w:val="auto"/>
          <w:kern w:val="0"/>
          <w:sz w:val="24"/>
        </w:rPr>
      </w:pPr>
    </w:p>
    <w:p w14:paraId="79A6BCC6">
      <w:pPr>
        <w:widowControl/>
        <w:snapToGrid w:val="0"/>
        <w:ind w:left="34"/>
        <w:rPr>
          <w:rFonts w:hint="eastAsia" w:ascii="宋体" w:hAnsi="宋体" w:cs="宋体"/>
          <w:b/>
          <w:color w:val="auto"/>
          <w:sz w:val="24"/>
          <w:szCs w:val="24"/>
        </w:rPr>
      </w:pPr>
    </w:p>
    <w:p w14:paraId="51AB40EE">
      <w:pPr>
        <w:pStyle w:val="27"/>
        <w:snapToGrid w:val="0"/>
        <w:spacing w:line="360" w:lineRule="auto"/>
        <w:jc w:val="center"/>
        <w:outlineLvl w:val="0"/>
        <w:rPr>
          <w:rFonts w:hint="eastAsia" w:hAnsi="宋体" w:cs="宋体"/>
          <w:color w:val="auto"/>
          <w:szCs w:val="21"/>
        </w:rPr>
      </w:pPr>
      <w:r>
        <w:rPr>
          <w:rFonts w:hint="eastAsia" w:hAnsi="宋体" w:cs="宋体"/>
          <w:b/>
          <w:color w:val="auto"/>
          <w:sz w:val="24"/>
          <w:szCs w:val="24"/>
        </w:rPr>
        <w:br w:type="page"/>
      </w:r>
      <w:bookmarkStart w:id="12" w:name="第二章投标人须知"/>
      <w:bookmarkEnd w:id="12"/>
      <w:bookmarkStart w:id="13" w:name="_Toc11465"/>
      <w:bookmarkStart w:id="14" w:name="_Toc27114_WPSOffice_Level1"/>
      <w:bookmarkStart w:id="15" w:name="_Toc1265_WPSOffice_Level1"/>
      <w:bookmarkStart w:id="16" w:name="_Toc29189_WPSOffice_Level1"/>
      <w:r>
        <w:rPr>
          <w:rFonts w:hint="eastAsia" w:hAnsi="宋体" w:cs="宋体"/>
          <w:b/>
          <w:color w:val="auto"/>
          <w:sz w:val="36"/>
        </w:rPr>
        <w:t>第二章  供应商须知</w:t>
      </w:r>
      <w:bookmarkEnd w:id="13"/>
      <w:bookmarkEnd w:id="14"/>
      <w:bookmarkEnd w:id="15"/>
      <w:bookmarkEnd w:id="16"/>
    </w:p>
    <w:p w14:paraId="4D390641">
      <w:pPr>
        <w:spacing w:line="440" w:lineRule="exact"/>
        <w:jc w:val="center"/>
        <w:outlineLvl w:val="1"/>
        <w:rPr>
          <w:rFonts w:hint="eastAsia" w:ascii="宋体" w:hAnsi="宋体" w:cs="宋体"/>
          <w:b/>
          <w:color w:val="auto"/>
          <w:sz w:val="28"/>
        </w:rPr>
      </w:pPr>
      <w:bookmarkStart w:id="17" w:name="投标人须知前附表"/>
      <w:bookmarkEnd w:id="17"/>
      <w:bookmarkStart w:id="18" w:name="_Toc23640_WPSOffice_Level2"/>
      <w:bookmarkStart w:id="19" w:name="_Toc4084_WPSOffice_Level2"/>
      <w:bookmarkStart w:id="20" w:name="_Toc6163"/>
      <w:r>
        <w:rPr>
          <w:rFonts w:hint="eastAsia" w:ascii="宋体" w:hAnsi="宋体" w:cs="宋体"/>
          <w:b/>
          <w:color w:val="auto"/>
          <w:sz w:val="28"/>
        </w:rPr>
        <w:t>供应商须知前附表</w:t>
      </w:r>
      <w:bookmarkEnd w:id="18"/>
      <w:bookmarkEnd w:id="19"/>
      <w:bookmarkEnd w:id="20"/>
    </w:p>
    <w:p w14:paraId="4AC43581">
      <w:pPr>
        <w:autoSpaceDE w:val="0"/>
        <w:autoSpaceDN w:val="0"/>
        <w:adjustRightInd w:val="0"/>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本须知前附表的条款号是与《供应商须知》中条款的项号相对应的，如果有矛盾的话，应以本须知前附表为准。</w:t>
      </w:r>
    </w:p>
    <w:tbl>
      <w:tblPr>
        <w:tblStyle w:val="4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696"/>
        <w:gridCol w:w="8805"/>
      </w:tblGrid>
      <w:tr w14:paraId="71E54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585C39D4">
            <w:pPr>
              <w:keepNext w:val="0"/>
              <w:keepLines w:val="0"/>
              <w:suppressLineNumbers w:val="0"/>
              <w:spacing w:before="0" w:beforeAutospacing="0" w:after="0" w:afterAutospacing="0"/>
              <w:ind w:left="0" w:right="0"/>
              <w:jc w:val="center"/>
              <w:rPr>
                <w:rFonts w:hint="eastAsia" w:ascii="宋体" w:hAnsi="宋体" w:cs="宋体"/>
                <w:color w:val="auto"/>
                <w:sz w:val="24"/>
                <w:szCs w:val="24"/>
              </w:rPr>
            </w:pPr>
            <w:r>
              <w:rPr>
                <w:rFonts w:hint="eastAsia" w:ascii="宋体" w:hAnsi="宋体" w:cs="宋体"/>
                <w:color w:val="auto"/>
                <w:sz w:val="24"/>
                <w:szCs w:val="24"/>
              </w:rPr>
              <w:t>项号</w:t>
            </w:r>
          </w:p>
        </w:tc>
        <w:tc>
          <w:tcPr>
            <w:tcW w:w="349" w:type="pct"/>
            <w:noWrap w:val="0"/>
            <w:vAlign w:val="center"/>
          </w:tcPr>
          <w:p w14:paraId="1D9AFC55">
            <w:pPr>
              <w:keepNext w:val="0"/>
              <w:keepLines w:val="0"/>
              <w:suppressLineNumbers w:val="0"/>
              <w:spacing w:before="0" w:beforeAutospacing="0" w:after="0" w:afterAutospacing="0"/>
              <w:ind w:left="0" w:right="0"/>
              <w:jc w:val="center"/>
              <w:rPr>
                <w:rFonts w:hint="eastAsia" w:ascii="宋体" w:hAnsi="宋体" w:cs="宋体"/>
                <w:color w:val="auto"/>
                <w:sz w:val="24"/>
                <w:szCs w:val="24"/>
              </w:rPr>
            </w:pPr>
            <w:r>
              <w:rPr>
                <w:rFonts w:hint="eastAsia" w:ascii="宋体" w:hAnsi="宋体" w:cs="宋体"/>
                <w:color w:val="auto"/>
                <w:sz w:val="24"/>
                <w:szCs w:val="24"/>
              </w:rPr>
              <w:t>条款号</w:t>
            </w:r>
          </w:p>
        </w:tc>
        <w:tc>
          <w:tcPr>
            <w:tcW w:w="4418" w:type="pct"/>
            <w:noWrap w:val="0"/>
            <w:vAlign w:val="center"/>
          </w:tcPr>
          <w:p w14:paraId="564CF92C">
            <w:pPr>
              <w:keepNext w:val="0"/>
              <w:keepLines w:val="0"/>
              <w:suppressLineNumbers w:val="0"/>
              <w:spacing w:before="0" w:beforeAutospacing="0" w:after="0" w:afterAutospacing="0"/>
              <w:ind w:left="0" w:right="0"/>
              <w:jc w:val="center"/>
              <w:rPr>
                <w:rFonts w:hint="eastAsia" w:ascii="宋体" w:hAnsi="宋体" w:cs="宋体"/>
                <w:color w:val="auto"/>
                <w:sz w:val="24"/>
                <w:szCs w:val="24"/>
              </w:rPr>
            </w:pPr>
            <w:r>
              <w:rPr>
                <w:rFonts w:hint="eastAsia" w:ascii="宋体" w:hAnsi="宋体" w:cs="宋体"/>
                <w:color w:val="auto"/>
                <w:sz w:val="24"/>
                <w:szCs w:val="24"/>
              </w:rPr>
              <w:t>编   列   内    容</w:t>
            </w:r>
          </w:p>
        </w:tc>
      </w:tr>
      <w:tr w14:paraId="69D1F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2" w:type="pct"/>
            <w:noWrap w:val="0"/>
            <w:vAlign w:val="center"/>
          </w:tcPr>
          <w:p w14:paraId="49FD6705">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w:t>
            </w:r>
          </w:p>
        </w:tc>
        <w:tc>
          <w:tcPr>
            <w:tcW w:w="349" w:type="pct"/>
            <w:noWrap w:val="0"/>
            <w:vAlign w:val="center"/>
          </w:tcPr>
          <w:p w14:paraId="14997367">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1.1</w:t>
            </w:r>
          </w:p>
        </w:tc>
        <w:tc>
          <w:tcPr>
            <w:tcW w:w="4418" w:type="pct"/>
            <w:noWrap w:val="0"/>
            <w:vAlign w:val="center"/>
          </w:tcPr>
          <w:p w14:paraId="6E74BFEB">
            <w:pPr>
              <w:keepNext w:val="0"/>
              <w:keepLines w:val="0"/>
              <w:suppressLineNumbers w:val="0"/>
              <w:spacing w:before="0" w:beforeAutospacing="0" w:after="0" w:afterAutospacing="0" w:line="410" w:lineRule="exact"/>
              <w:ind w:left="0" w:right="0"/>
              <w:rPr>
                <w:rFonts w:hint="eastAsia" w:ascii="宋体" w:hAnsi="宋体" w:eastAsia="宋体" w:cs="宋体"/>
                <w:color w:val="auto"/>
                <w:spacing w:val="-4"/>
                <w:sz w:val="24"/>
                <w:szCs w:val="24"/>
                <w:lang w:eastAsia="zh-CN"/>
              </w:rPr>
            </w:pPr>
            <w:r>
              <w:rPr>
                <w:rFonts w:hint="eastAsia" w:ascii="宋体" w:hAnsi="宋体" w:cs="宋体"/>
                <w:color w:val="auto"/>
                <w:spacing w:val="-4"/>
                <w:sz w:val="24"/>
                <w:szCs w:val="24"/>
              </w:rPr>
              <w:t>项目名称：</w:t>
            </w:r>
            <w:r>
              <w:rPr>
                <w:rFonts w:hint="eastAsia" w:ascii="宋体" w:hAnsi="宋体" w:cs="宋体"/>
                <w:color w:val="auto"/>
                <w:spacing w:val="-4"/>
                <w:sz w:val="24"/>
                <w:szCs w:val="24"/>
                <w:lang w:eastAsia="zh-CN"/>
              </w:rPr>
              <w:t xml:space="preserve">建筑消防维护保养服务及相关消防设施配件配送服务采购项目（重新招标） </w:t>
            </w:r>
          </w:p>
          <w:p w14:paraId="761BF1DF">
            <w:pPr>
              <w:keepNext w:val="0"/>
              <w:keepLines w:val="0"/>
              <w:suppressLineNumbers w:val="0"/>
              <w:spacing w:before="0" w:beforeAutospacing="0" w:after="0" w:afterAutospacing="0" w:line="410" w:lineRule="exact"/>
              <w:ind w:left="0" w:right="0"/>
              <w:rPr>
                <w:rFonts w:hint="eastAsia" w:ascii="宋体" w:hAnsi="宋体" w:eastAsia="宋体" w:cs="宋体"/>
                <w:color w:val="auto"/>
                <w:spacing w:val="-4"/>
                <w:sz w:val="24"/>
                <w:szCs w:val="24"/>
                <w:lang w:eastAsia="zh-CN"/>
              </w:rPr>
            </w:pPr>
            <w:r>
              <w:rPr>
                <w:rFonts w:hint="eastAsia" w:ascii="宋体" w:hAnsi="宋体" w:cs="宋体"/>
                <w:color w:val="auto"/>
                <w:spacing w:val="-4"/>
                <w:sz w:val="24"/>
                <w:szCs w:val="24"/>
                <w:lang w:eastAsia="zh-CN"/>
              </w:rPr>
              <w:t>采购人</w:t>
            </w:r>
            <w:r>
              <w:rPr>
                <w:rFonts w:hint="eastAsia" w:ascii="宋体" w:hAnsi="宋体" w:cs="宋体"/>
                <w:color w:val="auto"/>
                <w:spacing w:val="-4"/>
                <w:sz w:val="24"/>
                <w:szCs w:val="24"/>
              </w:rPr>
              <w:t>名称：</w:t>
            </w:r>
            <w:r>
              <w:rPr>
                <w:rFonts w:hint="eastAsia" w:ascii="宋体" w:hAnsi="宋体" w:cs="宋体"/>
                <w:color w:val="auto"/>
                <w:spacing w:val="-4"/>
                <w:sz w:val="24"/>
                <w:szCs w:val="24"/>
                <w:lang w:eastAsia="zh-CN"/>
              </w:rPr>
              <w:t>福建省建阳兴欣织造有限责任公司</w:t>
            </w:r>
          </w:p>
          <w:p w14:paraId="65FE66E1">
            <w:pPr>
              <w:keepNext w:val="0"/>
              <w:keepLines w:val="0"/>
              <w:suppressLineNumbers w:val="0"/>
              <w:spacing w:before="0" w:beforeAutospacing="0" w:after="0" w:afterAutospacing="0" w:line="410" w:lineRule="exact"/>
              <w:ind w:left="0" w:right="0"/>
              <w:rPr>
                <w:rFonts w:hint="eastAsia" w:ascii="宋体" w:hAnsi="宋体" w:cs="宋体"/>
                <w:color w:val="auto"/>
                <w:spacing w:val="-4"/>
                <w:sz w:val="24"/>
                <w:szCs w:val="24"/>
              </w:rPr>
            </w:pPr>
            <w:r>
              <w:rPr>
                <w:rFonts w:hint="eastAsia" w:ascii="宋体" w:hAnsi="宋体" w:cs="宋体"/>
                <w:color w:val="auto"/>
                <w:spacing w:val="-4"/>
                <w:sz w:val="24"/>
                <w:szCs w:val="24"/>
              </w:rPr>
              <w:t>项目内容：详见一览表</w:t>
            </w:r>
          </w:p>
          <w:p w14:paraId="4CABF05C">
            <w:pPr>
              <w:keepNext w:val="0"/>
              <w:keepLines w:val="0"/>
              <w:suppressLineNumbers w:val="0"/>
              <w:spacing w:before="0" w:beforeAutospacing="0" w:after="0" w:afterAutospacing="0" w:line="410" w:lineRule="exact"/>
              <w:ind w:left="0" w:right="0"/>
              <w:rPr>
                <w:rFonts w:hint="eastAsia" w:ascii="宋体" w:hAnsi="宋体" w:eastAsia="宋体" w:cs="宋体"/>
                <w:color w:val="auto"/>
                <w:spacing w:val="-4"/>
                <w:sz w:val="24"/>
                <w:szCs w:val="24"/>
                <w:lang w:eastAsia="zh-CN"/>
              </w:rPr>
            </w:pPr>
            <w:r>
              <w:rPr>
                <w:rFonts w:hint="eastAsia" w:ascii="宋体" w:hAnsi="宋体" w:cs="宋体"/>
                <w:color w:val="auto"/>
                <w:spacing w:val="-4"/>
                <w:sz w:val="24"/>
                <w:szCs w:val="24"/>
              </w:rPr>
              <w:t>采购编号：</w:t>
            </w:r>
            <w:r>
              <w:rPr>
                <w:rFonts w:hint="eastAsia" w:ascii="宋体" w:hAnsi="宋体" w:cs="宋体"/>
                <w:color w:val="auto"/>
                <w:spacing w:val="-4"/>
                <w:sz w:val="24"/>
                <w:szCs w:val="24"/>
                <w:lang w:eastAsia="zh-CN"/>
              </w:rPr>
              <w:t>FJYS2025-489-1</w:t>
            </w:r>
          </w:p>
        </w:tc>
      </w:tr>
      <w:tr w14:paraId="54229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32" w:type="pct"/>
            <w:noWrap w:val="0"/>
            <w:vAlign w:val="center"/>
          </w:tcPr>
          <w:p w14:paraId="1409C47A">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2</w:t>
            </w:r>
          </w:p>
        </w:tc>
        <w:tc>
          <w:tcPr>
            <w:tcW w:w="349" w:type="pct"/>
            <w:noWrap w:val="0"/>
            <w:vAlign w:val="center"/>
          </w:tcPr>
          <w:p w14:paraId="4BAD8367">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3.1</w:t>
            </w:r>
          </w:p>
        </w:tc>
        <w:tc>
          <w:tcPr>
            <w:tcW w:w="4418" w:type="pct"/>
            <w:noWrap w:val="0"/>
            <w:vAlign w:val="center"/>
          </w:tcPr>
          <w:p w14:paraId="3D4E593B">
            <w:pPr>
              <w:keepNext w:val="0"/>
              <w:keepLines w:val="0"/>
              <w:suppressLineNumbers w:val="0"/>
              <w:spacing w:before="0" w:beforeAutospacing="0" w:after="0" w:afterAutospacing="0" w:line="460" w:lineRule="exact"/>
              <w:ind w:left="0" w:right="0"/>
              <w:rPr>
                <w:rFonts w:hint="eastAsia" w:ascii="宋体" w:hAnsi="宋体" w:cs="宋体"/>
                <w:color w:val="auto"/>
                <w:sz w:val="24"/>
                <w:szCs w:val="24"/>
              </w:rPr>
            </w:pPr>
            <w:r>
              <w:rPr>
                <w:rFonts w:hint="eastAsia" w:ascii="宋体" w:hAnsi="宋体" w:cs="宋体"/>
                <w:color w:val="auto"/>
                <w:sz w:val="24"/>
                <w:szCs w:val="24"/>
              </w:rPr>
              <w:t>资格标准：</w:t>
            </w:r>
          </w:p>
          <w:p w14:paraId="223C56E8">
            <w:pPr>
              <w:keepNext w:val="0"/>
              <w:keepLines w:val="0"/>
              <w:suppressLineNumbers w:val="0"/>
              <w:spacing w:before="0" w:beforeAutospacing="0" w:after="0" w:afterAutospacing="0" w:line="460" w:lineRule="exact"/>
              <w:ind w:left="0" w:right="0" w:firstLine="480" w:firstLineChars="200"/>
              <w:rPr>
                <w:rFonts w:hint="eastAsia" w:ascii="宋体" w:hAnsi="宋体" w:cs="宋体"/>
                <w:color w:val="auto"/>
                <w:sz w:val="24"/>
                <w:szCs w:val="24"/>
              </w:rPr>
            </w:pPr>
            <w:r>
              <w:rPr>
                <w:rFonts w:hint="eastAsia" w:ascii="宋体" w:hAnsi="宋体" w:cs="宋体"/>
                <w:color w:val="auto"/>
                <w:sz w:val="24"/>
                <w:szCs w:val="24"/>
              </w:rPr>
              <w:t>凡有能力提供本磋商文件所述服务，具备相关法律法规、行政规章条例和本磋商文件中规定的参加采购活动条件的均可能成为合格的供应商，并提交以下资质证明文件：</w:t>
            </w:r>
          </w:p>
          <w:tbl>
            <w:tblPr>
              <w:tblStyle w:val="49"/>
              <w:tblW w:w="85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3"/>
              <w:gridCol w:w="6445"/>
            </w:tblGrid>
            <w:tr w14:paraId="1292B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45AA0E75">
                  <w:pPr>
                    <w:keepNext w:val="0"/>
                    <w:keepLines w:val="0"/>
                    <w:widowControl/>
                    <w:suppressLineNumbers w:val="0"/>
                    <w:spacing w:before="0" w:beforeAutospacing="0" w:after="0" w:afterAutospacing="0"/>
                    <w:ind w:left="0" w:right="0"/>
                    <w:jc w:val="center"/>
                    <w:rPr>
                      <w:rFonts w:hint="eastAsia" w:ascii="宋体" w:hAnsi="宋体" w:cs="宋体"/>
                      <w:b/>
                      <w:bCs/>
                      <w:color w:val="auto"/>
                      <w:sz w:val="24"/>
                      <w:szCs w:val="24"/>
                    </w:rPr>
                  </w:pPr>
                  <w:r>
                    <w:rPr>
                      <w:rFonts w:hint="eastAsia" w:ascii="宋体" w:hAnsi="宋体" w:cs="宋体"/>
                      <w:b/>
                      <w:bCs/>
                      <w:color w:val="auto"/>
                      <w:kern w:val="0"/>
                      <w:sz w:val="24"/>
                      <w:szCs w:val="24"/>
                    </w:rPr>
                    <w:t>明细</w:t>
                  </w:r>
                </w:p>
              </w:tc>
              <w:tc>
                <w:tcPr>
                  <w:tcW w:w="6445" w:type="dxa"/>
                  <w:noWrap w:val="0"/>
                  <w:vAlign w:val="center"/>
                </w:tcPr>
                <w:p w14:paraId="0E28A5A3">
                  <w:pPr>
                    <w:keepNext w:val="0"/>
                    <w:keepLines w:val="0"/>
                    <w:widowControl/>
                    <w:suppressLineNumbers w:val="0"/>
                    <w:spacing w:before="0" w:beforeAutospacing="0" w:after="0" w:afterAutospacing="0"/>
                    <w:ind w:left="0" w:right="0"/>
                    <w:jc w:val="center"/>
                    <w:rPr>
                      <w:rFonts w:hint="eastAsia" w:ascii="宋体" w:hAnsi="宋体" w:cs="宋体"/>
                      <w:b/>
                      <w:bCs/>
                      <w:color w:val="auto"/>
                      <w:sz w:val="24"/>
                      <w:szCs w:val="24"/>
                    </w:rPr>
                  </w:pPr>
                  <w:r>
                    <w:rPr>
                      <w:rFonts w:hint="eastAsia" w:ascii="宋体" w:hAnsi="宋体" w:cs="宋体"/>
                      <w:b/>
                      <w:bCs/>
                      <w:color w:val="auto"/>
                      <w:kern w:val="0"/>
                      <w:sz w:val="24"/>
                      <w:szCs w:val="24"/>
                    </w:rPr>
                    <w:t>描述</w:t>
                  </w:r>
                </w:p>
              </w:tc>
            </w:tr>
            <w:tr w14:paraId="5B0AC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44DB6A5C">
                  <w:pPr>
                    <w:keepNext w:val="0"/>
                    <w:keepLines w:val="0"/>
                    <w:widowControl/>
                    <w:suppressLineNumbers w:val="0"/>
                    <w:spacing w:before="0" w:beforeAutospacing="0" w:after="0" w:afterAutospacing="0"/>
                    <w:ind w:left="0" w:right="0"/>
                    <w:jc w:val="left"/>
                    <w:rPr>
                      <w:rFonts w:hint="eastAsia" w:ascii="宋体" w:hAnsi="宋体" w:cs="宋体"/>
                      <w:color w:val="auto"/>
                      <w:sz w:val="24"/>
                      <w:szCs w:val="24"/>
                    </w:rPr>
                  </w:pPr>
                  <w:r>
                    <w:rPr>
                      <w:rFonts w:hint="eastAsia" w:ascii="宋体" w:hAnsi="宋体" w:cs="宋体"/>
                      <w:color w:val="auto"/>
                      <w:kern w:val="0"/>
                      <w:sz w:val="24"/>
                      <w:szCs w:val="24"/>
                    </w:rPr>
                    <w:t>1.单位负责人授权书</w:t>
                  </w:r>
                </w:p>
              </w:tc>
              <w:tc>
                <w:tcPr>
                  <w:tcW w:w="6445" w:type="dxa"/>
                  <w:noWrap w:val="0"/>
                  <w:vAlign w:val="center"/>
                </w:tcPr>
                <w:p w14:paraId="3ECD6220">
                  <w:pPr>
                    <w:keepNext w:val="0"/>
                    <w:keepLines w:val="0"/>
                    <w:widowControl/>
                    <w:suppressLineNumbers w:val="0"/>
                    <w:spacing w:before="0" w:beforeAutospacing="0" w:after="0" w:afterAutospacing="0"/>
                    <w:ind w:left="0" w:right="0"/>
                    <w:jc w:val="left"/>
                    <w:rPr>
                      <w:rFonts w:hint="eastAsia" w:ascii="宋体" w:hAnsi="宋体" w:cs="宋体"/>
                      <w:color w:val="auto"/>
                      <w:sz w:val="24"/>
                      <w:szCs w:val="24"/>
                    </w:rPr>
                  </w:pPr>
                  <w:r>
                    <w:rPr>
                      <w:rFonts w:hint="eastAsia" w:ascii="宋体" w:hAnsi="宋体" w:cs="宋体"/>
                      <w:color w:val="auto"/>
                      <w:sz w:val="24"/>
                      <w:szCs w:val="24"/>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14:paraId="2439A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30F30CAE">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2.营业执照等证明文件</w:t>
                  </w:r>
                </w:p>
              </w:tc>
              <w:tc>
                <w:tcPr>
                  <w:tcW w:w="6445" w:type="dxa"/>
                  <w:noWrap w:val="0"/>
                  <w:vAlign w:val="center"/>
                </w:tcPr>
                <w:p w14:paraId="79159F94">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14:paraId="29B4F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17699377">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3.财务状况报告（财务报告、或资信证明）</w:t>
                  </w:r>
                </w:p>
              </w:tc>
              <w:tc>
                <w:tcPr>
                  <w:tcW w:w="6445" w:type="dxa"/>
                  <w:noWrap w:val="0"/>
                  <w:vAlign w:val="center"/>
                </w:tcPr>
                <w:p w14:paraId="384C52B8">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①供应商提供的财务报告复印件（成立年限按照提交响应文件截止时间推算）应符合下列规定：a.成立年限满1年及以上的供应商，提供经审计的</w:t>
                  </w:r>
                  <w:r>
                    <w:rPr>
                      <w:rFonts w:hint="eastAsia" w:ascii="宋体" w:hAnsi="宋体" w:cs="宋体"/>
                      <w:color w:val="auto"/>
                      <w:kern w:val="0"/>
                      <w:sz w:val="24"/>
                      <w:szCs w:val="24"/>
                      <w:lang w:val="en-US" w:eastAsia="zh-CN"/>
                    </w:rPr>
                    <w:t>2024</w:t>
                  </w:r>
                  <w:r>
                    <w:rPr>
                      <w:rFonts w:hint="eastAsia" w:ascii="宋体" w:hAnsi="宋体" w:cs="宋体"/>
                      <w:color w:val="auto"/>
                      <w:kern w:val="0"/>
                      <w:sz w:val="24"/>
                      <w:szCs w:val="24"/>
                    </w:rPr>
                    <w:t xml:space="preserve">年度的年度财务报告。b.成立年限满半年但不足1年的供应商，提供该半年度中任一季度的季度财务报告或该半年度的半年度财务报告。c.无法按照以上a、b项规定提供财务报告复印件的供应商（包括但不限于：成立年限满1年及以上的供应商、成立年限满半年但不足1年的供应商、成立年限不足半年的供应商），应选择提供资信证明复印件。 </w:t>
                  </w:r>
                </w:p>
              </w:tc>
            </w:tr>
            <w:tr w14:paraId="48819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242C198E">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4.依法缴纳税收证明材料</w:t>
                  </w:r>
                </w:p>
              </w:tc>
              <w:tc>
                <w:tcPr>
                  <w:tcW w:w="6445" w:type="dxa"/>
                  <w:noWrap w:val="0"/>
                  <w:vAlign w:val="center"/>
                </w:tcPr>
                <w:p w14:paraId="5E8A183F">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 xml:space="preserve">①供应商提供的税收缴纳凭据复印件应符合下列规定：a.提交响应文件截止时间前（不含提交响应文件截止时间的当月）已依法缴纳税收的供应商，提供提交响应文件截止时间前六个月（不含提交响应文件截止时间的当月）中任一月份的税收缴纳凭据复印件。b.提交响应文件截止时间的当月成立的供应商，视同满足本项资格条件要求。c.若为依法免税范围的供应商，提供依法免税证明材料的，视同满足本项资格条件要求。 </w:t>
                  </w:r>
                </w:p>
              </w:tc>
            </w:tr>
            <w:tr w14:paraId="70B69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2008F89C">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5.依法缴纳社会保障资金证明材料</w:t>
                  </w:r>
                </w:p>
              </w:tc>
              <w:tc>
                <w:tcPr>
                  <w:tcW w:w="6445" w:type="dxa"/>
                  <w:noWrap w:val="0"/>
                  <w:vAlign w:val="center"/>
                </w:tcPr>
                <w:p w14:paraId="69489DCB">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①供应商提供的社会保障资金缴纳凭据复印件应符合下列规定：a.提交响应文件截止时间前（不含提交响应文件截止时间的当月）已依法缴纳社会保障资金的供应商，提供提交响应文件截止时间前六个月（不含提交响应文件截止时间的当月）中任一月份的社会保障资金缴纳凭据复印件。b.提交响应文件截止时间的当月成立的供应商，视同满足本项资格条件要求。c.若为依法不需要缴纳或暂缓缴纳社会保障资金的供应商，提供依法不需要缴纳或暂缓缴纳社会保障资金证明材料的，视同满足本项资格条件要求。</w:t>
                  </w:r>
                </w:p>
              </w:tc>
            </w:tr>
            <w:tr w14:paraId="40BEE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1090583C">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6.参加采购活动前三年内在经营活动中没有重大违法记录的声明</w:t>
                  </w:r>
                </w:p>
              </w:tc>
              <w:tc>
                <w:tcPr>
                  <w:tcW w:w="6445" w:type="dxa"/>
                  <w:noWrap w:val="0"/>
                  <w:vAlign w:val="center"/>
                </w:tcPr>
                <w:p w14:paraId="7F5DF306">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 xml:space="preserve"> 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3AA85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3861AB80">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7.信用记录查询结果</w:t>
                  </w:r>
                </w:p>
              </w:tc>
              <w:tc>
                <w:tcPr>
                  <w:tcW w:w="6445" w:type="dxa"/>
                  <w:noWrap w:val="0"/>
                  <w:vAlign w:val="center"/>
                </w:tcPr>
                <w:p w14:paraId="6D8B4136">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①信用记录查询的截止时点：信用记录查询的截止时点为本项目提交响应文件截止当日。②信用记录查询渠道：信用中国（www.creditchina.gov.cn）、中国政府采购网（www.ccgp.gov.cn）。③信用记录的查询：由磋商小组通过上述网站查询并打印供应商的信用记录。④经查询，供应商参加本项目采购活动（响应截止时间）前三年内被列入失信被执行人名单、重大税收违法案件当事人名单、政府采购严重违法失信行为记录名单及其他重大违法记录且相关信用惩戒期限未满的，其资格审查不合格。</w:t>
                  </w:r>
                </w:p>
              </w:tc>
            </w:tr>
            <w:tr w14:paraId="59CC3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248F7387">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8.具备履行合同所必需设备和专业技术能力的声明函</w:t>
                  </w:r>
                </w:p>
              </w:tc>
              <w:tc>
                <w:tcPr>
                  <w:tcW w:w="6445" w:type="dxa"/>
                  <w:noWrap w:val="0"/>
                  <w:vAlign w:val="center"/>
                </w:tcPr>
                <w:p w14:paraId="24DC1454">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rPr>
                    <w:t xml:space="preserve"> ①采购文件未要求供应商提供“具备履行合同所必需的设备和专业技术能力专项证明材料”的，供应商应提供本声明函。②采购文件要求供应商提供“具备履行合同所必需的设备和专业技术能力专项证明材料”的，供应商可不提供本声明函。</w:t>
                  </w:r>
                </w:p>
              </w:tc>
            </w:tr>
            <w:tr w14:paraId="556E9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55EEED8E">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kern w:val="0"/>
                      <w:sz w:val="24"/>
                      <w:szCs w:val="24"/>
                      <w:lang w:val="en-US" w:eastAsia="zh-CN"/>
                    </w:rPr>
                    <w:t>9</w:t>
                  </w:r>
                  <w:r>
                    <w:rPr>
                      <w:rFonts w:hint="eastAsia" w:ascii="宋体" w:hAnsi="宋体" w:cs="宋体"/>
                      <w:color w:val="auto"/>
                      <w:kern w:val="0"/>
                      <w:sz w:val="24"/>
                      <w:szCs w:val="24"/>
                    </w:rPr>
                    <w:t>.</w:t>
                  </w:r>
                  <w:r>
                    <w:rPr>
                      <w:rFonts w:hint="eastAsia" w:ascii="宋体" w:hAnsi="宋体" w:cs="宋体"/>
                      <w:color w:val="auto"/>
                      <w:sz w:val="24"/>
                      <w:szCs w:val="24"/>
                    </w:rPr>
                    <w:t>黑名单</w:t>
                  </w:r>
                </w:p>
              </w:tc>
              <w:tc>
                <w:tcPr>
                  <w:tcW w:w="6445" w:type="dxa"/>
                  <w:noWrap w:val="0"/>
                  <w:vAlign w:val="center"/>
                </w:tcPr>
                <w:p w14:paraId="59E1FFC5">
                  <w:pPr>
                    <w:keepNext w:val="0"/>
                    <w:keepLines w:val="0"/>
                    <w:widowControl/>
                    <w:suppressLineNumbers w:val="0"/>
                    <w:spacing w:before="0" w:beforeAutospacing="0" w:after="0" w:afterAutospacing="0"/>
                    <w:ind w:left="0" w:right="0"/>
                    <w:jc w:val="left"/>
                    <w:rPr>
                      <w:rFonts w:hint="eastAsia" w:ascii="宋体" w:hAnsi="宋体" w:cs="宋体"/>
                      <w:color w:val="auto"/>
                      <w:kern w:val="0"/>
                      <w:sz w:val="24"/>
                      <w:szCs w:val="24"/>
                    </w:rPr>
                  </w:pPr>
                  <w:r>
                    <w:rPr>
                      <w:rFonts w:hint="eastAsia" w:ascii="宋体" w:hAnsi="宋体" w:cs="宋体"/>
                      <w:color w:val="auto"/>
                      <w:sz w:val="24"/>
                      <w:szCs w:val="24"/>
                    </w:rPr>
                    <w:t>供应商没有被列入景弘集团有限公司</w:t>
                  </w:r>
                  <w:r>
                    <w:rPr>
                      <w:rFonts w:hint="eastAsia" w:ascii="宋体" w:hAnsi="宋体" w:cs="宋体"/>
                      <w:color w:val="auto"/>
                      <w:sz w:val="24"/>
                      <w:szCs w:val="24"/>
                      <w:lang w:eastAsia="zh-CN"/>
                    </w:rPr>
                    <w:t>和福建省建阳兴欣织造有限责任公司</w:t>
                  </w:r>
                  <w:r>
                    <w:rPr>
                      <w:rFonts w:hint="eastAsia" w:ascii="宋体" w:hAnsi="宋体" w:cs="宋体"/>
                      <w:color w:val="auto"/>
                      <w:sz w:val="24"/>
                      <w:szCs w:val="24"/>
                    </w:rPr>
                    <w:t>黑名单的承诺函。</w:t>
                  </w:r>
                </w:p>
              </w:tc>
            </w:tr>
            <w:tr w14:paraId="675BF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3" w:type="dxa"/>
                  <w:noWrap w:val="0"/>
                  <w:vAlign w:val="center"/>
                </w:tcPr>
                <w:p w14:paraId="6FD088A6">
                  <w:pPr>
                    <w:keepNext w:val="0"/>
                    <w:keepLines w:val="0"/>
                    <w:widowControl/>
                    <w:suppressLineNumbers w:val="0"/>
                    <w:spacing w:before="0" w:beforeAutospacing="0" w:after="0" w:afterAutospacing="0"/>
                    <w:ind w:left="0" w:right="0"/>
                    <w:jc w:val="left"/>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10.其他资格要求</w:t>
                  </w:r>
                </w:p>
              </w:tc>
              <w:tc>
                <w:tcPr>
                  <w:tcW w:w="6445" w:type="dxa"/>
                  <w:noWrap w:val="0"/>
                  <w:vAlign w:val="center"/>
                </w:tcPr>
                <w:p w14:paraId="4D50B9D8">
                  <w:pPr>
                    <w:keepNext w:val="0"/>
                    <w:keepLines w:val="0"/>
                    <w:widowControl/>
                    <w:suppressLineNumbers w:val="0"/>
                    <w:spacing w:before="0" w:beforeAutospacing="0" w:after="0" w:afterAutospacing="0"/>
                    <w:ind w:left="0" w:right="0"/>
                    <w:jc w:val="left"/>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供应商须在福建消防技术服务信息平台完成登记，达到二星级及以上服务</w:t>
                  </w:r>
                  <w:r>
                    <w:rPr>
                      <w:rFonts w:hint="eastAsia" w:ascii="宋体" w:hAnsi="宋体" w:cs="宋体"/>
                      <w:color w:val="auto"/>
                      <w:sz w:val="24"/>
                      <w:szCs w:val="24"/>
                    </w:rPr>
                    <w:t>标准</w:t>
                  </w:r>
                  <w:r>
                    <w:rPr>
                      <w:rFonts w:hint="eastAsia" w:ascii="宋体" w:hAnsi="宋体" w:cs="宋体"/>
                      <w:color w:val="auto"/>
                      <w:sz w:val="24"/>
                      <w:szCs w:val="24"/>
                      <w:lang w:eastAsia="zh-CN"/>
                    </w:rPr>
                    <w:t>。</w:t>
                  </w:r>
                </w:p>
              </w:tc>
            </w:tr>
          </w:tbl>
          <w:p w14:paraId="05448319">
            <w:pPr>
              <w:keepNext w:val="0"/>
              <w:keepLines w:val="0"/>
              <w:suppressLineNumbers w:val="0"/>
              <w:spacing w:before="0" w:beforeAutospacing="0" w:after="0" w:afterAutospacing="0" w:line="410" w:lineRule="exact"/>
              <w:ind w:left="0" w:right="0"/>
              <w:rPr>
                <w:rFonts w:hint="eastAsia" w:ascii="宋体" w:hAnsi="宋体" w:cs="宋体"/>
                <w:color w:val="auto"/>
                <w:sz w:val="24"/>
                <w:szCs w:val="24"/>
              </w:rPr>
            </w:pPr>
            <w:r>
              <w:rPr>
                <w:rFonts w:hint="eastAsia" w:ascii="宋体" w:hAnsi="宋体" w:cs="宋体"/>
                <w:b/>
                <w:bCs/>
                <w:color w:val="auto"/>
                <w:sz w:val="24"/>
                <w:szCs w:val="24"/>
                <w:shd w:val="pct10" w:color="auto" w:fill="FFFFFF"/>
              </w:rPr>
              <w:t>注：本项目不接受联合体参与磋商，未按以上资格标准要求的按无效响应处理。</w:t>
            </w:r>
            <w:r>
              <w:rPr>
                <w:rFonts w:hint="eastAsia" w:ascii="宋体" w:hAnsi="宋体" w:cs="宋体"/>
                <w:color w:val="auto"/>
                <w:sz w:val="24"/>
                <w:szCs w:val="24"/>
              </w:rPr>
              <w:t xml:space="preserve"> </w:t>
            </w:r>
          </w:p>
        </w:tc>
      </w:tr>
      <w:tr w14:paraId="487E4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32" w:type="pct"/>
            <w:noWrap w:val="0"/>
            <w:vAlign w:val="center"/>
          </w:tcPr>
          <w:p w14:paraId="66768F2C">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3</w:t>
            </w:r>
          </w:p>
        </w:tc>
        <w:tc>
          <w:tcPr>
            <w:tcW w:w="349" w:type="pct"/>
            <w:noWrap w:val="0"/>
            <w:vAlign w:val="center"/>
          </w:tcPr>
          <w:p w14:paraId="383497F2">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11.1</w:t>
            </w:r>
          </w:p>
        </w:tc>
        <w:tc>
          <w:tcPr>
            <w:tcW w:w="4418" w:type="pct"/>
            <w:noWrap w:val="0"/>
            <w:vAlign w:val="center"/>
          </w:tcPr>
          <w:p w14:paraId="57FE79EF">
            <w:pPr>
              <w:keepNext w:val="0"/>
              <w:keepLines w:val="0"/>
              <w:suppressLineNumbers w:val="0"/>
              <w:spacing w:before="0" w:beforeAutospacing="0" w:after="0" w:afterAutospacing="0" w:line="410" w:lineRule="exact"/>
              <w:ind w:left="0" w:right="0"/>
              <w:rPr>
                <w:rFonts w:hint="eastAsia" w:ascii="宋体" w:hAnsi="宋体" w:cs="宋体"/>
                <w:color w:val="auto"/>
                <w:sz w:val="24"/>
                <w:szCs w:val="24"/>
              </w:rPr>
            </w:pPr>
            <w:r>
              <w:rPr>
                <w:rFonts w:hint="eastAsia" w:ascii="宋体" w:hAnsi="宋体" w:cs="宋体"/>
                <w:color w:val="auto"/>
                <w:sz w:val="24"/>
                <w:szCs w:val="24"/>
              </w:rPr>
              <w:t>磋商有效期：磋商截止期结束后</w:t>
            </w:r>
            <w:r>
              <w:rPr>
                <w:rFonts w:hint="eastAsia" w:ascii="宋体" w:hAnsi="宋体" w:cs="宋体"/>
                <w:color w:val="auto"/>
                <w:sz w:val="24"/>
                <w:szCs w:val="24"/>
                <w:u w:val="single"/>
              </w:rPr>
              <w:t xml:space="preserve"> 90 </w:t>
            </w:r>
            <w:r>
              <w:rPr>
                <w:rFonts w:hint="eastAsia" w:ascii="宋体" w:hAnsi="宋体" w:cs="宋体"/>
                <w:color w:val="auto"/>
                <w:sz w:val="24"/>
                <w:szCs w:val="24"/>
              </w:rPr>
              <w:t>日历日。</w:t>
            </w:r>
          </w:p>
          <w:p w14:paraId="1FCEFE2A">
            <w:pPr>
              <w:keepNext w:val="0"/>
              <w:keepLines w:val="0"/>
              <w:suppressLineNumbers w:val="0"/>
              <w:spacing w:before="0" w:beforeAutospacing="0" w:after="0" w:afterAutospacing="0" w:line="410" w:lineRule="exact"/>
              <w:ind w:left="0" w:right="0"/>
              <w:rPr>
                <w:rFonts w:hint="eastAsia" w:ascii="宋体" w:hAnsi="宋体" w:cs="宋体"/>
                <w:color w:val="auto"/>
                <w:sz w:val="24"/>
                <w:szCs w:val="24"/>
              </w:rPr>
            </w:pPr>
            <w:r>
              <w:rPr>
                <w:rFonts w:hint="eastAsia" w:ascii="宋体" w:hAnsi="宋体" w:cs="宋体"/>
                <w:b/>
                <w:bCs/>
                <w:color w:val="auto"/>
                <w:sz w:val="24"/>
                <w:szCs w:val="24"/>
              </w:rPr>
              <w:t>有效期不足按无效响应处理。</w:t>
            </w:r>
          </w:p>
        </w:tc>
      </w:tr>
      <w:tr w14:paraId="2F343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32" w:type="pct"/>
            <w:noWrap w:val="0"/>
            <w:vAlign w:val="center"/>
          </w:tcPr>
          <w:p w14:paraId="390F4228">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4</w:t>
            </w:r>
          </w:p>
        </w:tc>
        <w:tc>
          <w:tcPr>
            <w:tcW w:w="349" w:type="pct"/>
            <w:noWrap w:val="0"/>
            <w:vAlign w:val="center"/>
          </w:tcPr>
          <w:p w14:paraId="0621A31A">
            <w:pPr>
              <w:keepNext w:val="0"/>
              <w:keepLines w:val="0"/>
              <w:suppressLineNumbers w:val="0"/>
              <w:spacing w:before="0" w:beforeAutospacing="0" w:after="0" w:afterAutospacing="0" w:line="420" w:lineRule="exact"/>
              <w:ind w:left="0" w:right="0"/>
              <w:rPr>
                <w:rFonts w:hint="eastAsia" w:ascii="宋体" w:hAnsi="宋体" w:cs="宋体"/>
                <w:color w:val="auto"/>
                <w:sz w:val="24"/>
                <w:szCs w:val="24"/>
              </w:rPr>
            </w:pPr>
          </w:p>
        </w:tc>
        <w:tc>
          <w:tcPr>
            <w:tcW w:w="4418" w:type="pct"/>
            <w:noWrap w:val="0"/>
            <w:vAlign w:val="center"/>
          </w:tcPr>
          <w:p w14:paraId="1411D278">
            <w:pPr>
              <w:keepNext w:val="0"/>
              <w:keepLines w:val="0"/>
              <w:suppressLineNumbers w:val="0"/>
              <w:spacing w:before="0" w:beforeAutospacing="0" w:after="0" w:afterAutospacing="0" w:line="410" w:lineRule="exact"/>
              <w:ind w:left="0" w:right="0"/>
              <w:rPr>
                <w:rFonts w:hint="eastAsia" w:ascii="宋体" w:hAnsi="宋体" w:eastAsia="宋体" w:cs="宋体"/>
                <w:color w:val="auto"/>
                <w:sz w:val="24"/>
                <w:szCs w:val="24"/>
                <w:lang w:eastAsia="zh-CN"/>
              </w:rPr>
            </w:pPr>
            <w:r>
              <w:rPr>
                <w:rFonts w:hint="eastAsia" w:ascii="宋体" w:hAnsi="宋体" w:cs="宋体"/>
                <w:color w:val="auto"/>
                <w:sz w:val="24"/>
                <w:szCs w:val="24"/>
              </w:rPr>
              <w:t>响应文件递交地址：</w:t>
            </w:r>
            <w:r>
              <w:rPr>
                <w:rFonts w:hint="eastAsia" w:ascii="宋体" w:hAnsi="宋体" w:cs="宋体"/>
                <w:color w:val="auto"/>
                <w:sz w:val="24"/>
                <w:szCs w:val="24"/>
                <w:lang w:eastAsia="zh-CN"/>
              </w:rPr>
              <w:t>福州市鼓楼区福三路20号华润万象城一期S2#楼4层</w:t>
            </w:r>
          </w:p>
          <w:p w14:paraId="71361915">
            <w:pPr>
              <w:keepNext w:val="0"/>
              <w:keepLines w:val="0"/>
              <w:suppressLineNumbers w:val="0"/>
              <w:spacing w:before="0" w:beforeAutospacing="0" w:after="0" w:afterAutospacing="0" w:line="410" w:lineRule="exact"/>
              <w:ind w:left="0" w:right="0"/>
              <w:rPr>
                <w:rFonts w:hint="eastAsia" w:ascii="宋体" w:hAnsi="宋体" w:cs="宋体"/>
                <w:color w:val="auto"/>
                <w:sz w:val="24"/>
                <w:szCs w:val="24"/>
                <w:highlight w:val="none"/>
              </w:rPr>
            </w:pPr>
            <w:r>
              <w:rPr>
                <w:rFonts w:hint="eastAsia" w:ascii="宋体" w:hAnsi="宋体" w:cs="宋体"/>
                <w:color w:val="auto"/>
                <w:sz w:val="24"/>
                <w:szCs w:val="24"/>
                <w:highlight w:val="none"/>
              </w:rPr>
              <w:t>接收人：</w:t>
            </w:r>
            <w:r>
              <w:rPr>
                <w:rFonts w:hint="eastAsia" w:ascii="宋体" w:hAnsi="宋体" w:cs="宋体"/>
                <w:color w:val="auto"/>
                <w:spacing w:val="-2"/>
                <w:sz w:val="24"/>
                <w:szCs w:val="24"/>
                <w:highlight w:val="none"/>
              </w:rPr>
              <w:t>福建优胜招标项目管理集团有限公司</w:t>
            </w:r>
          </w:p>
          <w:p w14:paraId="7CF57339">
            <w:pPr>
              <w:keepNext w:val="0"/>
              <w:keepLines w:val="0"/>
              <w:suppressLineNumbers w:val="0"/>
              <w:spacing w:before="0" w:beforeAutospacing="0" w:after="0" w:afterAutospacing="0" w:line="410" w:lineRule="exact"/>
              <w:ind w:left="0" w:right="0"/>
              <w:rPr>
                <w:rFonts w:hint="eastAsia" w:ascii="宋体" w:hAnsi="宋体" w:cs="宋体"/>
                <w:color w:val="auto"/>
                <w:sz w:val="24"/>
                <w:szCs w:val="24"/>
              </w:rPr>
            </w:pPr>
            <w:r>
              <w:rPr>
                <w:rFonts w:hint="eastAsia" w:ascii="宋体" w:hAnsi="宋体" w:cs="宋体"/>
                <w:color w:val="auto"/>
                <w:sz w:val="24"/>
                <w:szCs w:val="24"/>
                <w:highlight w:val="none"/>
              </w:rPr>
              <w:t>磋商截止时间：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6</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02</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03</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30</w:t>
            </w:r>
            <w:r>
              <w:rPr>
                <w:rFonts w:hint="eastAsia" w:ascii="宋体" w:hAnsi="宋体" w:cs="宋体"/>
                <w:color w:val="auto"/>
                <w:spacing w:val="-2"/>
                <w:sz w:val="24"/>
                <w:szCs w:val="24"/>
                <w:highlight w:val="none"/>
                <w:u w:val="single"/>
              </w:rPr>
              <w:t>（</w:t>
            </w:r>
            <w:r>
              <w:rPr>
                <w:rFonts w:hint="eastAsia" w:ascii="宋体" w:hAnsi="宋体" w:cs="宋体"/>
                <w:color w:val="auto"/>
                <w:sz w:val="24"/>
                <w:szCs w:val="24"/>
                <w:highlight w:val="none"/>
              </w:rPr>
              <w:t>北京时</w:t>
            </w:r>
            <w:r>
              <w:rPr>
                <w:rFonts w:hint="eastAsia" w:ascii="宋体" w:hAnsi="宋体" w:cs="宋体"/>
                <w:color w:val="auto"/>
                <w:sz w:val="24"/>
                <w:szCs w:val="24"/>
              </w:rPr>
              <w:t>间）</w:t>
            </w:r>
          </w:p>
        </w:tc>
      </w:tr>
      <w:tr w14:paraId="77B07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6373E838">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5</w:t>
            </w:r>
          </w:p>
        </w:tc>
        <w:tc>
          <w:tcPr>
            <w:tcW w:w="349" w:type="pct"/>
            <w:noWrap w:val="0"/>
            <w:vAlign w:val="center"/>
          </w:tcPr>
          <w:p w14:paraId="7FB7D68C">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12</w:t>
            </w:r>
          </w:p>
        </w:tc>
        <w:tc>
          <w:tcPr>
            <w:tcW w:w="4418" w:type="pct"/>
            <w:noWrap w:val="0"/>
            <w:vAlign w:val="center"/>
          </w:tcPr>
          <w:p w14:paraId="69F5DFF8">
            <w:pPr>
              <w:keepNext w:val="0"/>
              <w:keepLines w:val="0"/>
              <w:suppressLineNumbers w:val="0"/>
              <w:spacing w:before="0" w:beforeAutospacing="0" w:after="0" w:afterAutospacing="0" w:line="410" w:lineRule="exact"/>
              <w:ind w:left="0" w:right="0"/>
              <w:rPr>
                <w:rFonts w:hint="eastAsia" w:ascii="宋体" w:hAnsi="宋体" w:cs="宋体"/>
                <w:color w:val="auto"/>
                <w:sz w:val="24"/>
                <w:szCs w:val="24"/>
              </w:rPr>
            </w:pPr>
            <w:r>
              <w:rPr>
                <w:rFonts w:hint="eastAsia" w:ascii="宋体" w:hAnsi="宋体" w:cs="宋体"/>
                <w:b/>
                <w:bCs/>
                <w:color w:val="auto"/>
                <w:sz w:val="24"/>
                <w:szCs w:val="24"/>
              </w:rPr>
              <w:t>磋商保证金：</w:t>
            </w:r>
            <w:r>
              <w:rPr>
                <w:rFonts w:hint="eastAsia" w:ascii="宋体" w:hAnsi="宋体" w:cs="宋体"/>
                <w:color w:val="auto"/>
                <w:sz w:val="24"/>
                <w:szCs w:val="24"/>
              </w:rPr>
              <w:t>合同包1：人民币</w:t>
            </w:r>
            <w:r>
              <w:rPr>
                <w:rFonts w:hint="eastAsia" w:ascii="宋体" w:hAnsi="宋体" w:cs="宋体"/>
                <w:color w:val="auto"/>
                <w:sz w:val="24"/>
                <w:szCs w:val="24"/>
                <w:u w:val="single"/>
              </w:rPr>
              <w:t>9882</w:t>
            </w:r>
            <w:r>
              <w:rPr>
                <w:rFonts w:hint="eastAsia" w:ascii="宋体" w:hAnsi="宋体" w:cs="宋体"/>
                <w:color w:val="auto"/>
                <w:sz w:val="24"/>
                <w:szCs w:val="24"/>
              </w:rPr>
              <w:t>元</w:t>
            </w:r>
          </w:p>
          <w:p w14:paraId="06661945">
            <w:pPr>
              <w:keepNext w:val="0"/>
              <w:keepLines w:val="0"/>
              <w:suppressLineNumbers w:val="0"/>
              <w:spacing w:before="0" w:beforeAutospacing="0" w:after="0" w:afterAutospacing="0" w:line="410" w:lineRule="exact"/>
              <w:ind w:left="0" w:right="0"/>
              <w:rPr>
                <w:rFonts w:hint="eastAsia" w:ascii="宋体" w:hAnsi="宋体" w:cs="宋体"/>
                <w:color w:val="auto"/>
                <w:sz w:val="24"/>
                <w:szCs w:val="24"/>
              </w:rPr>
            </w:pPr>
            <w:r>
              <w:rPr>
                <w:rFonts w:hint="eastAsia" w:ascii="宋体" w:hAnsi="宋体" w:cs="宋体"/>
                <w:color w:val="auto"/>
                <w:sz w:val="24"/>
                <w:szCs w:val="24"/>
              </w:rPr>
              <w:t>供应商应以公对公账户银行转账、银行电汇等方式按以上标准向采购代理机构提交磋商保证金。本项目不接受现金形式提交的磋商保证金。</w:t>
            </w:r>
            <w:r>
              <w:rPr>
                <w:rFonts w:hint="eastAsia" w:ascii="宋体" w:hAnsi="宋体" w:cs="宋体"/>
                <w:color w:val="auto"/>
                <w:sz w:val="24"/>
                <w:szCs w:val="24"/>
                <w:lang w:val="en-US" w:eastAsia="zh-CN"/>
              </w:rPr>
              <w:t>磋商</w:t>
            </w:r>
            <w:r>
              <w:rPr>
                <w:rFonts w:hint="eastAsia" w:ascii="宋体" w:hAnsi="宋体" w:cs="宋体"/>
                <w:color w:val="auto"/>
                <w:sz w:val="24"/>
                <w:szCs w:val="24"/>
              </w:rPr>
              <w:t>保证金应于</w:t>
            </w:r>
            <w:r>
              <w:rPr>
                <w:rFonts w:hint="eastAsia" w:ascii="宋体" w:hAnsi="宋体" w:cs="宋体"/>
                <w:color w:val="auto"/>
                <w:sz w:val="24"/>
                <w:szCs w:val="24"/>
                <w:lang w:val="en-US" w:eastAsia="zh-CN"/>
              </w:rPr>
              <w:t>磋商</w:t>
            </w:r>
            <w:r>
              <w:rPr>
                <w:rFonts w:hint="eastAsia" w:ascii="宋体" w:hAnsi="宋体" w:cs="宋体"/>
                <w:color w:val="auto"/>
                <w:sz w:val="24"/>
                <w:szCs w:val="24"/>
              </w:rPr>
              <w:t>截止时间前到达</w:t>
            </w:r>
            <w:r>
              <w:rPr>
                <w:rFonts w:hint="eastAsia" w:ascii="宋体" w:hAnsi="宋体" w:cs="宋体"/>
                <w:color w:val="auto"/>
                <w:sz w:val="24"/>
                <w:szCs w:val="24"/>
                <w:lang w:val="en-US" w:eastAsia="zh-CN"/>
              </w:rPr>
              <w:t>磋商</w:t>
            </w:r>
            <w:r>
              <w:rPr>
                <w:rFonts w:hint="eastAsia" w:ascii="宋体" w:hAnsi="宋体" w:cs="宋体"/>
                <w:color w:val="auto"/>
                <w:sz w:val="24"/>
                <w:szCs w:val="24"/>
              </w:rPr>
              <w:t>文件载明的</w:t>
            </w:r>
            <w:r>
              <w:rPr>
                <w:rFonts w:hint="eastAsia" w:ascii="宋体" w:hAnsi="宋体" w:cs="宋体"/>
                <w:color w:val="auto"/>
                <w:sz w:val="24"/>
                <w:szCs w:val="24"/>
                <w:lang w:val="en-US" w:eastAsia="zh-CN"/>
              </w:rPr>
              <w:t>磋商</w:t>
            </w:r>
            <w:r>
              <w:rPr>
                <w:rFonts w:hint="eastAsia" w:ascii="宋体" w:hAnsi="宋体" w:cs="宋体"/>
                <w:color w:val="auto"/>
                <w:sz w:val="24"/>
                <w:szCs w:val="24"/>
              </w:rPr>
              <w:t>保证金账户，否则视为</w:t>
            </w:r>
            <w:r>
              <w:rPr>
                <w:rFonts w:hint="eastAsia" w:ascii="宋体" w:hAnsi="宋体" w:cs="宋体"/>
                <w:color w:val="auto"/>
                <w:sz w:val="24"/>
                <w:szCs w:val="24"/>
                <w:lang w:val="en-US" w:eastAsia="zh-CN"/>
              </w:rPr>
              <w:t>磋商</w:t>
            </w:r>
            <w:r>
              <w:rPr>
                <w:rFonts w:hint="eastAsia" w:ascii="宋体" w:hAnsi="宋体" w:cs="宋体"/>
                <w:color w:val="auto"/>
                <w:sz w:val="24"/>
                <w:szCs w:val="24"/>
              </w:rPr>
              <w:t>保证金未提交；是否到达按照下列方式认定：以福建优胜招标项目管理集团有限公司</w:t>
            </w:r>
            <w:r>
              <w:rPr>
                <w:rFonts w:hint="eastAsia" w:ascii="宋体" w:hAnsi="宋体" w:cs="宋体"/>
                <w:color w:val="auto"/>
                <w:sz w:val="24"/>
                <w:szCs w:val="24"/>
                <w:lang w:val="en-US" w:eastAsia="zh-CN"/>
              </w:rPr>
              <w:t>磋商</w:t>
            </w:r>
            <w:r>
              <w:rPr>
                <w:rFonts w:hint="eastAsia" w:ascii="宋体" w:hAnsi="宋体" w:cs="宋体"/>
                <w:color w:val="auto"/>
                <w:sz w:val="24"/>
                <w:szCs w:val="24"/>
              </w:rPr>
              <w:t>保证金账户银行系统记载的到账时间为准。</w:t>
            </w:r>
          </w:p>
        </w:tc>
      </w:tr>
      <w:tr w14:paraId="58B56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232" w:type="pct"/>
            <w:noWrap w:val="0"/>
            <w:vAlign w:val="center"/>
          </w:tcPr>
          <w:p w14:paraId="42AD2105">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6</w:t>
            </w:r>
          </w:p>
        </w:tc>
        <w:tc>
          <w:tcPr>
            <w:tcW w:w="349" w:type="pct"/>
            <w:noWrap w:val="0"/>
            <w:vAlign w:val="center"/>
          </w:tcPr>
          <w:p w14:paraId="40DE4159">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19.1</w:t>
            </w:r>
          </w:p>
        </w:tc>
        <w:tc>
          <w:tcPr>
            <w:tcW w:w="4418" w:type="pct"/>
            <w:noWrap w:val="0"/>
            <w:vAlign w:val="center"/>
          </w:tcPr>
          <w:p w14:paraId="57BE1A8B">
            <w:pPr>
              <w:keepNext w:val="0"/>
              <w:keepLines w:val="0"/>
              <w:suppressLineNumbers w:val="0"/>
              <w:spacing w:before="0" w:beforeAutospacing="0" w:after="0" w:afterAutospacing="0" w:line="380" w:lineRule="exact"/>
              <w:ind w:left="0" w:right="0"/>
              <w:rPr>
                <w:rFonts w:hint="eastAsia" w:ascii="宋体" w:hAnsi="宋体" w:cs="宋体"/>
                <w:b/>
                <w:bCs/>
                <w:color w:val="auto"/>
                <w:sz w:val="24"/>
                <w:szCs w:val="24"/>
              </w:rPr>
            </w:pPr>
            <w:r>
              <w:rPr>
                <w:rFonts w:hint="eastAsia" w:ascii="宋体" w:hAnsi="宋体" w:cs="宋体"/>
                <w:b/>
                <w:bCs/>
                <w:color w:val="auto"/>
                <w:sz w:val="24"/>
                <w:szCs w:val="24"/>
              </w:rPr>
              <w:t>评审标准和方法：（详见附件A)</w:t>
            </w:r>
            <w:bookmarkStart w:id="21" w:name="_Toc266745666"/>
            <w:r>
              <w:rPr>
                <w:rFonts w:hint="eastAsia" w:ascii="宋体" w:hAnsi="宋体" w:cs="宋体"/>
                <w:b/>
                <w:bCs/>
                <w:color w:val="auto"/>
                <w:sz w:val="24"/>
                <w:szCs w:val="24"/>
              </w:rPr>
              <w:t xml:space="preserve"> </w:t>
            </w:r>
            <w:bookmarkEnd w:id="21"/>
          </w:p>
        </w:tc>
      </w:tr>
      <w:tr w14:paraId="3734F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 w:hRule="atLeast"/>
        </w:trPr>
        <w:tc>
          <w:tcPr>
            <w:tcW w:w="232" w:type="pct"/>
            <w:noWrap w:val="0"/>
            <w:vAlign w:val="center"/>
          </w:tcPr>
          <w:p w14:paraId="7B22E9AA">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7</w:t>
            </w:r>
          </w:p>
        </w:tc>
        <w:tc>
          <w:tcPr>
            <w:tcW w:w="349" w:type="pct"/>
            <w:noWrap w:val="0"/>
            <w:vAlign w:val="center"/>
          </w:tcPr>
          <w:p w14:paraId="714CCEA6">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23.1</w:t>
            </w:r>
          </w:p>
        </w:tc>
        <w:tc>
          <w:tcPr>
            <w:tcW w:w="4418" w:type="pct"/>
            <w:noWrap w:val="0"/>
            <w:vAlign w:val="center"/>
          </w:tcPr>
          <w:p w14:paraId="0EAF706F">
            <w:pPr>
              <w:keepNext w:val="0"/>
              <w:keepLines w:val="0"/>
              <w:suppressLineNumbers w:val="0"/>
              <w:spacing w:before="0" w:beforeAutospacing="0" w:after="0" w:afterAutospacing="0" w:line="420" w:lineRule="exact"/>
              <w:ind w:left="0" w:right="0"/>
              <w:rPr>
                <w:rFonts w:hint="eastAsia" w:ascii="宋体" w:hAnsi="宋体" w:cs="宋体"/>
                <w:color w:val="auto"/>
                <w:sz w:val="24"/>
                <w:szCs w:val="24"/>
              </w:rPr>
            </w:pPr>
            <w:r>
              <w:rPr>
                <w:rFonts w:hint="eastAsia" w:ascii="宋体" w:hAnsi="宋体" w:cs="宋体"/>
                <w:color w:val="auto"/>
                <w:sz w:val="24"/>
                <w:szCs w:val="24"/>
              </w:rPr>
              <w:t>采购项目行政监督部门：</w:t>
            </w:r>
            <w:r>
              <w:rPr>
                <w:rFonts w:hint="eastAsia" w:ascii="宋体" w:hAnsi="宋体" w:cs="宋体"/>
                <w:color w:val="auto"/>
                <w:sz w:val="24"/>
                <w:szCs w:val="24"/>
                <w:lang w:val="zh-CN"/>
              </w:rPr>
              <w:t>福建省建阳兴欣织造有限责任公司</w:t>
            </w:r>
            <w:r>
              <w:rPr>
                <w:rFonts w:hint="default" w:ascii="宋体" w:hAnsi="宋体" w:cs="宋体"/>
                <w:color w:val="auto"/>
                <w:sz w:val="24"/>
                <w:szCs w:val="24"/>
              </w:rPr>
              <w:t>监事会</w:t>
            </w:r>
          </w:p>
        </w:tc>
      </w:tr>
      <w:tr w14:paraId="4419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232" w:type="pct"/>
            <w:noWrap w:val="0"/>
            <w:vAlign w:val="center"/>
          </w:tcPr>
          <w:p w14:paraId="0C26EDAC">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8</w:t>
            </w:r>
          </w:p>
        </w:tc>
        <w:tc>
          <w:tcPr>
            <w:tcW w:w="349" w:type="pct"/>
            <w:noWrap w:val="0"/>
            <w:vAlign w:val="center"/>
          </w:tcPr>
          <w:p w14:paraId="4F7AB96B">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p>
        </w:tc>
        <w:tc>
          <w:tcPr>
            <w:tcW w:w="4418" w:type="pct"/>
            <w:noWrap w:val="0"/>
            <w:vAlign w:val="center"/>
          </w:tcPr>
          <w:p w14:paraId="04F8354E">
            <w:pPr>
              <w:keepNext w:val="0"/>
              <w:keepLines w:val="0"/>
              <w:suppressLineNumbers w:val="0"/>
              <w:spacing w:before="0" w:beforeAutospacing="0" w:after="0" w:afterAutospacing="0" w:line="400" w:lineRule="exact"/>
              <w:ind w:left="0" w:right="0"/>
              <w:rPr>
                <w:rFonts w:hint="eastAsia" w:ascii="宋体" w:hAnsi="宋体" w:cs="宋体"/>
                <w:b/>
                <w:bCs/>
                <w:color w:val="auto"/>
                <w:spacing w:val="-8"/>
                <w:sz w:val="24"/>
                <w:szCs w:val="24"/>
              </w:rPr>
            </w:pPr>
            <w:r>
              <w:rPr>
                <w:rFonts w:hint="eastAsia" w:ascii="宋体" w:hAnsi="宋体" w:cs="宋体"/>
                <w:b/>
                <w:bCs/>
                <w:color w:val="auto"/>
                <w:sz w:val="24"/>
                <w:szCs w:val="24"/>
              </w:rPr>
              <w:t>项目最高限价（超过最高限价的报价为无效报价）：详见本采购文件</w:t>
            </w:r>
            <w:r>
              <w:rPr>
                <w:rFonts w:hint="eastAsia" w:ascii="宋体" w:hAnsi="宋体" w:cs="宋体"/>
                <w:color w:val="auto"/>
                <w:sz w:val="24"/>
                <w:szCs w:val="24"/>
              </w:rPr>
              <w:t>“采购标的</w:t>
            </w:r>
            <w:r>
              <w:rPr>
                <w:rFonts w:hint="eastAsia" w:ascii="宋体" w:hAnsi="宋体" w:cs="宋体"/>
                <w:b/>
                <w:bCs/>
                <w:color w:val="auto"/>
                <w:sz w:val="24"/>
                <w:szCs w:val="24"/>
              </w:rPr>
              <w:t>一览表</w:t>
            </w:r>
            <w:r>
              <w:rPr>
                <w:rFonts w:hint="eastAsia" w:ascii="宋体" w:hAnsi="宋体" w:cs="宋体"/>
                <w:color w:val="auto"/>
                <w:sz w:val="24"/>
                <w:szCs w:val="24"/>
              </w:rPr>
              <w:t>”</w:t>
            </w:r>
            <w:r>
              <w:rPr>
                <w:rFonts w:hint="eastAsia" w:ascii="宋体" w:hAnsi="宋体" w:cs="宋体"/>
                <w:b/>
                <w:bCs/>
                <w:color w:val="auto"/>
                <w:sz w:val="24"/>
                <w:szCs w:val="24"/>
              </w:rPr>
              <w:t>。</w:t>
            </w:r>
          </w:p>
        </w:tc>
      </w:tr>
      <w:tr w14:paraId="19B9A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2DF41F0D">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9</w:t>
            </w:r>
          </w:p>
        </w:tc>
        <w:tc>
          <w:tcPr>
            <w:tcW w:w="349" w:type="pct"/>
            <w:noWrap w:val="0"/>
            <w:vAlign w:val="center"/>
          </w:tcPr>
          <w:p w14:paraId="0D5C4E0D">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p>
        </w:tc>
        <w:tc>
          <w:tcPr>
            <w:tcW w:w="4418" w:type="pct"/>
            <w:noWrap w:val="0"/>
            <w:vAlign w:val="center"/>
          </w:tcPr>
          <w:p w14:paraId="1D11C65D">
            <w:pPr>
              <w:keepNext w:val="0"/>
              <w:keepLines w:val="0"/>
              <w:suppressLineNumbers w:val="0"/>
              <w:spacing w:before="0" w:beforeAutospacing="0" w:after="0" w:afterAutospacing="0" w:line="440" w:lineRule="exact"/>
              <w:ind w:left="0" w:right="0"/>
              <w:rPr>
                <w:rFonts w:hint="eastAsia" w:ascii="宋体" w:hAnsi="宋体" w:cs="宋体"/>
                <w:b/>
                <w:bCs/>
                <w:color w:val="auto"/>
                <w:sz w:val="24"/>
                <w:szCs w:val="24"/>
              </w:rPr>
            </w:pPr>
            <w:r>
              <w:rPr>
                <w:rFonts w:hint="eastAsia" w:ascii="宋体" w:hAnsi="宋体" w:cs="宋体"/>
                <w:b/>
                <w:bCs/>
                <w:color w:val="auto"/>
                <w:sz w:val="24"/>
                <w:szCs w:val="24"/>
              </w:rPr>
              <w:t>货款结算及支付方式：详见本采购文件第三章。</w:t>
            </w:r>
          </w:p>
        </w:tc>
      </w:tr>
      <w:tr w14:paraId="1746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32" w:type="pct"/>
            <w:vMerge w:val="restart"/>
            <w:noWrap w:val="0"/>
            <w:vAlign w:val="center"/>
          </w:tcPr>
          <w:p w14:paraId="13FC03D7">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10</w:t>
            </w:r>
          </w:p>
        </w:tc>
        <w:tc>
          <w:tcPr>
            <w:tcW w:w="349" w:type="pct"/>
            <w:noWrap w:val="0"/>
            <w:vAlign w:val="center"/>
          </w:tcPr>
          <w:p w14:paraId="11580CC9">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13.1</w:t>
            </w:r>
          </w:p>
        </w:tc>
        <w:tc>
          <w:tcPr>
            <w:tcW w:w="4418" w:type="pct"/>
            <w:noWrap w:val="0"/>
            <w:vAlign w:val="center"/>
          </w:tcPr>
          <w:p w14:paraId="72C71EE0">
            <w:pPr>
              <w:keepNext w:val="0"/>
              <w:keepLines w:val="0"/>
              <w:suppressLineNumbers w:val="0"/>
              <w:spacing w:before="0" w:beforeAutospacing="0" w:after="0" w:afterAutospacing="0" w:line="410" w:lineRule="exact"/>
              <w:ind w:left="0" w:right="0"/>
              <w:rPr>
                <w:rFonts w:hint="eastAsia" w:ascii="宋体" w:hAnsi="宋体" w:cs="宋体"/>
                <w:b/>
                <w:bCs/>
                <w:color w:val="auto"/>
                <w:sz w:val="24"/>
                <w:szCs w:val="24"/>
              </w:rPr>
            </w:pPr>
            <w:r>
              <w:rPr>
                <w:rFonts w:hint="eastAsia" w:ascii="宋体" w:hAnsi="宋体" w:cs="宋体"/>
                <w:b/>
                <w:bCs/>
                <w:color w:val="auto"/>
                <w:sz w:val="24"/>
                <w:szCs w:val="24"/>
              </w:rPr>
              <w:t>特别提示：</w:t>
            </w:r>
          </w:p>
          <w:p w14:paraId="50FA2459">
            <w:pPr>
              <w:keepNext w:val="0"/>
              <w:keepLines w:val="0"/>
              <w:suppressLineNumbers w:val="0"/>
              <w:spacing w:before="0" w:beforeAutospacing="0" w:after="0" w:afterAutospacing="0" w:line="410" w:lineRule="exact"/>
              <w:ind w:left="0" w:right="0"/>
              <w:rPr>
                <w:rFonts w:hint="eastAsia" w:ascii="宋体" w:hAnsi="宋体" w:cs="宋体"/>
                <w:b/>
                <w:bCs/>
                <w:color w:val="auto"/>
                <w:sz w:val="24"/>
                <w:szCs w:val="24"/>
              </w:rPr>
            </w:pPr>
            <w:r>
              <w:rPr>
                <w:rFonts w:hint="eastAsia" w:ascii="宋体" w:hAnsi="宋体" w:cs="宋体"/>
                <w:b/>
                <w:bCs/>
                <w:color w:val="auto"/>
                <w:sz w:val="24"/>
                <w:szCs w:val="24"/>
              </w:rPr>
              <w:t>1</w:t>
            </w:r>
            <w:r>
              <w:rPr>
                <w:rFonts w:hint="eastAsia" w:ascii="宋体" w:hAnsi="宋体" w:cs="宋体"/>
                <w:b/>
                <w:bCs/>
                <w:color w:val="auto"/>
                <w:sz w:val="24"/>
                <w:szCs w:val="24"/>
                <w:lang w:val="en-US" w:eastAsia="zh-CN"/>
              </w:rPr>
              <w:t>.</w:t>
            </w:r>
            <w:r>
              <w:rPr>
                <w:rFonts w:hint="eastAsia" w:ascii="宋体" w:hAnsi="宋体" w:cs="宋体"/>
                <w:b/>
                <w:bCs/>
                <w:color w:val="auto"/>
                <w:sz w:val="24"/>
                <w:szCs w:val="24"/>
              </w:rPr>
              <w:t>供应商的响应文件应按以下要求制作，否则视为无效响应：</w:t>
            </w:r>
          </w:p>
          <w:p w14:paraId="69D8564E">
            <w:pPr>
              <w:keepNext w:val="0"/>
              <w:keepLines w:val="0"/>
              <w:suppressLineNumbers w:val="0"/>
              <w:spacing w:before="0" w:beforeAutospacing="0" w:after="0" w:afterAutospacing="0" w:line="410" w:lineRule="exact"/>
              <w:ind w:left="0" w:right="0"/>
              <w:rPr>
                <w:rFonts w:hint="eastAsia" w:ascii="宋体" w:hAnsi="宋体" w:cs="宋体"/>
                <w:b/>
                <w:bCs/>
                <w:color w:val="auto"/>
                <w:sz w:val="24"/>
                <w:szCs w:val="24"/>
              </w:rPr>
            </w:pPr>
            <w:r>
              <w:rPr>
                <w:rFonts w:hint="eastAsia" w:ascii="宋体" w:hAnsi="宋体" w:cs="宋体"/>
                <w:b/>
                <w:bCs/>
                <w:color w:val="auto"/>
                <w:sz w:val="24"/>
                <w:szCs w:val="24"/>
              </w:rPr>
              <w:t>（1）响应文件须独立编制：正本一份，副本</w:t>
            </w:r>
            <w:r>
              <w:rPr>
                <w:rFonts w:hint="eastAsia" w:ascii="宋体" w:hAnsi="宋体" w:cs="宋体"/>
                <w:b/>
                <w:bCs/>
                <w:color w:val="auto"/>
                <w:sz w:val="24"/>
                <w:szCs w:val="24"/>
                <w:lang w:eastAsia="zh-CN"/>
              </w:rPr>
              <w:t>三份</w:t>
            </w:r>
            <w:r>
              <w:rPr>
                <w:rFonts w:hint="eastAsia" w:ascii="宋体" w:hAnsi="宋体" w:cs="宋体"/>
                <w:b/>
                <w:bCs/>
                <w:color w:val="auto"/>
                <w:sz w:val="24"/>
                <w:szCs w:val="24"/>
              </w:rPr>
              <w:t>（副本可装在一个信封内），正本必须用A4幅面纸张打印胶装，副本可以用正本的完整复印件，并在封面标明“正本”、“副本”字样。正本与副本如有不一致，则以正本为准。响应文件正副本必须用胶装成册（为永久性、无破坏不可拆分）并加盖骑缝章(或每页盖章)。</w:t>
            </w:r>
          </w:p>
          <w:p w14:paraId="19369FFC">
            <w:pPr>
              <w:keepNext w:val="0"/>
              <w:keepLines w:val="0"/>
              <w:suppressLineNumbers w:val="0"/>
              <w:spacing w:before="0" w:beforeAutospacing="0" w:after="0" w:afterAutospacing="0" w:line="410" w:lineRule="exact"/>
              <w:ind w:left="0" w:right="0"/>
              <w:rPr>
                <w:rFonts w:hint="eastAsia" w:ascii="宋体" w:hAnsi="宋体" w:cs="宋体"/>
                <w:b/>
                <w:bCs/>
                <w:color w:val="auto"/>
                <w:sz w:val="24"/>
                <w:szCs w:val="24"/>
              </w:rPr>
            </w:pPr>
            <w:r>
              <w:rPr>
                <w:rFonts w:hint="eastAsia" w:ascii="宋体" w:hAnsi="宋体" w:cs="宋体"/>
                <w:b/>
                <w:bCs/>
                <w:color w:val="auto"/>
                <w:sz w:val="24"/>
                <w:szCs w:val="24"/>
              </w:rPr>
              <w:t>（2）响应文件中的“附件2：报价一览表（最终报价）”应在磋商后单独密封提交。</w:t>
            </w:r>
          </w:p>
          <w:p w14:paraId="17AC427B">
            <w:pPr>
              <w:keepNext w:val="0"/>
              <w:keepLines w:val="0"/>
              <w:suppressLineNumbers w:val="0"/>
              <w:spacing w:before="0" w:beforeAutospacing="0" w:after="0" w:afterAutospacing="0" w:line="410" w:lineRule="exact"/>
              <w:ind w:left="0" w:right="0"/>
              <w:rPr>
                <w:rFonts w:hint="eastAsia" w:ascii="宋体" w:hAnsi="宋体" w:cs="宋体"/>
                <w:b/>
                <w:bCs/>
                <w:color w:val="auto"/>
                <w:sz w:val="24"/>
                <w:szCs w:val="24"/>
              </w:rPr>
            </w:pPr>
            <w:r>
              <w:rPr>
                <w:rFonts w:hint="eastAsia" w:ascii="宋体" w:hAnsi="宋体" w:cs="宋体"/>
                <w:b/>
                <w:bCs/>
                <w:color w:val="auto"/>
                <w:sz w:val="24"/>
                <w:szCs w:val="24"/>
              </w:rPr>
              <w:t>（3）可读介质（光盘或U盘）1份，供应商应扫描签字、盖章后的纸质响应文件正本以PDF格式制作成电子文本，电子与纸质响应文件内容保持一致（若不一致，以纸质响应文件正本为准）。其中所有文件不做压缩处理、不留密码，包装要求同上。</w:t>
            </w:r>
          </w:p>
        </w:tc>
      </w:tr>
      <w:tr w14:paraId="4BD23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232" w:type="pct"/>
            <w:vMerge w:val="continue"/>
            <w:noWrap w:val="0"/>
            <w:vAlign w:val="center"/>
          </w:tcPr>
          <w:p w14:paraId="292625D3">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p>
        </w:tc>
        <w:tc>
          <w:tcPr>
            <w:tcW w:w="349" w:type="pct"/>
            <w:noWrap w:val="0"/>
            <w:vAlign w:val="center"/>
          </w:tcPr>
          <w:p w14:paraId="143BA151">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13.8</w:t>
            </w:r>
          </w:p>
        </w:tc>
        <w:tc>
          <w:tcPr>
            <w:tcW w:w="4418" w:type="pct"/>
            <w:noWrap w:val="0"/>
            <w:vAlign w:val="center"/>
          </w:tcPr>
          <w:p w14:paraId="1C73FC4E">
            <w:pPr>
              <w:keepNext w:val="0"/>
              <w:keepLines w:val="0"/>
              <w:suppressLineNumbers w:val="0"/>
              <w:spacing w:before="0" w:beforeAutospacing="0" w:after="0" w:afterAutospacing="0" w:line="500" w:lineRule="exact"/>
              <w:ind w:left="0" w:right="0"/>
              <w:rPr>
                <w:rFonts w:hint="eastAsia" w:ascii="宋体" w:hAnsi="宋体" w:cs="宋体"/>
                <w:color w:val="auto"/>
                <w:sz w:val="24"/>
                <w:szCs w:val="24"/>
              </w:rPr>
            </w:pPr>
            <w:r>
              <w:rPr>
                <w:rFonts w:hint="eastAsia" w:ascii="宋体" w:hAnsi="宋体" w:cs="宋体"/>
                <w:b/>
                <w:bCs/>
                <w:color w:val="auto"/>
                <w:sz w:val="24"/>
                <w:szCs w:val="24"/>
              </w:rPr>
              <w:t>所有资格证明文件（含商务部分所涉及的证明文件）复印件均须在有效期内，并加盖供应商公章，原件备查。</w:t>
            </w:r>
          </w:p>
        </w:tc>
      </w:tr>
      <w:tr w14:paraId="494D7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2B647BF9">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11</w:t>
            </w:r>
          </w:p>
        </w:tc>
        <w:tc>
          <w:tcPr>
            <w:tcW w:w="349" w:type="pct"/>
            <w:noWrap w:val="0"/>
            <w:vAlign w:val="center"/>
          </w:tcPr>
          <w:p w14:paraId="5BE60349">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p>
        </w:tc>
        <w:tc>
          <w:tcPr>
            <w:tcW w:w="4418" w:type="pct"/>
            <w:noWrap w:val="0"/>
            <w:vAlign w:val="center"/>
          </w:tcPr>
          <w:p w14:paraId="07ED38C6">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磋商服务费：本项目代理服务费由成交供应商支付。代理服务费以</w:t>
            </w:r>
            <w:r>
              <w:rPr>
                <w:rFonts w:hint="eastAsia" w:ascii="宋体" w:hAnsi="宋体" w:cs="宋体"/>
                <w:color w:val="auto"/>
                <w:sz w:val="24"/>
                <w:szCs w:val="24"/>
                <w:lang w:val="en-US" w:eastAsia="zh-CN"/>
              </w:rPr>
              <w:t>合同</w:t>
            </w:r>
            <w:r>
              <w:rPr>
                <w:rFonts w:hint="eastAsia" w:ascii="宋体" w:hAnsi="宋体" w:cs="宋体"/>
                <w:color w:val="auto"/>
                <w:sz w:val="24"/>
                <w:szCs w:val="24"/>
              </w:rPr>
              <w:t>金额为基数进行计算。收费率标准：50万元（含）以下的按1%</w:t>
            </w:r>
            <w:r>
              <w:rPr>
                <w:rFonts w:hint="eastAsia" w:ascii="宋体" w:hAnsi="宋体" w:cs="宋体"/>
                <w:color w:val="auto"/>
                <w:sz w:val="24"/>
                <w:szCs w:val="24"/>
                <w:lang w:val="en-US" w:eastAsia="zh-CN"/>
              </w:rPr>
              <w:t>计算</w:t>
            </w:r>
            <w:r>
              <w:rPr>
                <w:rFonts w:hint="default" w:ascii="宋体" w:hAnsi="宋体" w:cs="宋体"/>
                <w:bCs/>
                <w:color w:val="auto"/>
                <w:sz w:val="24"/>
                <w:szCs w:val="24"/>
              </w:rPr>
              <w:t>，50-100万元的按0.90%计算</w:t>
            </w:r>
            <w:r>
              <w:rPr>
                <w:rFonts w:hint="eastAsia" w:ascii="宋体" w:hAnsi="宋体" w:cs="宋体"/>
                <w:bCs/>
                <w:color w:val="auto"/>
                <w:sz w:val="24"/>
                <w:szCs w:val="24"/>
                <w:lang w:eastAsia="zh-CN"/>
              </w:rPr>
              <w:t>，</w:t>
            </w:r>
            <w:r>
              <w:rPr>
                <w:rFonts w:hint="eastAsia" w:ascii="宋体" w:hAnsi="宋体" w:cs="宋体"/>
                <w:bCs/>
                <w:color w:val="auto"/>
                <w:sz w:val="24"/>
                <w:szCs w:val="24"/>
                <w:lang w:val="en-US" w:eastAsia="zh-CN"/>
              </w:rPr>
              <w:t>100-500</w:t>
            </w:r>
            <w:r>
              <w:rPr>
                <w:rFonts w:hint="default" w:ascii="宋体" w:hAnsi="宋体" w:cs="宋体"/>
                <w:bCs/>
                <w:color w:val="auto"/>
                <w:sz w:val="24"/>
                <w:szCs w:val="24"/>
              </w:rPr>
              <w:t>万元的按</w:t>
            </w:r>
            <w:r>
              <w:rPr>
                <w:rFonts w:hint="eastAsia" w:ascii="宋体" w:hAnsi="宋体" w:cs="宋体"/>
                <w:bCs/>
                <w:color w:val="auto"/>
                <w:sz w:val="24"/>
                <w:szCs w:val="24"/>
                <w:lang w:val="en-US" w:eastAsia="zh-CN"/>
              </w:rPr>
              <w:t>0.50</w:t>
            </w:r>
            <w:r>
              <w:rPr>
                <w:rFonts w:hint="default" w:ascii="宋体" w:hAnsi="宋体" w:cs="宋体"/>
                <w:bCs/>
                <w:color w:val="auto"/>
                <w:sz w:val="24"/>
                <w:szCs w:val="24"/>
              </w:rPr>
              <w:t>%计算</w:t>
            </w:r>
            <w:r>
              <w:rPr>
                <w:rFonts w:hint="eastAsia" w:ascii="宋体" w:hAnsi="宋体" w:cs="宋体"/>
                <w:color w:val="auto"/>
                <w:sz w:val="24"/>
                <w:szCs w:val="24"/>
              </w:rPr>
              <w:t>。成交供应商在领取成交通知书前，以转账或汇款方式提交，请供应商报价时予以充分考虑。代理服务费支付至以下账户：</w:t>
            </w:r>
          </w:p>
          <w:p w14:paraId="655F3420">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开户名称：福建优胜招标项目管理集团有限公司</w:t>
            </w:r>
          </w:p>
          <w:p w14:paraId="1592E4B9">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开户银行：兴业银行福州华林支行</w:t>
            </w:r>
          </w:p>
          <w:p w14:paraId="004C2C66">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账    号：11713 01001 000 37952</w:t>
            </w:r>
          </w:p>
        </w:tc>
      </w:tr>
      <w:tr w14:paraId="51A8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781E812C">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12</w:t>
            </w:r>
          </w:p>
        </w:tc>
        <w:tc>
          <w:tcPr>
            <w:tcW w:w="349" w:type="pct"/>
            <w:noWrap w:val="0"/>
            <w:vAlign w:val="center"/>
          </w:tcPr>
          <w:p w14:paraId="28BBF9A3">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17.3</w:t>
            </w:r>
          </w:p>
        </w:tc>
        <w:tc>
          <w:tcPr>
            <w:tcW w:w="4418" w:type="pct"/>
            <w:noWrap w:val="0"/>
            <w:vAlign w:val="center"/>
          </w:tcPr>
          <w:p w14:paraId="1DD29248">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凡有下列情况之一者，响应文件也将被视为未实质性响应采购文件要求：</w:t>
            </w:r>
          </w:p>
          <w:p w14:paraId="136AB9EF">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（1）响应文件未按照本须知第13条，第14条的规定进行制作、密封、标记的；</w:t>
            </w:r>
          </w:p>
          <w:p w14:paraId="0E241820">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（2）未按规定由供应商的法定代表人或其授权代表签字，或未加盖供应商公章的；或签字人未经法定代表人有效授权委托的；</w:t>
            </w:r>
          </w:p>
          <w:p w14:paraId="0CC23AFB">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（3）未按规定提交</w:t>
            </w:r>
            <w:r>
              <w:rPr>
                <w:rFonts w:hint="eastAsia" w:ascii="宋体" w:hAnsi="宋体" w:cs="宋体"/>
                <w:color w:val="auto"/>
                <w:sz w:val="24"/>
                <w:szCs w:val="24"/>
                <w:lang w:val="en-US" w:eastAsia="zh-CN"/>
              </w:rPr>
              <w:t>磋商</w:t>
            </w:r>
            <w:r>
              <w:rPr>
                <w:rFonts w:hint="eastAsia" w:ascii="宋体" w:hAnsi="宋体" w:cs="宋体"/>
                <w:color w:val="auto"/>
                <w:sz w:val="24"/>
                <w:szCs w:val="24"/>
              </w:rPr>
              <w:t>保证金的；</w:t>
            </w:r>
          </w:p>
          <w:p w14:paraId="516454B4">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（4）磋商有效期不满足采购文件要求的；</w:t>
            </w:r>
          </w:p>
          <w:p w14:paraId="17C2E534">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（5）磋商内容与磋商内容及要求有重大偏离或保留的；</w:t>
            </w:r>
          </w:p>
          <w:p w14:paraId="645F670C">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（6）供应商提交的是可选择的报价；</w:t>
            </w:r>
          </w:p>
          <w:p w14:paraId="265D363B">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（7）一个供应商不止投一个标；</w:t>
            </w:r>
          </w:p>
          <w:p w14:paraId="691D26E2">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（8）响应文件组成不符合采购文件要求的；</w:t>
            </w:r>
          </w:p>
          <w:p w14:paraId="4988CBE4">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（9）响应文件中提供虚假或失实资料的；</w:t>
            </w:r>
          </w:p>
          <w:p w14:paraId="7AFA058D">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 xml:space="preserve">（10）不符合采购文件中规定的其他实质性条款。 </w:t>
            </w:r>
          </w:p>
          <w:p w14:paraId="4D7A9708">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认定串通磋商的情形：</w:t>
            </w:r>
          </w:p>
          <w:p w14:paraId="32B9017D">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磋商小组在评审过程中发现供应商存在下列情形之一的，可认定其有串通磋商行为，并做出其响应无效的决定：</w:t>
            </w:r>
          </w:p>
          <w:p w14:paraId="6AFF415A">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（1）不同供应商的响应文件错、漏之处一致或雷同，且不能合理解释的；</w:t>
            </w:r>
          </w:p>
          <w:p w14:paraId="3CA789E3">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（2）不同的供应商的法定代表人、委托代理人等由同一个单位缴纳社会保险的；</w:t>
            </w:r>
          </w:p>
          <w:p w14:paraId="0B11AEE7">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（3）由同一人或分别由几个有利害关系人携带两个以上（含两个）供应商的企业资料参与资格审查、领取资料，或代表两个以上（含两个）供应商参加答疑会、缴纳或退还保证金、开标的；</w:t>
            </w:r>
          </w:p>
          <w:p w14:paraId="047195E4">
            <w:pPr>
              <w:keepNext w:val="0"/>
              <w:keepLines w:val="0"/>
              <w:suppressLineNumbers w:val="0"/>
              <w:spacing w:before="0" w:beforeAutospacing="0" w:after="0" w:afterAutospacing="0" w:line="440" w:lineRule="exact"/>
              <w:ind w:left="0" w:right="0"/>
              <w:rPr>
                <w:rFonts w:hint="eastAsia" w:ascii="宋体" w:hAnsi="宋体" w:cs="宋体"/>
                <w:color w:val="auto"/>
                <w:sz w:val="24"/>
                <w:szCs w:val="24"/>
              </w:rPr>
            </w:pPr>
            <w:r>
              <w:rPr>
                <w:rFonts w:hint="eastAsia" w:ascii="宋体" w:hAnsi="宋体" w:cs="宋体"/>
                <w:color w:val="auto"/>
                <w:sz w:val="24"/>
                <w:szCs w:val="24"/>
              </w:rPr>
              <w:t>（4）有关法律、法规或规章规定的其他串通磋商行为。</w:t>
            </w:r>
          </w:p>
          <w:p w14:paraId="159F2F0E">
            <w:pPr>
              <w:keepNext w:val="0"/>
              <w:keepLines w:val="0"/>
              <w:suppressLineNumbers w:val="0"/>
              <w:spacing w:before="0" w:beforeAutospacing="0" w:after="0" w:afterAutospacing="0" w:line="500" w:lineRule="exact"/>
              <w:ind w:left="0" w:right="0"/>
              <w:rPr>
                <w:rFonts w:hint="eastAsia" w:ascii="宋体" w:hAnsi="宋体" w:cs="宋体"/>
                <w:color w:val="auto"/>
                <w:sz w:val="24"/>
                <w:szCs w:val="24"/>
              </w:rPr>
            </w:pPr>
            <w:r>
              <w:rPr>
                <w:rFonts w:hint="eastAsia" w:ascii="宋体" w:hAnsi="宋体" w:cs="宋体"/>
                <w:color w:val="auto"/>
                <w:sz w:val="24"/>
                <w:szCs w:val="24"/>
              </w:rPr>
              <w:t>磋商小组决定磋商的响应性只根据响应文件本身的内容，而不寻求其他的外部证据。</w:t>
            </w:r>
          </w:p>
        </w:tc>
      </w:tr>
      <w:tr w14:paraId="256B2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4B5F2176">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r>
              <w:rPr>
                <w:rFonts w:hint="eastAsia" w:ascii="宋体" w:hAnsi="宋体" w:cs="宋体"/>
                <w:color w:val="auto"/>
                <w:sz w:val="24"/>
                <w:szCs w:val="24"/>
              </w:rPr>
              <w:t>13</w:t>
            </w:r>
          </w:p>
        </w:tc>
        <w:tc>
          <w:tcPr>
            <w:tcW w:w="349" w:type="pct"/>
            <w:noWrap w:val="0"/>
            <w:vAlign w:val="center"/>
          </w:tcPr>
          <w:p w14:paraId="4888A88E">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p>
        </w:tc>
        <w:tc>
          <w:tcPr>
            <w:tcW w:w="4418" w:type="pct"/>
            <w:noWrap w:val="0"/>
            <w:vAlign w:val="center"/>
          </w:tcPr>
          <w:p w14:paraId="062315E4">
            <w:pPr>
              <w:keepNext w:val="0"/>
              <w:keepLines w:val="0"/>
              <w:suppressLineNumbers w:val="0"/>
              <w:spacing w:before="0" w:beforeAutospacing="0" w:after="0" w:afterAutospacing="0" w:line="500" w:lineRule="exact"/>
              <w:ind w:left="0" w:right="0"/>
              <w:rPr>
                <w:rFonts w:hint="eastAsia" w:ascii="宋体" w:hAnsi="宋体" w:cs="宋体"/>
                <w:color w:val="auto"/>
                <w:sz w:val="24"/>
                <w:szCs w:val="24"/>
              </w:rPr>
            </w:pPr>
            <w:r>
              <w:rPr>
                <w:rFonts w:hint="eastAsia" w:ascii="宋体" w:hAnsi="宋体" w:cs="宋体"/>
                <w:color w:val="auto"/>
                <w:sz w:val="24"/>
                <w:szCs w:val="24"/>
              </w:rPr>
              <w:t>磋商小组对供应商所提供的资格类文件仅负审核责任。即使供应商所提交的资格类文件通过了审核，在评审过程中乃至确定成交方后，如发现供应商所提供的资格类文件不合法或不真实，仍可废除成交方成交资格并追究成交方的法律责任。</w:t>
            </w:r>
          </w:p>
        </w:tc>
      </w:tr>
      <w:tr w14:paraId="6DB57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0C4E1A12">
            <w:pPr>
              <w:keepNext w:val="0"/>
              <w:keepLines w:val="0"/>
              <w:suppressLineNumbers w:val="0"/>
              <w:spacing w:before="0" w:beforeAutospacing="0" w:after="0" w:afterAutospacing="0" w:line="420" w:lineRule="exact"/>
              <w:ind w:left="0" w:right="0"/>
              <w:jc w:val="center"/>
              <w:rPr>
                <w:rFonts w:hint="default" w:ascii="宋体" w:hAnsi="宋体" w:cs="宋体"/>
                <w:color w:val="auto"/>
                <w:sz w:val="24"/>
                <w:szCs w:val="24"/>
              </w:rPr>
            </w:pPr>
            <w:r>
              <w:rPr>
                <w:rFonts w:hint="eastAsia" w:ascii="宋体" w:hAnsi="宋体" w:cs="宋体"/>
                <w:color w:val="auto"/>
                <w:sz w:val="24"/>
                <w:szCs w:val="24"/>
              </w:rPr>
              <w:t>14</w:t>
            </w:r>
          </w:p>
        </w:tc>
        <w:tc>
          <w:tcPr>
            <w:tcW w:w="349" w:type="pct"/>
            <w:noWrap w:val="0"/>
            <w:vAlign w:val="center"/>
          </w:tcPr>
          <w:p w14:paraId="099B175F">
            <w:pPr>
              <w:keepNext w:val="0"/>
              <w:keepLines w:val="0"/>
              <w:suppressLineNumbers w:val="0"/>
              <w:spacing w:before="0" w:beforeAutospacing="0" w:after="0" w:afterAutospacing="0" w:line="420" w:lineRule="exact"/>
              <w:ind w:left="0" w:right="0"/>
              <w:jc w:val="center"/>
              <w:rPr>
                <w:rFonts w:hint="eastAsia" w:ascii="宋体" w:hAnsi="宋体" w:cs="宋体"/>
                <w:color w:val="auto"/>
                <w:sz w:val="24"/>
                <w:szCs w:val="24"/>
              </w:rPr>
            </w:pPr>
          </w:p>
        </w:tc>
        <w:tc>
          <w:tcPr>
            <w:tcW w:w="4418" w:type="pct"/>
            <w:noWrap w:val="0"/>
            <w:vAlign w:val="top"/>
          </w:tcPr>
          <w:p w14:paraId="1C23FCDA">
            <w:pPr>
              <w:pStyle w:val="301"/>
              <w:keepNext w:val="0"/>
              <w:keepLines w:val="0"/>
              <w:widowControl w:val="0"/>
              <w:suppressLineNumbers w:val="0"/>
              <w:wordWrap w:val="0"/>
              <w:spacing w:before="0" w:beforeAutospacing="0" w:after="0" w:afterAutospacing="0" w:line="400" w:lineRule="exact"/>
              <w:ind w:left="0" w:right="0"/>
              <w:jc w:val="both"/>
              <w:rPr>
                <w:rFonts w:ascii="宋体" w:hAnsi="宋体" w:cs="宋体"/>
                <w:bCs/>
                <w:color w:val="auto"/>
                <w:sz w:val="24"/>
                <w:szCs w:val="24"/>
              </w:rPr>
            </w:pPr>
            <w:r>
              <w:rPr>
                <w:rFonts w:ascii="宋体" w:hAnsi="宋体" w:cs="宋体"/>
                <w:bCs/>
                <w:color w:val="auto"/>
                <w:sz w:val="24"/>
                <w:szCs w:val="24"/>
              </w:rPr>
              <w:t>磋商保证金退还的要求：</w:t>
            </w:r>
          </w:p>
          <w:p w14:paraId="2DFC8728">
            <w:pPr>
              <w:pStyle w:val="301"/>
              <w:keepNext w:val="0"/>
              <w:keepLines w:val="0"/>
              <w:widowControl w:val="0"/>
              <w:suppressLineNumbers w:val="0"/>
              <w:wordWrap w:val="0"/>
              <w:spacing w:before="0" w:beforeAutospacing="0" w:after="0" w:afterAutospacing="0" w:line="400" w:lineRule="exact"/>
              <w:ind w:left="0" w:right="0" w:firstLine="480" w:firstLineChars="200"/>
              <w:jc w:val="both"/>
              <w:rPr>
                <w:rFonts w:hint="eastAsia" w:ascii="宋体" w:hAnsi="宋体" w:cs="宋体"/>
                <w:bCs/>
                <w:color w:val="auto"/>
                <w:sz w:val="24"/>
                <w:szCs w:val="24"/>
                <w:lang w:eastAsia="zh-CN"/>
              </w:rPr>
            </w:pPr>
            <w:r>
              <w:rPr>
                <w:rFonts w:hint="eastAsia" w:ascii="宋体" w:hAnsi="宋体" w:cs="宋体"/>
                <w:bCs/>
                <w:color w:val="auto"/>
                <w:sz w:val="24"/>
                <w:szCs w:val="24"/>
                <w:lang w:eastAsia="zh-CN"/>
              </w:rPr>
              <w:t>（1）未成交人的磋商保证金退还时间为结果公告发出后5个工作日内，请未成交人进入福建优胜招标项目管理集团有限公司官网(http://www.fjyszb.com/)登入供应商账号后,在报名记录中找到需要退保的项目进行线上申请，将退保函(格式详见官网底部“办事指南”)和磋商保证金的汇款凭证加盖公章扫描上传至附件部分提交。逾期未办理的，我司不负相关法律责任。</w:t>
            </w:r>
          </w:p>
          <w:p w14:paraId="78F545C3">
            <w:pPr>
              <w:pStyle w:val="301"/>
              <w:keepNext w:val="0"/>
              <w:keepLines w:val="0"/>
              <w:widowControl w:val="0"/>
              <w:suppressLineNumbers w:val="0"/>
              <w:wordWrap w:val="0"/>
              <w:spacing w:before="0" w:beforeAutospacing="0" w:after="0" w:afterAutospacing="0" w:line="400" w:lineRule="exact"/>
              <w:ind w:left="0" w:right="0" w:firstLine="480" w:firstLineChars="200"/>
              <w:jc w:val="both"/>
              <w:rPr>
                <w:rFonts w:hint="eastAsia" w:ascii="宋体" w:hAnsi="宋体" w:cs="宋体"/>
                <w:bCs/>
                <w:color w:val="auto"/>
                <w:sz w:val="24"/>
                <w:szCs w:val="24"/>
                <w:lang w:eastAsia="zh-CN"/>
              </w:rPr>
            </w:pPr>
            <w:r>
              <w:rPr>
                <w:rFonts w:hint="eastAsia" w:ascii="宋体" w:hAnsi="宋体" w:cs="宋体"/>
                <w:bCs/>
                <w:color w:val="auto"/>
                <w:sz w:val="24"/>
                <w:szCs w:val="24"/>
                <w:lang w:eastAsia="zh-CN"/>
              </w:rPr>
              <w:t>（2）成交供应商的磋商保证金退还时间为合同签订之日起5个工作日内；合同签订之日以纸质合同里签订之日为准。请成交供应商进入福建优胜招标项目管理集团有限公司官网(http://www.fjyszb.com/)登入供应商账号后,在报名记录中找到需要退保的项目进行线上申请，将退保函(格式详见官网底部“办事指南”)和磋商保证金的汇款凭证加盖公章扫描上传至附件部分提交。逾期未办理的，我司不负相关法律责任。</w:t>
            </w:r>
          </w:p>
          <w:p w14:paraId="12099BF4">
            <w:pPr>
              <w:pStyle w:val="301"/>
              <w:keepNext w:val="0"/>
              <w:keepLines w:val="0"/>
              <w:widowControl w:val="0"/>
              <w:suppressLineNumbers w:val="0"/>
              <w:wordWrap w:val="0"/>
              <w:spacing w:before="0" w:beforeAutospacing="0" w:after="0" w:afterAutospacing="0" w:line="400" w:lineRule="exact"/>
              <w:ind w:left="0" w:right="0" w:firstLine="480" w:firstLineChars="200"/>
              <w:jc w:val="both"/>
              <w:rPr>
                <w:rFonts w:hint="eastAsia" w:ascii="宋体" w:hAnsi="宋体" w:cs="宋体"/>
                <w:bCs/>
                <w:color w:val="auto"/>
                <w:sz w:val="24"/>
                <w:szCs w:val="24"/>
                <w:lang w:eastAsia="zh-CN"/>
              </w:rPr>
            </w:pPr>
            <w:r>
              <w:rPr>
                <w:rFonts w:hint="eastAsia" w:ascii="宋体" w:hAnsi="宋体" w:cs="宋体"/>
                <w:bCs/>
                <w:color w:val="auto"/>
                <w:sz w:val="24"/>
                <w:szCs w:val="24"/>
                <w:lang w:eastAsia="zh-CN"/>
              </w:rPr>
              <w:t>（3）磋商保证金退还联系方式：</w:t>
            </w:r>
          </w:p>
          <w:p w14:paraId="7AAB9538">
            <w:pPr>
              <w:pStyle w:val="301"/>
              <w:keepNext w:val="0"/>
              <w:keepLines w:val="0"/>
              <w:widowControl w:val="0"/>
              <w:suppressLineNumbers w:val="0"/>
              <w:wordWrap w:val="0"/>
              <w:spacing w:before="0" w:beforeAutospacing="0" w:after="0" w:afterAutospacing="0" w:line="400" w:lineRule="exact"/>
              <w:ind w:left="0" w:right="0" w:firstLine="480" w:firstLineChars="200"/>
              <w:jc w:val="both"/>
              <w:rPr>
                <w:rFonts w:hint="eastAsia" w:ascii="宋体" w:hAnsi="宋体" w:cs="宋体"/>
                <w:bCs/>
                <w:color w:val="auto"/>
                <w:sz w:val="24"/>
                <w:szCs w:val="24"/>
                <w:lang w:eastAsia="zh-CN"/>
              </w:rPr>
            </w:pPr>
            <w:r>
              <w:rPr>
                <w:rFonts w:hint="eastAsia" w:ascii="宋体" w:hAnsi="宋体" w:cs="宋体"/>
                <w:bCs/>
                <w:color w:val="auto"/>
                <w:sz w:val="24"/>
                <w:szCs w:val="24"/>
                <w:lang w:eastAsia="zh-CN"/>
              </w:rPr>
              <w:t>联系人：张小姐；</w:t>
            </w:r>
          </w:p>
          <w:p w14:paraId="0FF80430">
            <w:pPr>
              <w:pStyle w:val="301"/>
              <w:keepNext w:val="0"/>
              <w:keepLines w:val="0"/>
              <w:widowControl w:val="0"/>
              <w:suppressLineNumbers w:val="0"/>
              <w:wordWrap w:val="0"/>
              <w:spacing w:before="0" w:beforeAutospacing="0" w:after="0" w:afterAutospacing="0" w:line="400" w:lineRule="exact"/>
              <w:ind w:left="0" w:right="0" w:firstLine="480" w:firstLineChars="200"/>
              <w:jc w:val="both"/>
              <w:rPr>
                <w:rFonts w:ascii="宋体" w:hAnsi="宋体" w:cs="宋体"/>
                <w:bCs/>
                <w:color w:val="auto"/>
                <w:sz w:val="24"/>
                <w:szCs w:val="24"/>
                <w:lang w:eastAsia="zh-CN"/>
              </w:rPr>
            </w:pPr>
            <w:r>
              <w:rPr>
                <w:rFonts w:hint="eastAsia" w:ascii="宋体" w:hAnsi="宋体" w:cs="宋体"/>
                <w:bCs/>
                <w:color w:val="auto"/>
                <w:sz w:val="24"/>
                <w:szCs w:val="24"/>
                <w:lang w:eastAsia="zh-CN"/>
              </w:rPr>
              <w:t>联系电话：0591-88322365。</w:t>
            </w:r>
          </w:p>
        </w:tc>
      </w:tr>
      <w:tr w14:paraId="2CAE9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6EFF4AC4">
            <w:pPr>
              <w:keepNext w:val="0"/>
              <w:keepLines w:val="0"/>
              <w:suppressLineNumbers w:val="0"/>
              <w:spacing w:before="0" w:beforeAutospacing="0" w:after="0" w:afterAutospacing="0" w:line="420" w:lineRule="exact"/>
              <w:ind w:left="0" w:right="0"/>
              <w:jc w:val="center"/>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15</w:t>
            </w:r>
          </w:p>
        </w:tc>
        <w:tc>
          <w:tcPr>
            <w:tcW w:w="349" w:type="pct"/>
            <w:noWrap w:val="0"/>
            <w:vAlign w:val="center"/>
          </w:tcPr>
          <w:p w14:paraId="4E74E319">
            <w:pPr>
              <w:keepNext w:val="0"/>
              <w:keepLines w:val="0"/>
              <w:suppressLineNumbers w:val="0"/>
              <w:spacing w:before="0" w:beforeAutospacing="0" w:after="0" w:afterAutospacing="0" w:line="420" w:lineRule="exact"/>
              <w:ind w:left="0" w:right="0"/>
              <w:jc w:val="center"/>
              <w:rPr>
                <w:rFonts w:hint="eastAsia" w:ascii="宋体" w:hAnsi="宋体" w:cs="宋体"/>
                <w:b w:val="0"/>
                <w:bCs w:val="0"/>
                <w:color w:val="auto"/>
                <w:sz w:val="24"/>
                <w:szCs w:val="24"/>
              </w:rPr>
            </w:pPr>
          </w:p>
        </w:tc>
        <w:tc>
          <w:tcPr>
            <w:tcW w:w="4418" w:type="pct"/>
            <w:noWrap w:val="0"/>
            <w:vAlign w:val="top"/>
          </w:tcPr>
          <w:p w14:paraId="3A38CB72">
            <w:pPr>
              <w:pStyle w:val="301"/>
              <w:keepNext w:val="0"/>
              <w:keepLines w:val="0"/>
              <w:widowControl w:val="0"/>
              <w:suppressLineNumbers w:val="0"/>
              <w:wordWrap w:val="0"/>
              <w:spacing w:before="0" w:beforeAutospacing="0" w:after="0" w:afterAutospacing="0" w:line="400" w:lineRule="exact"/>
              <w:ind w:left="0" w:right="0"/>
              <w:jc w:val="both"/>
              <w:rPr>
                <w:rFonts w:ascii="宋体" w:hAnsi="宋体" w:cs="宋体"/>
                <w:b w:val="0"/>
                <w:bCs w:val="0"/>
                <w:iCs/>
                <w:color w:val="auto"/>
                <w:sz w:val="24"/>
                <w:szCs w:val="24"/>
                <w:lang w:eastAsia="zh-CN"/>
              </w:rPr>
            </w:pPr>
            <w:r>
              <w:rPr>
                <w:rFonts w:ascii="宋体" w:hAnsi="宋体" w:cs="宋体"/>
                <w:bCs/>
                <w:iCs/>
                <w:color w:val="auto"/>
                <w:sz w:val="24"/>
                <w:szCs w:val="24"/>
                <w:u w:val="none" w:color="auto"/>
                <w:lang w:eastAsia="zh-CN"/>
              </w:rPr>
              <w:t>是否组织现场考察或召开磋商前答疑会：</w:t>
            </w:r>
            <w:r>
              <w:rPr>
                <w:rFonts w:hint="eastAsia" w:ascii="宋体" w:hAnsi="宋体" w:cs="宋体"/>
                <w:bCs/>
                <w:iCs/>
                <w:color w:val="auto"/>
                <w:sz w:val="24"/>
                <w:szCs w:val="24"/>
                <w:u w:val="none" w:color="auto"/>
                <w:lang w:eastAsia="zh-CN"/>
              </w:rPr>
              <w:t>否</w:t>
            </w:r>
          </w:p>
        </w:tc>
      </w:tr>
      <w:tr w14:paraId="11161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6CA266C9">
            <w:pPr>
              <w:keepNext w:val="0"/>
              <w:keepLines w:val="0"/>
              <w:suppressLineNumbers w:val="0"/>
              <w:spacing w:before="0" w:beforeAutospacing="0" w:after="0" w:afterAutospacing="0" w:line="420" w:lineRule="exact"/>
              <w:ind w:left="0" w:right="0"/>
              <w:jc w:val="center"/>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16</w:t>
            </w:r>
          </w:p>
        </w:tc>
        <w:tc>
          <w:tcPr>
            <w:tcW w:w="349" w:type="pct"/>
            <w:noWrap w:val="0"/>
            <w:vAlign w:val="center"/>
          </w:tcPr>
          <w:p w14:paraId="4C90C267">
            <w:pPr>
              <w:keepNext w:val="0"/>
              <w:keepLines w:val="0"/>
              <w:suppressLineNumbers w:val="0"/>
              <w:spacing w:before="0" w:beforeAutospacing="0" w:after="0" w:afterAutospacing="0" w:line="420" w:lineRule="exact"/>
              <w:ind w:left="0" w:right="0"/>
              <w:jc w:val="center"/>
              <w:rPr>
                <w:rFonts w:hint="eastAsia" w:ascii="宋体" w:hAnsi="宋体" w:cs="宋体"/>
                <w:b w:val="0"/>
                <w:bCs w:val="0"/>
                <w:color w:val="auto"/>
                <w:sz w:val="24"/>
                <w:szCs w:val="24"/>
              </w:rPr>
            </w:pPr>
          </w:p>
        </w:tc>
        <w:tc>
          <w:tcPr>
            <w:tcW w:w="4418" w:type="pct"/>
            <w:noWrap w:val="0"/>
            <w:vAlign w:val="top"/>
          </w:tcPr>
          <w:p w14:paraId="3A8B71E5">
            <w:pPr>
              <w:pStyle w:val="44"/>
              <w:keepNext w:val="0"/>
              <w:keepLines w:val="0"/>
              <w:suppressLineNumbers w:val="0"/>
              <w:wordWrap w:val="0"/>
              <w:spacing w:before="0" w:beforeAutospacing="0" w:after="0" w:afterAutospacing="0" w:line="440" w:lineRule="exact"/>
              <w:ind w:left="0" w:right="0"/>
              <w:rPr>
                <w:rFonts w:hint="eastAsia" w:ascii="宋体" w:hAnsi="宋体" w:eastAsia="宋体" w:cs="宋体"/>
                <w:b/>
                <w:bCs/>
                <w:color w:val="auto"/>
                <w:szCs w:val="20"/>
                <w:highlight w:val="none"/>
              </w:rPr>
            </w:pPr>
            <w:r>
              <w:rPr>
                <w:rFonts w:hint="eastAsia" w:ascii="宋体" w:hAnsi="宋体" w:cs="宋体"/>
                <w:b/>
                <w:bCs/>
                <w:color w:val="auto"/>
                <w:szCs w:val="20"/>
                <w:highlight w:val="none"/>
              </w:rPr>
              <w:t>（1）竞争性磋商以进入磋商阶段的供应商递交首次响应文件的先后确定磋商顺序，在规定的时间内（一般为</w:t>
            </w:r>
            <w:r>
              <w:rPr>
                <w:rFonts w:hint="eastAsia" w:ascii="宋体" w:hAnsi="宋体" w:cs="宋体"/>
                <w:b/>
                <w:bCs/>
                <w:color w:val="auto"/>
                <w:szCs w:val="20"/>
                <w:highlight w:val="none"/>
                <w:lang w:val="en-US" w:eastAsia="zh-CN"/>
              </w:rPr>
              <w:t>一</w:t>
            </w:r>
            <w:r>
              <w:rPr>
                <w:rFonts w:hint="eastAsia" w:ascii="宋体" w:hAnsi="宋体" w:cs="宋体"/>
                <w:b/>
                <w:bCs/>
                <w:color w:val="auto"/>
                <w:szCs w:val="20"/>
                <w:highlight w:val="none"/>
              </w:rPr>
              <w:t>个小时内，有特殊情况时由磋商小组具体规定）提交最后报价（磋商过程中竞争性磋商文件没有变动的，最后报价不得超过首次报价），</w:t>
            </w:r>
            <w:r>
              <w:rPr>
                <w:rFonts w:hint="eastAsia" w:ascii="宋体" w:hAnsi="宋体" w:eastAsia="宋体" w:cs="宋体"/>
                <w:b/>
                <w:bCs/>
                <w:color w:val="auto"/>
                <w:szCs w:val="20"/>
                <w:highlight w:val="none"/>
              </w:rPr>
              <w:t>未按规定提交最后报价的视为</w:t>
            </w:r>
            <w:r>
              <w:rPr>
                <w:rFonts w:hint="eastAsia" w:ascii="宋体" w:hAnsi="宋体" w:eastAsia="宋体" w:cs="宋体"/>
                <w:b/>
                <w:bCs/>
                <w:color w:val="auto"/>
                <w:szCs w:val="20"/>
                <w:highlight w:val="none"/>
                <w:lang w:eastAsia="zh-CN"/>
              </w:rPr>
              <w:t>主动</w:t>
            </w:r>
            <w:r>
              <w:rPr>
                <w:rFonts w:hint="eastAsia" w:ascii="宋体" w:hAnsi="宋体" w:eastAsia="宋体" w:cs="宋体"/>
                <w:b/>
                <w:bCs/>
                <w:color w:val="auto"/>
                <w:szCs w:val="20"/>
                <w:highlight w:val="none"/>
              </w:rPr>
              <w:t>退出磋商程序。</w:t>
            </w:r>
          </w:p>
          <w:p w14:paraId="3B8C2E5A">
            <w:pPr>
              <w:pStyle w:val="44"/>
              <w:keepNext w:val="0"/>
              <w:keepLines w:val="0"/>
              <w:suppressLineNumbers w:val="0"/>
              <w:wordWrap w:val="0"/>
              <w:spacing w:before="0" w:beforeAutospacing="0" w:after="0" w:afterAutospacing="0" w:line="440" w:lineRule="exact"/>
              <w:ind w:left="0" w:right="0"/>
              <w:rPr>
                <w:rFonts w:hint="default" w:ascii="宋体" w:hAnsi="宋体" w:cs="宋体"/>
                <w:bCs/>
                <w:iCs/>
                <w:color w:val="auto"/>
                <w:sz w:val="24"/>
                <w:szCs w:val="24"/>
                <w:u w:val="none" w:color="auto"/>
                <w:lang w:eastAsia="zh-CN"/>
              </w:rPr>
            </w:pPr>
            <w:r>
              <w:rPr>
                <w:rFonts w:hint="eastAsia" w:ascii="宋体" w:hAnsi="宋体" w:eastAsia="宋体" w:cs="宋体"/>
                <w:b/>
                <w:bCs/>
                <w:color w:val="auto"/>
                <w:szCs w:val="20"/>
                <w:highlight w:val="none"/>
              </w:rPr>
              <w:t>（2）竞争性磋商文件如有变动，供应商除根据磋商小组的要求提交最后报价外还应提交补充响应文件，未按规定提交的，以无效标处理。</w:t>
            </w:r>
          </w:p>
        </w:tc>
      </w:tr>
      <w:tr w14:paraId="3C905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2" w:type="pct"/>
            <w:noWrap w:val="0"/>
            <w:vAlign w:val="center"/>
          </w:tcPr>
          <w:p w14:paraId="05F5D3BF">
            <w:pPr>
              <w:keepNext w:val="0"/>
              <w:keepLines w:val="0"/>
              <w:suppressLineNumbers w:val="0"/>
              <w:spacing w:before="0" w:beforeAutospacing="0" w:after="0" w:afterAutospacing="0" w:line="420" w:lineRule="exact"/>
              <w:ind w:left="0" w:right="0"/>
              <w:jc w:val="center"/>
              <w:rPr>
                <w:rFonts w:hint="default" w:ascii="宋体" w:hAnsi="宋体" w:cs="宋体"/>
                <w:b w:val="0"/>
                <w:bCs w:val="0"/>
                <w:color w:val="auto"/>
                <w:sz w:val="24"/>
                <w:szCs w:val="24"/>
                <w:lang w:val="en-US" w:eastAsia="zh-CN"/>
              </w:rPr>
            </w:pPr>
            <w:bookmarkStart w:id="22" w:name="_Toc21122"/>
            <w:bookmarkStart w:id="23" w:name="_Toc6225_WPSOffice_Level2"/>
            <w:bookmarkStart w:id="24" w:name="_Toc23035_WPSOffice_Level2"/>
            <w:r>
              <w:rPr>
                <w:rFonts w:hint="eastAsia" w:ascii="宋体" w:hAnsi="宋体" w:cs="宋体"/>
                <w:b w:val="0"/>
                <w:bCs w:val="0"/>
                <w:color w:val="auto"/>
                <w:sz w:val="24"/>
                <w:szCs w:val="24"/>
                <w:lang w:val="en-US" w:eastAsia="zh-CN"/>
              </w:rPr>
              <w:t>17</w:t>
            </w:r>
          </w:p>
        </w:tc>
        <w:tc>
          <w:tcPr>
            <w:tcW w:w="349" w:type="pct"/>
            <w:noWrap w:val="0"/>
            <w:vAlign w:val="center"/>
          </w:tcPr>
          <w:p w14:paraId="7011A008">
            <w:pPr>
              <w:keepNext w:val="0"/>
              <w:keepLines w:val="0"/>
              <w:suppressLineNumbers w:val="0"/>
              <w:spacing w:before="0" w:beforeAutospacing="0" w:after="0" w:afterAutospacing="0" w:line="420" w:lineRule="exact"/>
              <w:ind w:left="0" w:right="0"/>
              <w:jc w:val="center"/>
              <w:rPr>
                <w:rFonts w:hint="eastAsia" w:ascii="宋体" w:hAnsi="宋体" w:cs="宋体"/>
                <w:b w:val="0"/>
                <w:bCs w:val="0"/>
                <w:color w:val="auto"/>
                <w:sz w:val="24"/>
                <w:szCs w:val="24"/>
              </w:rPr>
            </w:pPr>
          </w:p>
        </w:tc>
        <w:tc>
          <w:tcPr>
            <w:tcW w:w="4418" w:type="pct"/>
            <w:noWrap w:val="0"/>
            <w:vAlign w:val="top"/>
          </w:tcPr>
          <w:p w14:paraId="4BB851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cs="宋体"/>
                <w:bCs/>
                <w:iCs/>
                <w:color w:val="auto"/>
                <w:sz w:val="24"/>
                <w:szCs w:val="24"/>
                <w:highlight w:val="none"/>
                <w:u w:val="none" w:color="auto"/>
                <w:lang w:val="en-US" w:eastAsia="zh-CN"/>
              </w:rPr>
            </w:pPr>
            <w:r>
              <w:rPr>
                <w:rFonts w:hint="eastAsia" w:ascii="宋体" w:hAnsi="宋体" w:cs="宋体"/>
                <w:bCs/>
                <w:iCs/>
                <w:color w:val="auto"/>
                <w:sz w:val="24"/>
                <w:szCs w:val="24"/>
                <w:highlight w:val="none"/>
                <w:u w:val="none" w:color="auto"/>
                <w:lang w:val="en-US" w:eastAsia="zh-CN"/>
              </w:rPr>
              <w:t>其他事项：</w:t>
            </w:r>
          </w:p>
          <w:p w14:paraId="3D5098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szCs w:val="20"/>
                <w:highlight w:val="none"/>
              </w:rPr>
            </w:pPr>
            <w:r>
              <w:rPr>
                <w:rFonts w:hint="eastAsia" w:ascii="宋体" w:hAnsi="宋体" w:eastAsia="宋体" w:cs="宋体"/>
                <w:color w:val="auto"/>
                <w:kern w:val="0"/>
                <w:sz w:val="24"/>
                <w:szCs w:val="24"/>
                <w:highlight w:val="none"/>
                <w:lang w:val="en-US" w:eastAsia="zh-CN" w:bidi="ar"/>
              </w:rPr>
              <w:t>①供应商必须对其响应文件中提供各种资料、说明的真实性负责。在评审过程中，如有发现供应商有为谋取成交而提供虚假资料欺骗采购人和</w:t>
            </w:r>
            <w:r>
              <w:rPr>
                <w:rFonts w:hint="eastAsia" w:ascii="宋体" w:hAnsi="宋体" w:cs="宋体"/>
                <w:color w:val="auto"/>
                <w:kern w:val="0"/>
                <w:sz w:val="24"/>
                <w:szCs w:val="24"/>
                <w:highlight w:val="none"/>
                <w:lang w:val="en-US" w:eastAsia="zh-CN" w:bidi="ar"/>
              </w:rPr>
              <w:t>磋商小组</w:t>
            </w:r>
            <w:r>
              <w:rPr>
                <w:rFonts w:hint="eastAsia" w:ascii="宋体" w:hAnsi="宋体" w:eastAsia="宋体" w:cs="宋体"/>
                <w:color w:val="auto"/>
                <w:kern w:val="0"/>
                <w:sz w:val="24"/>
                <w:szCs w:val="24"/>
                <w:highlight w:val="none"/>
                <w:lang w:val="en-US" w:eastAsia="zh-CN" w:bidi="ar"/>
              </w:rPr>
              <w:t>的行为，将取消其成交资格，其磋商保证金将不予退还。</w:t>
            </w:r>
            <w:r>
              <w:rPr>
                <w:rFonts w:hint="eastAsia" w:ascii="宋体" w:hAnsi="宋体" w:cs="宋体"/>
                <w:color w:val="auto"/>
                <w:kern w:val="0"/>
                <w:sz w:val="24"/>
                <w:szCs w:val="24"/>
                <w:highlight w:val="none"/>
                <w:lang w:val="en-US" w:eastAsia="zh-CN" w:bidi="ar"/>
              </w:rPr>
              <w:t>采购人有权对成交人在响应文件中提供的资料和承诺内容进行核查，成交人应无条件配合采购人的核查工作，不得托词拒绝提供材料核查或隐瞒真实情况。</w:t>
            </w:r>
            <w:r>
              <w:rPr>
                <w:rFonts w:hint="eastAsia" w:ascii="宋体" w:hAnsi="宋体" w:eastAsia="宋体" w:cs="宋体"/>
                <w:color w:val="auto"/>
                <w:kern w:val="0"/>
                <w:sz w:val="24"/>
                <w:szCs w:val="24"/>
                <w:highlight w:val="none"/>
                <w:lang w:val="en-US" w:eastAsia="zh-CN" w:bidi="ar"/>
              </w:rPr>
              <w:t>若</w:t>
            </w:r>
            <w:r>
              <w:rPr>
                <w:rFonts w:hint="eastAsia" w:ascii="宋体" w:hAnsi="宋体" w:cs="宋体"/>
                <w:color w:val="auto"/>
                <w:kern w:val="0"/>
                <w:sz w:val="24"/>
                <w:szCs w:val="24"/>
                <w:highlight w:val="none"/>
                <w:lang w:val="en-US" w:eastAsia="zh-CN" w:bidi="ar"/>
              </w:rPr>
              <w:t>采购人</w:t>
            </w:r>
            <w:r>
              <w:rPr>
                <w:rFonts w:hint="eastAsia" w:ascii="宋体" w:hAnsi="宋体" w:eastAsia="宋体" w:cs="宋体"/>
                <w:color w:val="auto"/>
                <w:kern w:val="0"/>
                <w:sz w:val="24"/>
                <w:szCs w:val="24"/>
                <w:highlight w:val="none"/>
                <w:lang w:val="en-US" w:eastAsia="zh-CN" w:bidi="ar"/>
              </w:rPr>
              <w:t>发现</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人提供虚假材料谋取</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或承诺的内容与真实情况不一致等违法违规行为，</w:t>
            </w:r>
            <w:r>
              <w:rPr>
                <w:rFonts w:hint="eastAsia" w:ascii="宋体" w:hAnsi="宋体" w:cs="宋体"/>
                <w:color w:val="auto"/>
                <w:kern w:val="0"/>
                <w:sz w:val="24"/>
                <w:szCs w:val="24"/>
                <w:highlight w:val="none"/>
                <w:lang w:val="en-US" w:eastAsia="zh-CN" w:bidi="ar"/>
              </w:rPr>
              <w:t>采购</w:t>
            </w:r>
            <w:r>
              <w:rPr>
                <w:rFonts w:hint="eastAsia" w:ascii="宋体" w:hAnsi="宋体" w:eastAsia="宋体" w:cs="宋体"/>
                <w:color w:val="auto"/>
                <w:kern w:val="0"/>
                <w:sz w:val="24"/>
                <w:szCs w:val="24"/>
                <w:highlight w:val="none"/>
                <w:lang w:val="en-US" w:eastAsia="zh-CN" w:bidi="ar"/>
              </w:rPr>
              <w:t>人有权取消其合同签订或终止合同，且不予退还履约保证金，</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人还应赔偿由此给</w:t>
            </w:r>
            <w:r>
              <w:rPr>
                <w:rFonts w:hint="eastAsia" w:ascii="宋体" w:hAnsi="宋体" w:cs="宋体"/>
                <w:color w:val="auto"/>
                <w:kern w:val="0"/>
                <w:sz w:val="24"/>
                <w:szCs w:val="24"/>
                <w:highlight w:val="none"/>
                <w:lang w:val="en-US" w:eastAsia="zh-CN" w:bidi="ar"/>
              </w:rPr>
              <w:t>采购</w:t>
            </w:r>
            <w:r>
              <w:rPr>
                <w:rFonts w:hint="eastAsia" w:ascii="宋体" w:hAnsi="宋体" w:eastAsia="宋体" w:cs="宋体"/>
                <w:color w:val="auto"/>
                <w:kern w:val="0"/>
                <w:sz w:val="24"/>
                <w:szCs w:val="24"/>
                <w:highlight w:val="none"/>
                <w:lang w:val="en-US" w:eastAsia="zh-CN" w:bidi="ar"/>
              </w:rPr>
              <w:t>人造成的损失。</w:t>
            </w:r>
          </w:p>
          <w:p w14:paraId="191E85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szCs w:val="20"/>
                <w:highlight w:val="none"/>
              </w:rPr>
            </w:pPr>
            <w:r>
              <w:rPr>
                <w:rFonts w:hint="eastAsia" w:ascii="宋体" w:hAnsi="宋体" w:eastAsia="宋体" w:cs="宋体"/>
                <w:color w:val="auto"/>
                <w:kern w:val="0"/>
                <w:sz w:val="24"/>
                <w:szCs w:val="24"/>
                <w:highlight w:val="none"/>
                <w:lang w:val="en-US" w:eastAsia="zh-CN" w:bidi="ar"/>
              </w:rPr>
              <w:t xml:space="preserve">② 信用记录查询及使用：A.信用记录查询渠道及截止时点：磋商小组将在响应文件递交截止时间当日，通过“信用中国”网站(www.creditchina.gov.cn)、中国政府采购网(www.ccgp.gov.cn)查询供应商的信用记录；B.信用信息查询记录和证据留存的具体方式：磋商小组将记录、打印各供应商的信用信息查询结果，与其他竞争性磋商文件一并保存；C.信用信息的使用规则：依据《财政部关于在政府采购活动中查询及使用信用记录有关问题的通知》财库〔2016〕125 号规定，对被列入失信被执行人、重大税收违法案件当事人名单、政府采购严重违法失信行为记录名单的供应商，其资格性审查不合格。 </w:t>
            </w:r>
          </w:p>
          <w:p w14:paraId="246B2A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szCs w:val="20"/>
                <w:highlight w:val="none"/>
              </w:rPr>
            </w:pPr>
            <w:r>
              <w:rPr>
                <w:rFonts w:hint="eastAsia" w:ascii="宋体" w:hAnsi="宋体" w:cs="宋体"/>
                <w:color w:val="auto"/>
                <w:kern w:val="0"/>
                <w:sz w:val="24"/>
                <w:szCs w:val="24"/>
                <w:highlight w:val="none"/>
                <w:lang w:val="en-US" w:eastAsia="zh-CN" w:bidi="ar"/>
              </w:rPr>
              <w:t>③</w:t>
            </w:r>
            <w:r>
              <w:rPr>
                <w:rFonts w:hint="eastAsia" w:ascii="宋体" w:hAnsi="宋体" w:eastAsia="宋体" w:cs="宋体"/>
                <w:color w:val="auto"/>
                <w:kern w:val="0"/>
                <w:sz w:val="24"/>
                <w:szCs w:val="24"/>
                <w:highlight w:val="none"/>
                <w:lang w:val="en-US" w:eastAsia="zh-CN" w:bidi="ar"/>
              </w:rPr>
              <w:t>质疑受理的其它要求：A.供应商在法定质疑期内须一次性提出针对同一采购程序环节的质疑；B.接收质疑函原件的方式：现场书面方式；C.接收质疑函的联系部门</w:t>
            </w:r>
            <w:r>
              <w:rPr>
                <w:rFonts w:hint="eastAsia" w:ascii="宋体" w:hAnsi="宋体" w:cs="宋体"/>
                <w:b/>
                <w:bCs/>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办公室；D.接收质疑函的联系电话：</w:t>
            </w:r>
            <w:r>
              <w:rPr>
                <w:rFonts w:hint="eastAsia" w:ascii="宋体" w:hAnsi="宋体" w:cs="宋体"/>
                <w:color w:val="auto"/>
                <w:sz w:val="24"/>
                <w:szCs w:val="24"/>
                <w:highlight w:val="none"/>
              </w:rPr>
              <w:t>0591-87679372、876793</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2</w:t>
            </w:r>
            <w:r>
              <w:rPr>
                <w:rFonts w:hint="eastAsia" w:ascii="宋体" w:hAnsi="宋体" w:eastAsia="宋体" w:cs="宋体"/>
                <w:color w:val="auto"/>
                <w:kern w:val="0"/>
                <w:sz w:val="24"/>
                <w:szCs w:val="24"/>
                <w:highlight w:val="none"/>
                <w:lang w:val="en-US" w:eastAsia="zh-CN" w:bidi="ar"/>
              </w:rPr>
              <w:t>；E.接收质疑函的通讯地址：</w:t>
            </w:r>
            <w:r>
              <w:rPr>
                <w:rFonts w:hint="eastAsia" w:ascii="宋体" w:hAnsi="宋体" w:cs="宋体"/>
                <w:color w:val="auto"/>
                <w:sz w:val="24"/>
                <w:szCs w:val="24"/>
                <w:highlight w:val="none"/>
              </w:rPr>
              <w:t>福州市鼓楼区华润万象城一期S2号四层</w:t>
            </w:r>
            <w:r>
              <w:rPr>
                <w:rFonts w:hint="eastAsia" w:ascii="宋体" w:hAnsi="宋体" w:eastAsia="宋体" w:cs="宋体"/>
                <w:color w:val="auto"/>
                <w:kern w:val="0"/>
                <w:sz w:val="24"/>
                <w:szCs w:val="24"/>
                <w:highlight w:val="none"/>
                <w:lang w:val="en-US" w:eastAsia="zh-CN" w:bidi="ar"/>
              </w:rPr>
              <w:t xml:space="preserve">。 </w:t>
            </w:r>
          </w:p>
          <w:p w14:paraId="1199EF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szCs w:val="20"/>
                <w:highlight w:val="none"/>
              </w:rPr>
            </w:pPr>
            <w:r>
              <w:rPr>
                <w:rFonts w:hint="eastAsia" w:ascii="宋体" w:hAnsi="宋体" w:cs="宋体"/>
                <w:color w:val="auto"/>
                <w:kern w:val="0"/>
                <w:sz w:val="24"/>
                <w:szCs w:val="24"/>
                <w:highlight w:val="none"/>
                <w:lang w:val="en-US" w:eastAsia="zh-CN" w:bidi="ar"/>
              </w:rPr>
              <w:t>④</w:t>
            </w:r>
            <w:r>
              <w:rPr>
                <w:rFonts w:hint="eastAsia" w:ascii="宋体" w:hAnsi="宋体" w:eastAsia="宋体" w:cs="宋体"/>
                <w:color w:val="auto"/>
                <w:kern w:val="0"/>
                <w:sz w:val="24"/>
                <w:szCs w:val="24"/>
                <w:highlight w:val="none"/>
                <w:lang w:val="en-US" w:eastAsia="zh-CN" w:bidi="ar"/>
              </w:rPr>
              <w:t>响应无效条款：A.响应文件有效期不符合</w:t>
            </w:r>
            <w:r>
              <w:rPr>
                <w:rFonts w:hint="eastAsia" w:ascii="宋体" w:hAnsi="宋体" w:cs="宋体"/>
                <w:color w:val="auto"/>
                <w:kern w:val="0"/>
                <w:sz w:val="24"/>
                <w:szCs w:val="24"/>
                <w:highlight w:val="none"/>
                <w:lang w:val="en-US" w:eastAsia="zh-CN" w:bidi="ar"/>
              </w:rPr>
              <w:t>供应商须知</w:t>
            </w:r>
            <w:r>
              <w:rPr>
                <w:rFonts w:hint="eastAsia" w:ascii="宋体" w:hAnsi="宋体" w:eastAsia="宋体" w:cs="宋体"/>
                <w:color w:val="auto"/>
                <w:kern w:val="0"/>
                <w:sz w:val="24"/>
                <w:szCs w:val="24"/>
                <w:highlight w:val="none"/>
                <w:lang w:val="en-US" w:eastAsia="zh-CN" w:bidi="ar"/>
              </w:rPr>
              <w:t xml:space="preserve">前附表中表第3项号规定的；B.出现第二章竞争性磋商须知中响应无效规定的；C.出现第三章采购内容及要求中响应无效规定；D.出现第五章响应文件格式中响应无效规定的。 </w:t>
            </w:r>
          </w:p>
          <w:p w14:paraId="214E76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szCs w:val="20"/>
                <w:highlight w:val="none"/>
              </w:rPr>
            </w:pPr>
            <w:r>
              <w:rPr>
                <w:rFonts w:hint="eastAsia" w:ascii="宋体" w:hAnsi="宋体" w:cs="宋体"/>
                <w:color w:val="auto"/>
                <w:kern w:val="0"/>
                <w:sz w:val="24"/>
                <w:szCs w:val="24"/>
                <w:highlight w:val="none"/>
                <w:lang w:val="en-US" w:eastAsia="zh-CN" w:bidi="ar"/>
              </w:rPr>
              <w:t>⑤</w:t>
            </w:r>
            <w:r>
              <w:rPr>
                <w:rFonts w:hint="eastAsia" w:ascii="宋体" w:hAnsi="宋体" w:eastAsia="宋体" w:cs="宋体"/>
                <w:color w:val="auto"/>
                <w:kern w:val="0"/>
                <w:sz w:val="24"/>
                <w:szCs w:val="24"/>
                <w:highlight w:val="none"/>
                <w:lang w:val="en-US" w:eastAsia="zh-CN" w:bidi="ar"/>
              </w:rPr>
              <w:t xml:space="preserve">关于最后报价计算错误修正的原则：A.报价一览表内容与分项报价表内容不一致的，以报价一览表为准；B.大写金额和小写金额不一致的，以大写金额为准；C.单价金额小数点或百分比有明显错位的，以报价一览表的总价为准，并修改单价；D.总价金额与按单价汇总金额不一致的，以单价金额计算结果为准； ※同时出现两种以上不一致的，按照前款规定的顺序修正。若磋商小组按照上述规定修正，则相应供应商应予接受且修正后的报价对其起约束作用。若供应商不接受修正或未按照磋商小组的要求提交修正后的报价确认意见，则视为该供应商未实质性响应竞争性磋商文件要求，其符合性检查不合格。 </w:t>
            </w:r>
          </w:p>
          <w:p w14:paraId="6CCB79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szCs w:val="20"/>
                <w:highlight w:val="none"/>
              </w:rPr>
            </w:pPr>
            <w:r>
              <w:rPr>
                <w:rFonts w:hint="eastAsia" w:ascii="宋体" w:hAnsi="宋体" w:cs="宋体"/>
                <w:color w:val="auto"/>
                <w:kern w:val="0"/>
                <w:sz w:val="24"/>
                <w:szCs w:val="24"/>
                <w:highlight w:val="none"/>
                <w:lang w:val="en-US" w:eastAsia="zh-CN" w:bidi="ar"/>
              </w:rPr>
              <w:t>⑥</w:t>
            </w:r>
            <w:r>
              <w:rPr>
                <w:rFonts w:hint="eastAsia" w:ascii="宋体" w:hAnsi="宋体" w:eastAsia="宋体" w:cs="宋体"/>
                <w:color w:val="auto"/>
                <w:kern w:val="0"/>
                <w:sz w:val="24"/>
                <w:szCs w:val="24"/>
                <w:highlight w:val="none"/>
                <w:lang w:val="en-US" w:eastAsia="zh-CN" w:bidi="ar"/>
              </w:rPr>
              <w:t xml:space="preserve">因政策享受缓缴或免缴社保、税款的企业，无法提供竞争性磋商文件要求的相关社保、税收缴纳证明材料的，须提供有关情况说明视同社保、税收缴纳证明材料提交完整。 </w:t>
            </w:r>
          </w:p>
          <w:p w14:paraId="7D9E06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szCs w:val="20"/>
                <w:highlight w:val="none"/>
              </w:rPr>
            </w:pPr>
            <w:r>
              <w:rPr>
                <w:rFonts w:hint="eastAsia" w:ascii="宋体" w:hAnsi="宋体" w:cs="宋体"/>
                <w:color w:val="auto"/>
                <w:kern w:val="0"/>
                <w:sz w:val="24"/>
                <w:szCs w:val="24"/>
                <w:highlight w:val="none"/>
                <w:lang w:val="en-US" w:eastAsia="zh-CN" w:bidi="ar"/>
              </w:rPr>
              <w:t>⑦</w:t>
            </w:r>
            <w:r>
              <w:rPr>
                <w:rFonts w:hint="eastAsia" w:ascii="宋体" w:hAnsi="宋体" w:eastAsia="宋体" w:cs="宋体"/>
                <w:color w:val="auto"/>
                <w:kern w:val="0"/>
                <w:sz w:val="24"/>
                <w:szCs w:val="24"/>
                <w:highlight w:val="none"/>
                <w:lang w:val="en-US" w:eastAsia="zh-CN" w:bidi="ar"/>
              </w:rPr>
              <w:t xml:space="preserve">经磋商小组评审，在提交的响应文件全部满足竞争性磋商文件实质性要求的供应商不少于三家的前提下，按各合格供应商的评审总得分由高到低顺序推荐三名成交候选供应商。 </w:t>
            </w:r>
          </w:p>
          <w:p w14:paraId="2258D0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b/>
                <w:bCs/>
                <w:color w:val="auto"/>
                <w:szCs w:val="20"/>
                <w:highlight w:val="none"/>
              </w:rPr>
            </w:pPr>
            <w:r>
              <w:rPr>
                <w:rFonts w:hint="eastAsia" w:ascii="宋体" w:hAnsi="宋体" w:cs="宋体"/>
                <w:color w:val="auto"/>
                <w:kern w:val="0"/>
                <w:sz w:val="24"/>
                <w:szCs w:val="24"/>
                <w:highlight w:val="none"/>
                <w:lang w:val="en-US" w:eastAsia="zh-CN" w:bidi="ar"/>
              </w:rPr>
              <w:t>⑧</w:t>
            </w:r>
            <w:r>
              <w:rPr>
                <w:rFonts w:hint="eastAsia" w:ascii="宋体" w:hAnsi="宋体" w:eastAsia="宋体" w:cs="宋体"/>
                <w:color w:val="auto"/>
                <w:kern w:val="0"/>
                <w:sz w:val="24"/>
                <w:szCs w:val="24"/>
                <w:highlight w:val="none"/>
                <w:lang w:val="en-US" w:eastAsia="zh-CN" w:bidi="ar"/>
              </w:rPr>
              <w:t>参加磋商活动的供应商代表应当在规定的磋商地点等待，并根据磋商小组的要求和安排配合相应磋商工作直至结束。提交最后报价程序结束前，如果在场的合格供应商委派的“供应商代表”不是其响应文件中约定的供应商（为法人或其他组织的）的单位负责人或由其授权的委托代理人或者供应商代表无故中途退场或者自身通讯中断无法联系或者其他原因离场等造成不能按照磋商小组要求参加磋商的，均视同为该供应商自动放弃相应权利并完全认可磋商小组在磋商活动中公布的各项数据、意见和结论，且该供应商将被退出本项目磋商，其提交的响应文件和报价将被否决。供应商的上述行为后果由供应商自行承担且不影响磋商小组依法开展后续相应竞争性磋商活动。</w:t>
            </w:r>
          </w:p>
        </w:tc>
      </w:tr>
    </w:tbl>
    <w:p w14:paraId="6E3E05AC">
      <w:pPr>
        <w:spacing w:line="380" w:lineRule="exact"/>
        <w:rPr>
          <w:rFonts w:hint="eastAsia" w:ascii="宋体" w:hAnsi="宋体" w:cs="宋体"/>
          <w:b/>
          <w:color w:val="auto"/>
          <w:sz w:val="28"/>
          <w:highlight w:val="none"/>
        </w:rPr>
      </w:pPr>
      <w:r>
        <w:rPr>
          <w:rFonts w:hint="eastAsia" w:ascii="宋体" w:hAnsi="宋体" w:cs="宋体"/>
          <w:b/>
          <w:color w:val="auto"/>
          <w:sz w:val="28"/>
          <w:highlight w:val="none"/>
        </w:rPr>
        <w:t xml:space="preserve">附件A </w:t>
      </w:r>
    </w:p>
    <w:p w14:paraId="24C70EFF">
      <w:pPr>
        <w:spacing w:line="380" w:lineRule="exact"/>
        <w:rPr>
          <w:rFonts w:hint="eastAsia" w:ascii="宋体" w:hAnsi="宋体" w:cs="宋体"/>
          <w:color w:val="auto"/>
          <w:kern w:val="0"/>
          <w:sz w:val="24"/>
          <w:highlight w:val="none"/>
          <w:lang w:val="zh-CN"/>
        </w:rPr>
      </w:pPr>
      <w:bookmarkStart w:id="25" w:name="_Toc15605_WPSOffice_Level2"/>
      <w:bookmarkStart w:id="26" w:name="_Toc20991_WPSOffice_Level2"/>
      <w:r>
        <w:rPr>
          <w:rFonts w:hint="eastAsia" w:ascii="宋体" w:hAnsi="宋体" w:cs="宋体"/>
          <w:b/>
          <w:color w:val="auto"/>
          <w:sz w:val="28"/>
          <w:highlight w:val="none"/>
        </w:rPr>
        <w:t>评审标准与方法</w:t>
      </w:r>
      <w:bookmarkEnd w:id="25"/>
      <w:bookmarkEnd w:id="26"/>
    </w:p>
    <w:p w14:paraId="71383C96">
      <w:pPr>
        <w:spacing w:line="430" w:lineRule="exact"/>
        <w:ind w:firstLine="480" w:firstLineChars="200"/>
        <w:rPr>
          <w:rFonts w:hint="eastAsia" w:ascii="宋体" w:hAnsi="宋体" w:cs="宋体"/>
          <w:color w:val="auto"/>
          <w:spacing w:val="-2"/>
          <w:sz w:val="24"/>
          <w:highlight w:val="none"/>
        </w:rPr>
      </w:pPr>
      <w:bookmarkStart w:id="27" w:name="_Toc19576_WPSOffice_Level2"/>
      <w:bookmarkStart w:id="28" w:name="_Toc7011_WPSOffice_Level2"/>
      <w:r>
        <w:rPr>
          <w:rFonts w:hint="eastAsia" w:ascii="宋体" w:hAnsi="宋体" w:cs="宋体"/>
          <w:color w:val="auto"/>
          <w:sz w:val="24"/>
          <w:highlight w:val="none"/>
        </w:rPr>
        <w:t>（1）</w:t>
      </w:r>
      <w:r>
        <w:rPr>
          <w:rFonts w:hint="eastAsia" w:ascii="宋体" w:hAnsi="宋体" w:cs="宋体"/>
          <w:color w:val="auto"/>
          <w:spacing w:val="-2"/>
          <w:sz w:val="24"/>
          <w:highlight w:val="none"/>
        </w:rPr>
        <w:t>评审采用综合评分法，实行两轮报价。</w:t>
      </w:r>
      <w:bookmarkEnd w:id="27"/>
      <w:bookmarkEnd w:id="28"/>
    </w:p>
    <w:p w14:paraId="33DD2575">
      <w:pPr>
        <w:spacing w:line="400" w:lineRule="exact"/>
        <w:ind w:firstLine="472" w:firstLineChars="200"/>
        <w:rPr>
          <w:rFonts w:hint="eastAsia" w:ascii="宋体" w:hAnsi="宋体" w:cs="宋体"/>
          <w:color w:val="auto"/>
          <w:spacing w:val="-2"/>
          <w:sz w:val="24"/>
          <w:highlight w:val="none"/>
        </w:rPr>
      </w:pPr>
      <w:r>
        <w:rPr>
          <w:rFonts w:hint="eastAsia" w:ascii="宋体" w:hAnsi="宋体" w:cs="宋体"/>
          <w:color w:val="auto"/>
          <w:spacing w:val="-2"/>
          <w:sz w:val="24"/>
          <w:highlight w:val="none"/>
        </w:rPr>
        <w:t>磋商小组对各供应商的资格及响应文件的符合性进行评审，资格及符合性检查不合格的供应商不进入下一步详细评审及评分。磋商小组对通过资格及符合性检查的供应商的响应文件进行详细评审。并与单一供应商分别进行磋商。</w:t>
      </w:r>
    </w:p>
    <w:p w14:paraId="22D744D1">
      <w:pPr>
        <w:spacing w:line="400" w:lineRule="exact"/>
        <w:ind w:firstLine="472" w:firstLineChars="200"/>
        <w:rPr>
          <w:rFonts w:hint="eastAsia" w:ascii="宋体" w:hAnsi="宋体" w:cs="宋体"/>
          <w:color w:val="auto"/>
          <w:spacing w:val="-2"/>
          <w:sz w:val="24"/>
          <w:highlight w:val="none"/>
        </w:rPr>
      </w:pPr>
      <w:r>
        <w:rPr>
          <w:rFonts w:hint="eastAsia" w:ascii="宋体" w:hAnsi="宋体" w:cs="宋体"/>
          <w:color w:val="auto"/>
          <w:spacing w:val="-2"/>
          <w:sz w:val="24"/>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供应商的澄清、说明或者更正应当由法定代表人或其授权代表签字或者加盖公章。</w:t>
      </w:r>
    </w:p>
    <w:p w14:paraId="7A05C179">
      <w:pPr>
        <w:spacing w:line="400" w:lineRule="exact"/>
        <w:ind w:firstLine="472" w:firstLineChars="200"/>
        <w:rPr>
          <w:rFonts w:hint="eastAsia" w:ascii="宋体" w:hAnsi="宋体" w:cs="宋体"/>
          <w:color w:val="auto"/>
          <w:spacing w:val="-2"/>
          <w:sz w:val="24"/>
          <w:highlight w:val="none"/>
        </w:rPr>
      </w:pPr>
      <w:r>
        <w:rPr>
          <w:rFonts w:hint="eastAsia" w:ascii="宋体" w:hAnsi="宋体" w:cs="宋体"/>
          <w:color w:val="auto"/>
          <w:spacing w:val="-2"/>
          <w:sz w:val="24"/>
          <w:highlight w:val="none"/>
        </w:rPr>
        <w:t>磋商小组可以根据磋商文件和磋商情况实质性变动采购需求中的技术、服务要求以及合同草案条款，但不变动磋商文件中的其他内容。实质性变动的内容，须经</w:t>
      </w:r>
      <w:r>
        <w:rPr>
          <w:rFonts w:hint="eastAsia" w:ascii="宋体" w:hAnsi="宋体" w:cs="宋体"/>
          <w:color w:val="auto"/>
          <w:spacing w:val="-2"/>
          <w:sz w:val="24"/>
          <w:highlight w:val="none"/>
          <w:lang w:eastAsia="zh-CN"/>
        </w:rPr>
        <w:t>采购人</w:t>
      </w:r>
      <w:r>
        <w:rPr>
          <w:rFonts w:hint="eastAsia" w:ascii="宋体" w:hAnsi="宋体" w:cs="宋体"/>
          <w:color w:val="auto"/>
          <w:spacing w:val="-2"/>
          <w:sz w:val="24"/>
          <w:highlight w:val="none"/>
        </w:rPr>
        <w:t>代表确认。对磋商文件作出的实质性变动是磋商文件的有效组成部分，磋商小组应当及时以书面形式同时通知所有参加磋商的供应商。供应商应当按照磋商文件的变动情况和磋商小组的要求重新提交响应文件，并由其法定代表人</w:t>
      </w:r>
      <w:r>
        <w:rPr>
          <w:rFonts w:hint="eastAsia" w:ascii="宋体" w:hAnsi="宋体" w:cs="宋体"/>
          <w:color w:val="auto"/>
          <w:spacing w:val="-2"/>
          <w:sz w:val="24"/>
          <w:highlight w:val="none"/>
          <w:lang w:val="en-US" w:eastAsia="zh-CN"/>
        </w:rPr>
        <w:t>签章</w:t>
      </w:r>
      <w:r>
        <w:rPr>
          <w:rFonts w:hint="eastAsia" w:ascii="宋体" w:hAnsi="宋体" w:cs="宋体"/>
          <w:color w:val="auto"/>
          <w:spacing w:val="-2"/>
          <w:sz w:val="24"/>
          <w:highlight w:val="none"/>
        </w:rPr>
        <w:t>或授权代表签字或者加盖公章。</w:t>
      </w:r>
    </w:p>
    <w:p w14:paraId="79DF7484">
      <w:pPr>
        <w:spacing w:line="400" w:lineRule="exact"/>
        <w:ind w:firstLine="472" w:firstLineChars="200"/>
        <w:rPr>
          <w:rFonts w:hint="eastAsia" w:ascii="宋体" w:hAnsi="宋体" w:cs="宋体"/>
          <w:color w:val="auto"/>
          <w:spacing w:val="-2"/>
          <w:sz w:val="24"/>
          <w:highlight w:val="none"/>
        </w:rPr>
      </w:pPr>
      <w:r>
        <w:rPr>
          <w:rFonts w:hint="eastAsia" w:ascii="宋体" w:hAnsi="宋体" w:cs="宋体"/>
          <w:color w:val="auto"/>
          <w:spacing w:val="-2"/>
          <w:sz w:val="24"/>
          <w:highlight w:val="none"/>
        </w:rPr>
        <w:t>磋商结束后，磋商小组应当要求所有实质性响应的供应商在规定时间内提交最后报价。</w:t>
      </w:r>
    </w:p>
    <w:p w14:paraId="03B30807">
      <w:pPr>
        <w:pStyle w:val="30"/>
        <w:spacing w:line="400" w:lineRule="exact"/>
        <w:ind w:left="0" w:leftChars="0" w:firstLine="472" w:firstLineChars="200"/>
        <w:rPr>
          <w:rFonts w:hint="default" w:ascii="宋体" w:hAnsi="宋体" w:eastAsia="宋体" w:cs="宋体"/>
          <w:color w:val="auto"/>
          <w:spacing w:val="-2"/>
          <w:sz w:val="24"/>
          <w:szCs w:val="24"/>
          <w:highlight w:val="none"/>
          <w:lang w:val="en-US" w:eastAsia="zh-CN"/>
        </w:rPr>
      </w:pPr>
      <w:r>
        <w:rPr>
          <w:rFonts w:hint="eastAsia" w:ascii="宋体" w:hAnsi="宋体" w:cs="宋体"/>
          <w:color w:val="auto"/>
          <w:spacing w:val="-2"/>
          <w:sz w:val="24"/>
          <w:szCs w:val="24"/>
          <w:highlight w:val="none"/>
        </w:rPr>
        <w:t>磋商小组按磋商文件规定的评分标准，将对相应</w:t>
      </w:r>
      <w:r>
        <w:rPr>
          <w:rFonts w:hint="eastAsia" w:ascii="宋体" w:hAnsi="宋体" w:cs="宋体"/>
          <w:color w:val="auto"/>
          <w:spacing w:val="-2"/>
          <w:sz w:val="24"/>
          <w:szCs w:val="24"/>
          <w:highlight w:val="none"/>
          <w:lang w:val="en-US" w:eastAsia="zh-CN"/>
        </w:rPr>
        <w:t>合同包</w:t>
      </w:r>
      <w:r>
        <w:rPr>
          <w:rFonts w:hint="eastAsia" w:ascii="宋体" w:hAnsi="宋体" w:cs="宋体"/>
          <w:color w:val="auto"/>
          <w:spacing w:val="-2"/>
          <w:sz w:val="24"/>
          <w:szCs w:val="24"/>
          <w:highlight w:val="none"/>
        </w:rPr>
        <w:t>提交最后报价的合格供应商从技术、商务及报价部分分别进行评议并评分，并汇总出技术、商务及报价部分的综合得分。各</w:t>
      </w:r>
      <w:r>
        <w:rPr>
          <w:rFonts w:hint="eastAsia" w:ascii="宋体" w:hAnsi="宋体" w:cs="宋体"/>
          <w:color w:val="auto"/>
          <w:spacing w:val="-2"/>
          <w:sz w:val="24"/>
          <w:szCs w:val="24"/>
          <w:highlight w:val="none"/>
          <w:lang w:val="en-US" w:eastAsia="zh-CN"/>
        </w:rPr>
        <w:t>合同包</w:t>
      </w:r>
      <w:r>
        <w:rPr>
          <w:rFonts w:hint="eastAsia" w:ascii="宋体" w:hAnsi="宋体" w:cs="宋体"/>
          <w:color w:val="auto"/>
          <w:spacing w:val="-2"/>
          <w:sz w:val="24"/>
          <w:szCs w:val="24"/>
          <w:highlight w:val="none"/>
        </w:rPr>
        <w:t>综合得分最高的供应商将被推荐为第一成交候选供应商，综合得分排序第二的供应商将被推荐为第二成交候选供应商，综合得分排序第三的供应商将被推荐为第三成交候选供应商</w:t>
      </w:r>
      <w:r>
        <w:rPr>
          <w:rFonts w:hint="eastAsia" w:ascii="宋体" w:hAnsi="宋体" w:cs="宋体"/>
          <w:color w:val="auto"/>
          <w:spacing w:val="-2"/>
          <w:sz w:val="24"/>
          <w:szCs w:val="24"/>
          <w:highlight w:val="none"/>
          <w:lang w:eastAsia="zh-CN"/>
        </w:rPr>
        <w:t>。</w:t>
      </w:r>
      <w:r>
        <w:rPr>
          <w:rFonts w:hint="eastAsia" w:ascii="宋体" w:hAnsi="宋体" w:cs="宋体"/>
          <w:color w:val="auto"/>
          <w:spacing w:val="-2"/>
          <w:sz w:val="24"/>
          <w:szCs w:val="24"/>
          <w:highlight w:val="none"/>
        </w:rPr>
        <w:t>如果出现相同的综合得分，则最后报价低的供应商排序在前优先推荐；如果最后报价仍相同，则技术部分得分高的供应商优先排序在前推荐</w:t>
      </w:r>
      <w:r>
        <w:rPr>
          <w:rFonts w:hint="eastAsia" w:ascii="宋体" w:hAnsi="宋体" w:cs="宋体"/>
          <w:color w:val="auto"/>
          <w:spacing w:val="-2"/>
          <w:sz w:val="24"/>
          <w:szCs w:val="24"/>
          <w:highlight w:val="none"/>
          <w:lang w:eastAsia="zh-CN"/>
        </w:rPr>
        <w:t>；</w:t>
      </w:r>
      <w:r>
        <w:rPr>
          <w:rFonts w:hint="eastAsia" w:ascii="宋体" w:hAnsi="宋体" w:cs="宋体"/>
          <w:color w:val="auto"/>
          <w:spacing w:val="-2"/>
          <w:sz w:val="24"/>
          <w:szCs w:val="24"/>
          <w:highlight w:val="none"/>
          <w:lang w:val="en-US" w:eastAsia="zh-CN"/>
        </w:rPr>
        <w:t>如果最后报价及技术均相同，则随机抽取。</w:t>
      </w:r>
    </w:p>
    <w:p w14:paraId="4ED44799">
      <w:pPr>
        <w:tabs>
          <w:tab w:val="left" w:pos="-1080"/>
          <w:tab w:val="left" w:pos="180"/>
          <w:tab w:val="left" w:pos="1080"/>
        </w:tabs>
        <w:snapToGrid w:val="0"/>
        <w:spacing w:line="380" w:lineRule="exact"/>
        <w:jc w:val="left"/>
        <w:outlineLvl w:val="1"/>
        <w:rPr>
          <w:rFonts w:hint="eastAsia" w:ascii="宋体" w:hAnsi="宋体" w:cs="宋体"/>
          <w:color w:val="auto"/>
          <w:sz w:val="24"/>
          <w:szCs w:val="24"/>
          <w:highlight w:val="none"/>
        </w:rPr>
      </w:pPr>
      <w:r>
        <w:rPr>
          <w:rFonts w:hint="eastAsia" w:ascii="宋体" w:hAnsi="宋体" w:cs="宋体"/>
          <w:color w:val="auto"/>
          <w:sz w:val="24"/>
          <w:szCs w:val="24"/>
          <w:highlight w:val="none"/>
        </w:rPr>
        <w:t>各部分评分分值分布如下：</w:t>
      </w:r>
    </w:p>
    <w:p w14:paraId="3FACCF6D">
      <w:pPr>
        <w:tabs>
          <w:tab w:val="left" w:pos="-1080"/>
          <w:tab w:val="left" w:pos="180"/>
          <w:tab w:val="left" w:pos="1080"/>
        </w:tabs>
        <w:snapToGrid w:val="0"/>
        <w:spacing w:line="380" w:lineRule="exact"/>
        <w:ind w:firstLine="360" w:firstLineChars="150"/>
        <w:jc w:val="left"/>
        <w:rPr>
          <w:rFonts w:hint="eastAsia" w:ascii="宋体" w:hAnsi="宋体" w:cs="宋体"/>
          <w:color w:val="auto"/>
          <w:sz w:val="24"/>
          <w:szCs w:val="24"/>
          <w:highlight w:val="none"/>
        </w:rPr>
      </w:pPr>
      <w:bookmarkStart w:id="29" w:name="_Toc266745669"/>
      <w:bookmarkStart w:id="30" w:name="_Toc266745667"/>
      <w:r>
        <w:rPr>
          <w:rFonts w:hint="eastAsia" w:ascii="宋体" w:hAnsi="宋体" w:cs="宋体"/>
          <w:color w:val="auto"/>
          <w:sz w:val="24"/>
          <w:szCs w:val="24"/>
          <w:highlight w:val="none"/>
        </w:rPr>
        <w:t>PF ：报价部分评分           满分</w:t>
      </w:r>
      <w:r>
        <w:rPr>
          <w:rFonts w:hint="eastAsia" w:ascii="宋体" w:hAnsi="宋体" w:cs="宋体"/>
          <w:color w:val="auto"/>
          <w:sz w:val="24"/>
          <w:szCs w:val="24"/>
          <w:highlight w:val="none"/>
          <w:lang w:val="en-US" w:eastAsia="zh-CN"/>
        </w:rPr>
        <w:t>20</w:t>
      </w:r>
      <w:r>
        <w:rPr>
          <w:rFonts w:hint="eastAsia" w:ascii="宋体" w:hAnsi="宋体" w:cs="宋体"/>
          <w:color w:val="auto"/>
          <w:sz w:val="24"/>
          <w:szCs w:val="24"/>
          <w:highlight w:val="none"/>
        </w:rPr>
        <w:t>分</w:t>
      </w:r>
      <w:bookmarkEnd w:id="29"/>
    </w:p>
    <w:p w14:paraId="3B085D68">
      <w:pPr>
        <w:tabs>
          <w:tab w:val="left" w:pos="-1080"/>
          <w:tab w:val="left" w:pos="180"/>
          <w:tab w:val="left" w:pos="1080"/>
        </w:tabs>
        <w:snapToGrid w:val="0"/>
        <w:spacing w:line="380" w:lineRule="exact"/>
        <w:ind w:firstLine="360" w:firstLineChars="15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PT ：技术部分评分           满分</w:t>
      </w:r>
      <w:r>
        <w:rPr>
          <w:rFonts w:hint="eastAsia" w:ascii="宋体" w:hAnsi="宋体" w:cs="宋体"/>
          <w:color w:val="auto"/>
          <w:sz w:val="24"/>
          <w:szCs w:val="24"/>
          <w:highlight w:val="none"/>
          <w:lang w:val="en-US" w:eastAsia="zh-CN"/>
        </w:rPr>
        <w:t>68</w:t>
      </w:r>
      <w:r>
        <w:rPr>
          <w:rFonts w:hint="eastAsia" w:ascii="宋体" w:hAnsi="宋体" w:cs="宋体"/>
          <w:color w:val="auto"/>
          <w:sz w:val="24"/>
          <w:szCs w:val="24"/>
          <w:highlight w:val="none"/>
        </w:rPr>
        <w:t>分</w:t>
      </w:r>
      <w:bookmarkEnd w:id="30"/>
    </w:p>
    <w:p w14:paraId="139AD672">
      <w:pPr>
        <w:tabs>
          <w:tab w:val="left" w:pos="-1080"/>
          <w:tab w:val="left" w:pos="180"/>
          <w:tab w:val="left" w:pos="1080"/>
        </w:tabs>
        <w:snapToGrid w:val="0"/>
        <w:spacing w:line="380" w:lineRule="exact"/>
        <w:ind w:firstLine="360" w:firstLineChars="150"/>
        <w:jc w:val="left"/>
        <w:rPr>
          <w:rFonts w:hint="eastAsia" w:ascii="宋体" w:hAnsi="宋体" w:cs="宋体"/>
          <w:color w:val="auto"/>
          <w:sz w:val="24"/>
          <w:szCs w:val="24"/>
          <w:highlight w:val="none"/>
        </w:rPr>
      </w:pPr>
      <w:bookmarkStart w:id="31" w:name="_Toc266745668"/>
      <w:r>
        <w:rPr>
          <w:rFonts w:hint="eastAsia" w:ascii="宋体" w:hAnsi="宋体" w:cs="宋体"/>
          <w:color w:val="auto"/>
          <w:sz w:val="24"/>
          <w:szCs w:val="24"/>
          <w:highlight w:val="none"/>
        </w:rPr>
        <w:t>PB ：商务部分评分           满分</w:t>
      </w:r>
      <w:r>
        <w:rPr>
          <w:rFonts w:hint="eastAsia" w:ascii="宋体" w:hAnsi="宋体" w:cs="宋体"/>
          <w:color w:val="auto"/>
          <w:sz w:val="24"/>
          <w:szCs w:val="24"/>
          <w:highlight w:val="none"/>
          <w:lang w:val="en-US" w:eastAsia="zh-CN"/>
        </w:rPr>
        <w:t>12</w:t>
      </w:r>
      <w:r>
        <w:rPr>
          <w:rFonts w:hint="eastAsia" w:ascii="宋体" w:hAnsi="宋体" w:cs="宋体"/>
          <w:color w:val="auto"/>
          <w:sz w:val="24"/>
          <w:szCs w:val="24"/>
          <w:highlight w:val="none"/>
        </w:rPr>
        <w:t>分</w:t>
      </w:r>
      <w:bookmarkEnd w:id="31"/>
    </w:p>
    <w:tbl>
      <w:tblPr>
        <w:tblStyle w:val="49"/>
        <w:tblW w:w="9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371"/>
        <w:gridCol w:w="6765"/>
        <w:gridCol w:w="977"/>
      </w:tblGrid>
      <w:tr w14:paraId="3CAEA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tcBorders>
              <w:top w:val="single" w:color="auto" w:sz="4" w:space="0"/>
              <w:left w:val="single" w:color="auto" w:sz="4" w:space="0"/>
              <w:bottom w:val="single" w:color="auto" w:sz="4" w:space="0"/>
              <w:right w:val="single" w:color="auto" w:sz="4" w:space="0"/>
            </w:tcBorders>
            <w:noWrap w:val="0"/>
            <w:vAlign w:val="center"/>
          </w:tcPr>
          <w:p w14:paraId="342FA1D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bottom w:val="single" w:color="auto" w:sz="4" w:space="0"/>
              <w:right w:val="single" w:color="auto" w:sz="4" w:space="0"/>
            </w:tcBorders>
            <w:noWrap w:val="0"/>
            <w:vAlign w:val="center"/>
          </w:tcPr>
          <w:p w14:paraId="26FEF7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kern w:val="0"/>
                <w:sz w:val="24"/>
                <w:szCs w:val="24"/>
                <w:highlight w:val="none"/>
              </w:rPr>
              <w:t>评审项目</w:t>
            </w:r>
          </w:p>
        </w:tc>
        <w:tc>
          <w:tcPr>
            <w:tcW w:w="6765" w:type="dxa"/>
            <w:tcBorders>
              <w:top w:val="single" w:color="auto" w:sz="4" w:space="0"/>
              <w:left w:val="single" w:color="auto" w:sz="4" w:space="0"/>
              <w:bottom w:val="single" w:color="auto" w:sz="4" w:space="0"/>
              <w:right w:val="single" w:color="auto" w:sz="4" w:space="0"/>
            </w:tcBorders>
            <w:noWrap w:val="0"/>
            <w:vAlign w:val="center"/>
          </w:tcPr>
          <w:p w14:paraId="5AB9C7B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评审方法</w:t>
            </w:r>
          </w:p>
        </w:tc>
        <w:tc>
          <w:tcPr>
            <w:tcW w:w="977" w:type="dxa"/>
            <w:tcBorders>
              <w:top w:val="single" w:color="auto" w:sz="4" w:space="0"/>
              <w:left w:val="single" w:color="auto" w:sz="4" w:space="0"/>
              <w:bottom w:val="single" w:color="auto" w:sz="4" w:space="0"/>
              <w:right w:val="single" w:color="auto" w:sz="4" w:space="0"/>
            </w:tcBorders>
            <w:noWrap w:val="0"/>
            <w:vAlign w:val="center"/>
          </w:tcPr>
          <w:p w14:paraId="7CE781D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kern w:val="0"/>
                <w:sz w:val="24"/>
                <w:szCs w:val="24"/>
                <w:highlight w:val="none"/>
              </w:rPr>
              <w:t>分值</w:t>
            </w:r>
          </w:p>
        </w:tc>
      </w:tr>
      <w:tr w14:paraId="42B3D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4" w:type="dxa"/>
            <w:vMerge w:val="restart"/>
            <w:tcBorders>
              <w:top w:val="single" w:color="auto" w:sz="4" w:space="0"/>
              <w:left w:val="single" w:color="auto" w:sz="4" w:space="0"/>
              <w:right w:val="single" w:color="auto" w:sz="4" w:space="0"/>
            </w:tcBorders>
            <w:noWrap w:val="0"/>
            <w:vAlign w:val="center"/>
          </w:tcPr>
          <w:p w14:paraId="393C95F3">
            <w:pPr>
              <w:keepNext w:val="0"/>
              <w:keepLines w:val="0"/>
              <w:pageBreakBefore w:val="0"/>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1、T技术</w:t>
            </w:r>
          </w:p>
          <w:p w14:paraId="41B5BA1C">
            <w:pPr>
              <w:keepNext w:val="0"/>
              <w:keepLines w:val="0"/>
              <w:pageBreakBefore w:val="0"/>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部分评分 （满</w:t>
            </w:r>
            <w:r>
              <w:rPr>
                <w:rFonts w:hint="eastAsia" w:ascii="宋体" w:hAnsi="宋体" w:cs="宋体"/>
                <w:b w:val="0"/>
                <w:bCs w:val="0"/>
                <w:color w:val="auto"/>
                <w:sz w:val="24"/>
                <w:szCs w:val="24"/>
                <w:highlight w:val="none"/>
                <w:lang w:val="en-US" w:eastAsia="zh-CN"/>
              </w:rPr>
              <w:t>68</w:t>
            </w:r>
            <w:r>
              <w:rPr>
                <w:rFonts w:hint="eastAsia" w:ascii="宋体" w:hAnsi="宋体" w:eastAsia="宋体" w:cs="宋体"/>
                <w:b w:val="0"/>
                <w:bCs w:val="0"/>
                <w:color w:val="auto"/>
                <w:sz w:val="24"/>
                <w:szCs w:val="24"/>
                <w:highlight w:val="none"/>
              </w:rPr>
              <w:t>分）</w:t>
            </w:r>
          </w:p>
          <w:p w14:paraId="5D2D0EB4">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316213A1">
            <w:pPr>
              <w:pStyle w:val="301"/>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eastAsia="zh-Hans" w:bidi="ar-SA"/>
              </w:rPr>
            </w:pPr>
            <w:r>
              <w:rPr>
                <w:rFonts w:hint="eastAsia" w:ascii="宋体" w:hAnsi="宋体" w:eastAsia="宋体" w:cs="宋体"/>
                <w:color w:val="auto"/>
                <w:kern w:val="2"/>
                <w:sz w:val="24"/>
                <w:szCs w:val="24"/>
                <w:highlight w:val="none"/>
                <w:lang w:eastAsia="zh-CN"/>
              </w:rPr>
              <w:t>技术响应</w:t>
            </w:r>
          </w:p>
        </w:tc>
        <w:tc>
          <w:tcPr>
            <w:tcW w:w="67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10690">
            <w:pPr>
              <w:pStyle w:val="301"/>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bidi="ar"/>
              </w:rPr>
              <w:t>根据各</w:t>
            </w:r>
            <w:r>
              <w:rPr>
                <w:rFonts w:hint="eastAsia" w:ascii="宋体" w:hAnsi="宋体" w:cs="宋体"/>
                <w:color w:val="auto"/>
                <w:sz w:val="24"/>
                <w:szCs w:val="24"/>
                <w:highlight w:val="none"/>
                <w:lang w:eastAsia="zh-CN" w:bidi="ar"/>
              </w:rPr>
              <w:t>供应商</w:t>
            </w:r>
            <w:r>
              <w:rPr>
                <w:rFonts w:hint="eastAsia" w:ascii="宋体" w:hAnsi="宋体" w:eastAsia="宋体" w:cs="宋体"/>
                <w:color w:val="auto"/>
                <w:sz w:val="24"/>
                <w:szCs w:val="24"/>
                <w:highlight w:val="none"/>
                <w:lang w:bidi="ar"/>
              </w:rPr>
              <w:t>对</w:t>
            </w:r>
            <w:r>
              <w:rPr>
                <w:rFonts w:hint="eastAsia" w:ascii="宋体" w:hAnsi="宋体" w:cs="宋体"/>
                <w:color w:val="auto"/>
                <w:sz w:val="24"/>
                <w:szCs w:val="24"/>
                <w:highlight w:val="none"/>
                <w:lang w:eastAsia="zh-CN" w:bidi="ar"/>
              </w:rPr>
              <w:t>磋商文件</w:t>
            </w:r>
            <w:r>
              <w:rPr>
                <w:rFonts w:hint="eastAsia" w:ascii="宋体" w:hAnsi="宋体" w:eastAsia="宋体" w:cs="宋体"/>
                <w:color w:val="auto"/>
                <w:sz w:val="24"/>
                <w:szCs w:val="24"/>
                <w:highlight w:val="none"/>
                <w:lang w:bidi="ar"/>
              </w:rPr>
              <w:t>第</w:t>
            </w:r>
            <w:r>
              <w:rPr>
                <w:rFonts w:hint="eastAsia" w:ascii="宋体" w:hAnsi="宋体" w:eastAsia="宋体" w:cs="宋体"/>
                <w:color w:val="auto"/>
                <w:sz w:val="24"/>
                <w:szCs w:val="24"/>
                <w:highlight w:val="none"/>
                <w:lang w:val="en-US" w:eastAsia="zh-CN" w:bidi="ar"/>
              </w:rPr>
              <w:t>三</w:t>
            </w:r>
            <w:r>
              <w:rPr>
                <w:rFonts w:hint="eastAsia" w:ascii="宋体" w:hAnsi="宋体" w:eastAsia="宋体" w:cs="宋体"/>
                <w:color w:val="auto"/>
                <w:sz w:val="24"/>
                <w:szCs w:val="24"/>
                <w:highlight w:val="none"/>
                <w:lang w:bidi="ar"/>
              </w:rPr>
              <w:t>章“二、技术和服务要求”中各项技术参数要求的逐项响应情况，由</w:t>
            </w:r>
            <w:r>
              <w:rPr>
                <w:rFonts w:hint="eastAsia" w:ascii="宋体" w:hAnsi="宋体" w:cs="宋体"/>
                <w:color w:val="auto"/>
                <w:sz w:val="24"/>
                <w:szCs w:val="24"/>
                <w:highlight w:val="none"/>
                <w:lang w:eastAsia="zh-CN" w:bidi="ar"/>
              </w:rPr>
              <w:t>磋商小组</w:t>
            </w:r>
            <w:r>
              <w:rPr>
                <w:rFonts w:hint="eastAsia" w:ascii="宋体" w:hAnsi="宋体" w:eastAsia="宋体" w:cs="宋体"/>
                <w:color w:val="auto"/>
                <w:sz w:val="24"/>
                <w:szCs w:val="24"/>
                <w:highlight w:val="none"/>
                <w:lang w:bidi="ar"/>
              </w:rPr>
              <w:t>按以下标准评定：①</w:t>
            </w:r>
            <w:r>
              <w:rPr>
                <w:rFonts w:hint="eastAsia" w:ascii="宋体" w:hAnsi="宋体" w:cs="宋体"/>
                <w:color w:val="auto"/>
                <w:sz w:val="24"/>
                <w:szCs w:val="24"/>
                <w:highlight w:val="none"/>
                <w:lang w:eastAsia="zh-CN" w:bidi="ar"/>
              </w:rPr>
              <w:t>供应商</w:t>
            </w:r>
            <w:r>
              <w:rPr>
                <w:rFonts w:hint="eastAsia" w:ascii="宋体" w:hAnsi="宋体" w:eastAsia="宋体" w:cs="宋体"/>
                <w:color w:val="auto"/>
                <w:sz w:val="24"/>
                <w:szCs w:val="24"/>
                <w:highlight w:val="none"/>
                <w:lang w:bidi="ar"/>
              </w:rPr>
              <w:t>所投技术和服务内容完全满足</w:t>
            </w:r>
            <w:r>
              <w:rPr>
                <w:rFonts w:hint="eastAsia" w:ascii="宋体" w:hAnsi="宋体" w:cs="宋体"/>
                <w:color w:val="auto"/>
                <w:sz w:val="24"/>
                <w:szCs w:val="24"/>
                <w:highlight w:val="none"/>
                <w:lang w:eastAsia="zh-CN" w:bidi="ar"/>
              </w:rPr>
              <w:t>磋商文件</w:t>
            </w:r>
            <w:r>
              <w:rPr>
                <w:rFonts w:hint="eastAsia" w:ascii="宋体" w:hAnsi="宋体" w:eastAsia="宋体" w:cs="宋体"/>
                <w:color w:val="auto"/>
                <w:sz w:val="24"/>
                <w:szCs w:val="24"/>
                <w:highlight w:val="none"/>
                <w:lang w:bidi="ar"/>
              </w:rPr>
              <w:t>要求的得满分</w:t>
            </w:r>
            <w:r>
              <w:rPr>
                <w:rFonts w:hint="eastAsia" w:ascii="宋体" w:hAnsi="宋体" w:cs="宋体"/>
                <w:color w:val="auto"/>
                <w:sz w:val="24"/>
                <w:szCs w:val="24"/>
                <w:highlight w:val="none"/>
                <w:lang w:val="en-US" w:eastAsia="zh-CN" w:bidi="ar"/>
              </w:rPr>
              <w:t>51</w:t>
            </w:r>
            <w:r>
              <w:rPr>
                <w:rFonts w:hint="eastAsia" w:ascii="宋体" w:hAnsi="宋体" w:eastAsia="宋体" w:cs="宋体"/>
                <w:color w:val="auto"/>
                <w:sz w:val="24"/>
                <w:szCs w:val="24"/>
                <w:highlight w:val="none"/>
                <w:lang w:bidi="ar"/>
              </w:rPr>
              <w:t>分；</w:t>
            </w:r>
            <w:r>
              <w:rPr>
                <w:rFonts w:hint="eastAsia" w:ascii="宋体" w:hAnsi="宋体" w:eastAsia="宋体" w:cs="宋体"/>
                <w:color w:val="auto"/>
                <w:sz w:val="24"/>
                <w:szCs w:val="24"/>
                <w:highlight w:val="none"/>
                <w:lang w:val="en-US" w:eastAsia="zh-CN" w:bidi="ar"/>
              </w:rPr>
              <w:t>②标注</w:t>
            </w:r>
            <w:r>
              <w:rPr>
                <w:rFonts w:hint="eastAsia" w:ascii="宋体" w:hAnsi="宋体" w:eastAsia="宋体" w:cs="宋体"/>
                <w:i w:val="0"/>
                <w:iCs w:val="0"/>
                <w:caps w:val="0"/>
                <w:color w:val="auto"/>
                <w:spacing w:val="0"/>
                <w:sz w:val="24"/>
                <w:szCs w:val="24"/>
                <w:highlight w:val="none"/>
                <w:shd w:val="clear" w:color="auto" w:fill="auto"/>
                <w:lang w:bidi="ar"/>
              </w:rPr>
              <w:t>“★”的</w:t>
            </w:r>
            <w:r>
              <w:rPr>
                <w:rFonts w:hint="eastAsia" w:ascii="宋体" w:hAnsi="宋体" w:eastAsia="宋体" w:cs="宋体"/>
                <w:i w:val="0"/>
                <w:iCs w:val="0"/>
                <w:caps w:val="0"/>
                <w:color w:val="auto"/>
                <w:spacing w:val="0"/>
                <w:sz w:val="24"/>
                <w:szCs w:val="24"/>
                <w:highlight w:val="none"/>
                <w:shd w:val="clear" w:color="auto" w:fill="auto"/>
                <w:lang w:eastAsia="zh-CN" w:bidi="ar"/>
              </w:rPr>
              <w:t>内容</w:t>
            </w:r>
            <w:r>
              <w:rPr>
                <w:rFonts w:hint="eastAsia" w:ascii="宋体" w:hAnsi="宋体" w:eastAsia="宋体" w:cs="宋体"/>
                <w:i w:val="0"/>
                <w:iCs w:val="0"/>
                <w:caps w:val="0"/>
                <w:color w:val="auto"/>
                <w:spacing w:val="0"/>
                <w:sz w:val="24"/>
                <w:szCs w:val="24"/>
                <w:highlight w:val="none"/>
                <w:shd w:val="clear" w:color="auto" w:fill="auto"/>
                <w:lang w:bidi="ar"/>
              </w:rPr>
              <w:t>（共计</w:t>
            </w:r>
            <w:r>
              <w:rPr>
                <w:rFonts w:hint="eastAsia" w:ascii="宋体" w:hAnsi="宋体" w:cs="宋体"/>
                <w:i w:val="0"/>
                <w:iCs w:val="0"/>
                <w:caps w:val="0"/>
                <w:color w:val="auto"/>
                <w:spacing w:val="0"/>
                <w:sz w:val="24"/>
                <w:szCs w:val="24"/>
                <w:highlight w:val="none"/>
                <w:shd w:val="clear" w:color="auto" w:fill="auto"/>
                <w:lang w:val="en-US" w:eastAsia="zh-CN" w:bidi="ar"/>
              </w:rPr>
              <w:t>7</w:t>
            </w:r>
            <w:r>
              <w:rPr>
                <w:rFonts w:hint="eastAsia" w:ascii="宋体" w:hAnsi="宋体" w:eastAsia="宋体" w:cs="宋体"/>
                <w:i w:val="0"/>
                <w:iCs w:val="0"/>
                <w:caps w:val="0"/>
                <w:color w:val="auto"/>
                <w:spacing w:val="0"/>
                <w:sz w:val="24"/>
                <w:szCs w:val="24"/>
                <w:highlight w:val="none"/>
                <w:shd w:val="clear" w:color="auto" w:fill="auto"/>
                <w:lang w:bidi="ar"/>
              </w:rPr>
              <w:t>项）为实质性技术要求，不允许有负偏离，若有负偏离的按无效投标处理；③</w:t>
            </w:r>
            <w:r>
              <w:rPr>
                <w:rFonts w:hint="eastAsia" w:ascii="宋体" w:hAnsi="宋体" w:eastAsia="宋体" w:cs="宋体"/>
                <w:color w:val="auto"/>
                <w:sz w:val="24"/>
                <w:szCs w:val="24"/>
                <w:highlight w:val="none"/>
                <w:lang w:val="en-US" w:eastAsia="zh-CN" w:bidi="ar"/>
              </w:rPr>
              <w:t>标注“</w:t>
            </w:r>
            <w:r>
              <w:rPr>
                <w:rFonts w:hint="eastAsia" w:ascii="宋体" w:hAnsi="宋体" w:cs="宋体"/>
                <w:color w:val="auto"/>
                <w:sz w:val="24"/>
                <w:szCs w:val="24"/>
                <w:highlight w:val="none"/>
                <w:lang w:val="en-US" w:eastAsia="zh-CN" w:bidi="ar"/>
              </w:rPr>
              <w:t>项号</w:t>
            </w:r>
            <w:r>
              <w:rPr>
                <w:rFonts w:hint="eastAsia" w:ascii="宋体" w:hAnsi="宋体" w:eastAsia="宋体" w:cs="宋体"/>
                <w:color w:val="auto"/>
                <w:sz w:val="24"/>
                <w:szCs w:val="24"/>
                <w:highlight w:val="none"/>
                <w:lang w:val="en-US" w:eastAsia="zh-CN" w:bidi="ar"/>
              </w:rPr>
              <w:t>”的技术参数为1项评审指标项（共</w:t>
            </w:r>
            <w:r>
              <w:rPr>
                <w:rFonts w:hint="eastAsia" w:ascii="宋体" w:hAnsi="宋体" w:cs="宋体"/>
                <w:color w:val="auto"/>
                <w:sz w:val="24"/>
                <w:szCs w:val="24"/>
                <w:highlight w:val="none"/>
                <w:lang w:val="en-US" w:eastAsia="zh-CN" w:bidi="ar"/>
              </w:rPr>
              <w:t>17</w:t>
            </w:r>
            <w:r>
              <w:rPr>
                <w:rFonts w:hint="eastAsia" w:ascii="宋体" w:hAnsi="宋体" w:eastAsia="宋体" w:cs="宋体"/>
                <w:color w:val="auto"/>
                <w:sz w:val="24"/>
                <w:szCs w:val="24"/>
                <w:highlight w:val="none"/>
                <w:lang w:val="en-US" w:eastAsia="zh-CN" w:bidi="ar"/>
              </w:rPr>
              <w:t>项，合计</w:t>
            </w:r>
            <w:r>
              <w:rPr>
                <w:rFonts w:hint="eastAsia" w:ascii="宋体" w:hAnsi="宋体" w:cs="宋体"/>
                <w:color w:val="auto"/>
                <w:sz w:val="24"/>
                <w:szCs w:val="24"/>
                <w:highlight w:val="none"/>
                <w:lang w:val="en-US" w:eastAsia="zh-CN" w:bidi="ar"/>
              </w:rPr>
              <w:t>51</w:t>
            </w:r>
            <w:r>
              <w:rPr>
                <w:rFonts w:hint="eastAsia" w:ascii="宋体" w:hAnsi="宋体" w:eastAsia="宋体" w:cs="宋体"/>
                <w:color w:val="auto"/>
                <w:sz w:val="24"/>
                <w:szCs w:val="24"/>
                <w:highlight w:val="none"/>
                <w:lang w:val="en-US" w:eastAsia="zh-CN" w:bidi="ar"/>
              </w:rPr>
              <w:t>分），每负偏离一项扣</w:t>
            </w:r>
            <w:r>
              <w:rPr>
                <w:rFonts w:hint="eastAsia" w:ascii="宋体" w:hAnsi="宋体" w:cs="宋体"/>
                <w:color w:val="auto"/>
                <w:sz w:val="24"/>
                <w:szCs w:val="24"/>
                <w:highlight w:val="none"/>
                <w:lang w:val="en-US" w:eastAsia="zh-CN" w:bidi="ar"/>
              </w:rPr>
              <w:t>3</w:t>
            </w:r>
            <w:r>
              <w:rPr>
                <w:rFonts w:hint="eastAsia" w:ascii="宋体" w:hAnsi="宋体" w:eastAsia="宋体" w:cs="宋体"/>
                <w:color w:val="auto"/>
                <w:sz w:val="24"/>
                <w:szCs w:val="24"/>
                <w:highlight w:val="none"/>
                <w:lang w:val="en-US" w:eastAsia="zh-CN" w:bidi="ar"/>
              </w:rPr>
              <w:t xml:space="preserve"> 分</w:t>
            </w:r>
            <w:r>
              <w:rPr>
                <w:rFonts w:hint="eastAsia" w:ascii="宋体" w:hAnsi="宋体" w:eastAsia="宋体" w:cs="宋体"/>
                <w:color w:val="auto"/>
                <w:sz w:val="24"/>
                <w:szCs w:val="24"/>
                <w:highlight w:val="none"/>
                <w:lang w:bidi="ar"/>
              </w:rPr>
              <w:t>，正偏离不加分。【注：</w:t>
            </w:r>
            <w:r>
              <w:rPr>
                <w:rFonts w:hint="eastAsia" w:ascii="宋体" w:hAnsi="宋体" w:cs="宋体"/>
                <w:color w:val="auto"/>
                <w:sz w:val="24"/>
                <w:szCs w:val="24"/>
                <w:highlight w:val="none"/>
                <w:lang w:eastAsia="zh-CN" w:bidi="ar"/>
              </w:rPr>
              <w:t>供应商</w:t>
            </w:r>
            <w:r>
              <w:rPr>
                <w:rFonts w:hint="eastAsia" w:ascii="宋体" w:hAnsi="宋体" w:eastAsia="宋体" w:cs="宋体"/>
                <w:color w:val="auto"/>
                <w:sz w:val="24"/>
                <w:szCs w:val="24"/>
                <w:highlight w:val="none"/>
                <w:lang w:bidi="ar"/>
              </w:rPr>
              <w:t>必须根据该评审内容，对照</w:t>
            </w:r>
            <w:r>
              <w:rPr>
                <w:rFonts w:hint="eastAsia" w:ascii="宋体" w:hAnsi="宋体" w:cs="宋体"/>
                <w:color w:val="auto"/>
                <w:sz w:val="24"/>
                <w:szCs w:val="24"/>
                <w:highlight w:val="none"/>
                <w:lang w:val="en-US" w:eastAsia="zh-CN" w:bidi="ar"/>
              </w:rPr>
              <w:t>磋商</w:t>
            </w:r>
            <w:r>
              <w:rPr>
                <w:rFonts w:hint="eastAsia" w:ascii="宋体" w:hAnsi="宋体" w:eastAsia="宋体" w:cs="宋体"/>
                <w:color w:val="auto"/>
                <w:sz w:val="24"/>
                <w:szCs w:val="24"/>
                <w:highlight w:val="none"/>
                <w:lang w:bidi="ar"/>
              </w:rPr>
              <w:t>文件的要求逐项进行应答，如实说明正、负偏离情况，否则，有可能做出不利于</w:t>
            </w:r>
            <w:r>
              <w:rPr>
                <w:rFonts w:hint="eastAsia" w:ascii="宋体" w:hAnsi="宋体" w:cs="宋体"/>
                <w:color w:val="auto"/>
                <w:sz w:val="24"/>
                <w:szCs w:val="24"/>
                <w:highlight w:val="none"/>
                <w:lang w:eastAsia="zh-CN" w:bidi="ar"/>
              </w:rPr>
              <w:t>供应商</w:t>
            </w:r>
            <w:r>
              <w:rPr>
                <w:rFonts w:hint="eastAsia" w:ascii="宋体" w:hAnsi="宋体" w:eastAsia="宋体" w:cs="宋体"/>
                <w:color w:val="auto"/>
                <w:sz w:val="24"/>
                <w:szCs w:val="24"/>
                <w:highlight w:val="none"/>
                <w:lang w:bidi="ar"/>
              </w:rPr>
              <w:t>的评判（负偏离）】</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7BE0BC">
            <w:pPr>
              <w:pStyle w:val="301"/>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rPr>
              <w:t>51</w:t>
            </w:r>
            <w:r>
              <w:rPr>
                <w:rFonts w:hint="eastAsia" w:ascii="宋体" w:hAnsi="宋体" w:eastAsia="宋体" w:cs="宋体"/>
                <w:color w:val="auto"/>
                <w:kern w:val="2"/>
                <w:sz w:val="24"/>
                <w:szCs w:val="24"/>
                <w:highlight w:val="none"/>
                <w:lang w:val="en-US" w:eastAsia="zh-CN"/>
              </w:rPr>
              <w:t>.0</w:t>
            </w:r>
            <w:r>
              <w:rPr>
                <w:rFonts w:hint="eastAsia" w:ascii="宋体" w:hAnsi="宋体" w:eastAsia="宋体" w:cs="宋体"/>
                <w:color w:val="auto"/>
                <w:kern w:val="2"/>
                <w:sz w:val="24"/>
                <w:szCs w:val="24"/>
                <w:highlight w:val="none"/>
                <w:lang w:eastAsia="zh-CN"/>
              </w:rPr>
              <w:t>0</w:t>
            </w:r>
          </w:p>
        </w:tc>
      </w:tr>
      <w:tr w14:paraId="42629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5287BA70">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1174AA7D">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维保方案</w:t>
            </w:r>
          </w:p>
        </w:tc>
        <w:tc>
          <w:tcPr>
            <w:tcW w:w="67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B3D370">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left"/>
              <w:textAlignment w:val="auto"/>
              <w:rPr>
                <w:rFonts w:hint="eastAsia" w:asciiTheme="minorEastAsia" w:hAnsiTheme="minorEastAsia" w:eastAsiaTheme="minorEastAsia" w:cstheme="minorEastAsia"/>
                <w:color w:val="auto"/>
                <w:sz w:val="24"/>
                <w:szCs w:val="24"/>
                <w:highlight w:val="none"/>
                <w:lang w:val="en-US" w:eastAsia="zh-Hans" w:bidi="ar"/>
              </w:rPr>
            </w:pPr>
            <w:r>
              <w:rPr>
                <w:rFonts w:hint="eastAsia" w:asciiTheme="minorEastAsia" w:hAnsiTheme="minorEastAsia" w:eastAsiaTheme="minorEastAsia" w:cstheme="minorEastAsia"/>
                <w:sz w:val="24"/>
                <w:szCs w:val="24"/>
                <w:highlight w:val="none"/>
              </w:rPr>
              <w:t>根据</w:t>
            </w:r>
            <w:r>
              <w:rPr>
                <w:rFonts w:hint="eastAsia" w:asciiTheme="minorEastAsia" w:hAnsiTheme="minorEastAsia" w:eastAsiaTheme="minorEastAsia" w:cstheme="minorEastAsia"/>
                <w:sz w:val="24"/>
                <w:szCs w:val="24"/>
                <w:highlight w:val="none"/>
                <w:lang w:eastAsia="zh-CN"/>
              </w:rPr>
              <w:t>供应商</w:t>
            </w:r>
            <w:r>
              <w:rPr>
                <w:rFonts w:hint="eastAsia" w:asciiTheme="minorEastAsia" w:hAnsiTheme="minorEastAsia" w:eastAsiaTheme="minorEastAsia" w:cstheme="minorEastAsia"/>
                <w:sz w:val="24"/>
                <w:szCs w:val="24"/>
                <w:highlight w:val="none"/>
              </w:rPr>
              <w:t>针对采购人日常维保和特殊时期维保(重大任务、重大会议、重大节庆活动期间等)的维保方案(包括不限于时间安排、人员安排、维保范围等内容)，由</w:t>
            </w:r>
            <w:r>
              <w:rPr>
                <w:rFonts w:hint="eastAsia" w:asciiTheme="minorEastAsia" w:hAnsiTheme="minorEastAsia" w:eastAsiaTheme="minorEastAsia" w:cstheme="minorEastAsia"/>
                <w:sz w:val="24"/>
                <w:szCs w:val="24"/>
                <w:highlight w:val="none"/>
                <w:lang w:eastAsia="zh-CN"/>
              </w:rPr>
              <w:t>磋商小组</w:t>
            </w:r>
            <w:r>
              <w:rPr>
                <w:rFonts w:hint="eastAsia" w:asciiTheme="minorEastAsia" w:hAnsiTheme="minorEastAsia" w:eastAsiaTheme="minorEastAsia" w:cstheme="minorEastAsia"/>
                <w:sz w:val="24"/>
                <w:szCs w:val="24"/>
                <w:highlight w:val="none"/>
              </w:rPr>
              <w:t>进行评分：提供的方案包含的要点齐全无缺漏项、内容与要点相符、内容完善且能够适用于本项目的得</w:t>
            </w: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分；方案所包含的要点齐全、内容与要点相符，但仅有纲要内容简略，未展开阐述的得</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分；方案所包含的要点有缺漏或内容不全的得</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分；未提供的不得分。</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E56B6E">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3</w:t>
            </w:r>
          </w:p>
        </w:tc>
      </w:tr>
      <w:tr w14:paraId="578AB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4" w:type="dxa"/>
            <w:vMerge w:val="continue"/>
            <w:tcBorders>
              <w:left w:val="single" w:color="auto" w:sz="4" w:space="0"/>
              <w:right w:val="single" w:color="auto" w:sz="4" w:space="0"/>
            </w:tcBorders>
            <w:noWrap w:val="0"/>
            <w:vAlign w:val="center"/>
          </w:tcPr>
          <w:p w14:paraId="11493AB4">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7B8D7359">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sz w:val="24"/>
                <w:szCs w:val="24"/>
              </w:rPr>
              <w:t>消防安全管理方案</w:t>
            </w:r>
          </w:p>
        </w:tc>
        <w:tc>
          <w:tcPr>
            <w:tcW w:w="67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47C61E">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auto"/>
                <w:kern w:val="2"/>
                <w:sz w:val="24"/>
                <w:szCs w:val="24"/>
                <w:highlight w:val="none"/>
                <w:lang w:val="en-US" w:eastAsia="zh-Hans" w:bidi="ar-SA"/>
              </w:rPr>
            </w:pPr>
            <w:r>
              <w:rPr>
                <w:rFonts w:hint="eastAsia" w:asciiTheme="minorEastAsia" w:hAnsiTheme="minorEastAsia" w:eastAsiaTheme="minorEastAsia" w:cstheme="minorEastAsia"/>
                <w:sz w:val="24"/>
                <w:szCs w:val="24"/>
                <w:highlight w:val="none"/>
              </w:rPr>
              <w:t>根据</w:t>
            </w:r>
            <w:r>
              <w:rPr>
                <w:rFonts w:hint="eastAsia" w:asciiTheme="minorEastAsia" w:hAnsiTheme="minorEastAsia" w:eastAsiaTheme="minorEastAsia" w:cstheme="minorEastAsia"/>
                <w:sz w:val="24"/>
                <w:szCs w:val="24"/>
                <w:highlight w:val="none"/>
                <w:lang w:eastAsia="zh-CN"/>
              </w:rPr>
              <w:t>供应商</w:t>
            </w:r>
            <w:r>
              <w:rPr>
                <w:rFonts w:hint="eastAsia" w:asciiTheme="minorEastAsia" w:hAnsiTheme="minorEastAsia" w:eastAsiaTheme="minorEastAsia" w:cstheme="minorEastAsia"/>
                <w:sz w:val="24"/>
                <w:szCs w:val="24"/>
                <w:highlight w:val="none"/>
              </w:rPr>
              <w:t>制定的消防安全管理方案(包括但不限于①标准化建设相关文体制度体系的完善、消防安全标识标牌设置；②消防咨询与技术顾问的服务时长、服务内容、服务方式；③消防档案管理相关制度、建设方式、建设工具；④制定消防工作计划,组织实施日常消防安全管理；制订消防安全制度、操作规程、消防安全资金投入和组织保障方案、其他消防安全管理等要点)，由</w:t>
            </w:r>
            <w:r>
              <w:rPr>
                <w:rFonts w:hint="eastAsia" w:asciiTheme="minorEastAsia" w:hAnsiTheme="minorEastAsia" w:eastAsiaTheme="minorEastAsia" w:cstheme="minorEastAsia"/>
                <w:sz w:val="24"/>
                <w:szCs w:val="24"/>
                <w:highlight w:val="none"/>
                <w:lang w:eastAsia="zh-CN"/>
              </w:rPr>
              <w:t>磋商小组</w:t>
            </w:r>
            <w:r>
              <w:rPr>
                <w:rFonts w:hint="eastAsia" w:asciiTheme="minorEastAsia" w:hAnsiTheme="minorEastAsia" w:eastAsiaTheme="minorEastAsia" w:cstheme="minorEastAsia"/>
                <w:sz w:val="24"/>
                <w:szCs w:val="24"/>
                <w:highlight w:val="none"/>
              </w:rPr>
              <w:t>进行评分：提供的方案包含的要点齐全无缺漏项、内容与要点相符、内容完善且能够适用于本项目的得</w:t>
            </w: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分；方案所包含的要点齐全、内容与要点相符，但仅有纲要内容简略，未展开阐述的得</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分；方案所包含的要点有缺漏或内容不全的得</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分；未提供的不得分。</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DE8551">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3</w:t>
            </w:r>
          </w:p>
        </w:tc>
      </w:tr>
      <w:tr w14:paraId="659F8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2DFD05B3">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58BA6103">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sz w:val="24"/>
                <w:szCs w:val="24"/>
              </w:rPr>
              <w:t>应急处理方案</w:t>
            </w:r>
          </w:p>
        </w:tc>
        <w:tc>
          <w:tcPr>
            <w:tcW w:w="6765"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660EC296">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根据</w:t>
            </w:r>
            <w:r>
              <w:rPr>
                <w:rFonts w:hint="eastAsia" w:asciiTheme="minorEastAsia" w:hAnsiTheme="minorEastAsia" w:eastAsiaTheme="minorEastAsia" w:cstheme="minorEastAsia"/>
                <w:sz w:val="24"/>
                <w:szCs w:val="24"/>
                <w:lang w:eastAsia="zh-CN"/>
              </w:rPr>
              <w:t>供应商</w:t>
            </w:r>
            <w:r>
              <w:rPr>
                <w:rFonts w:hint="eastAsia" w:asciiTheme="minorEastAsia" w:hAnsiTheme="minorEastAsia" w:eastAsiaTheme="minorEastAsia" w:cstheme="minorEastAsia"/>
                <w:sz w:val="24"/>
                <w:szCs w:val="24"/>
              </w:rPr>
              <w:t>提供的应急处理方案（包括但不限于：应急抢修和恢复、应急解除、应急响应、应急保障等要点），由</w:t>
            </w:r>
            <w:r>
              <w:rPr>
                <w:rFonts w:hint="eastAsia" w:asciiTheme="minorEastAsia" w:hAnsiTheme="minorEastAsia" w:eastAsiaTheme="minorEastAsia" w:cstheme="minorEastAsia"/>
                <w:sz w:val="24"/>
                <w:szCs w:val="24"/>
                <w:lang w:eastAsia="zh-CN"/>
              </w:rPr>
              <w:t>磋商小组</w:t>
            </w:r>
            <w:r>
              <w:rPr>
                <w:rFonts w:hint="eastAsia" w:asciiTheme="minorEastAsia" w:hAnsiTheme="minorEastAsia" w:eastAsiaTheme="minorEastAsia" w:cstheme="minorEastAsia"/>
                <w:sz w:val="24"/>
                <w:szCs w:val="24"/>
              </w:rPr>
              <w:t>进行评分：提供的方案包含的要点齐全无缺漏项、内容与要点相符、内容完善</w:t>
            </w:r>
            <w:r>
              <w:rPr>
                <w:rFonts w:hint="eastAsia" w:asciiTheme="minorEastAsia" w:hAnsiTheme="minorEastAsia" w:eastAsiaTheme="minorEastAsia" w:cstheme="minorEastAsia"/>
                <w:sz w:val="24"/>
                <w:szCs w:val="24"/>
                <w:highlight w:val="none"/>
              </w:rPr>
              <w:t>且能够适用于本项目的得</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分；方案所包含的要点齐全、内容与要点相符，但仅有纲要内容简略，未展开阐述的得</w:t>
            </w: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分；方案所包含的要点有缺漏或内容不全的得</w:t>
            </w: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分；未提供的不得分。</w:t>
            </w:r>
          </w:p>
          <w:p w14:paraId="108C3EBA">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sz w:val="24"/>
                <w:szCs w:val="24"/>
              </w:rPr>
            </w:pPr>
          </w:p>
          <w:p w14:paraId="3C343ECB">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sz w:val="24"/>
                <w:szCs w:val="24"/>
                <w:lang w:val="en-US" w:eastAsia="zh-Hans"/>
              </w:rPr>
            </w:pP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D71C56">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2</w:t>
            </w:r>
          </w:p>
        </w:tc>
      </w:tr>
      <w:tr w14:paraId="56281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5A60EC77">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24DDF804">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Hans"/>
              </w:rPr>
              <w:t>备品备件方案</w:t>
            </w:r>
          </w:p>
        </w:tc>
        <w:tc>
          <w:tcPr>
            <w:tcW w:w="6765"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E63F301">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Theme="minorEastAsia" w:hAnsiTheme="minorEastAsia" w:eastAsiaTheme="minorEastAsia" w:cstheme="minorEastAsia"/>
                <w:color w:val="auto"/>
                <w:sz w:val="20"/>
                <w:szCs w:val="20"/>
                <w:highlight w:val="none"/>
                <w:lang w:val="en-US" w:eastAsia="zh-Hans"/>
              </w:rPr>
            </w:pPr>
            <w:r>
              <w:rPr>
                <w:rFonts w:hint="eastAsia" w:asciiTheme="minorEastAsia" w:hAnsiTheme="minorEastAsia" w:eastAsiaTheme="minorEastAsia" w:cstheme="minorEastAsia"/>
                <w:color w:val="auto"/>
                <w:sz w:val="24"/>
                <w:szCs w:val="24"/>
                <w:highlight w:val="none"/>
                <w:lang w:val="en-US" w:eastAsia="zh-Hans"/>
              </w:rPr>
              <w:t>根据</w:t>
            </w:r>
            <w:r>
              <w:rPr>
                <w:rFonts w:hint="eastAsia" w:asciiTheme="minorEastAsia" w:hAnsiTheme="minorEastAsia" w:eastAsiaTheme="minorEastAsia" w:cstheme="minorEastAsia"/>
                <w:color w:val="auto"/>
                <w:sz w:val="24"/>
                <w:szCs w:val="24"/>
                <w:highlight w:val="none"/>
                <w:lang w:val="en-US" w:eastAsia="zh-CN"/>
              </w:rPr>
              <w:t>供应商</w:t>
            </w:r>
            <w:r>
              <w:rPr>
                <w:rFonts w:hint="eastAsia" w:asciiTheme="minorEastAsia" w:hAnsiTheme="minorEastAsia" w:eastAsiaTheme="minorEastAsia" w:cstheme="minorEastAsia"/>
                <w:color w:val="auto"/>
                <w:sz w:val="24"/>
                <w:szCs w:val="24"/>
                <w:highlight w:val="none"/>
                <w:lang w:val="en-US" w:eastAsia="zh-Hans"/>
              </w:rPr>
              <w:t xml:space="preserve">针对本项目制定备品备件方案进行评价： </w:t>
            </w:r>
          </w:p>
          <w:p w14:paraId="7CF774B7">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Theme="minorEastAsia" w:hAnsiTheme="minorEastAsia" w:eastAsiaTheme="minorEastAsia" w:cstheme="minorEastAsia"/>
                <w:color w:val="auto"/>
                <w:sz w:val="20"/>
                <w:szCs w:val="20"/>
                <w:highlight w:val="none"/>
                <w:lang w:val="en-US" w:eastAsia="zh-Hans"/>
              </w:rPr>
            </w:pPr>
            <w:r>
              <w:rPr>
                <w:rFonts w:hint="eastAsia" w:asciiTheme="minorEastAsia" w:hAnsiTheme="minorEastAsia" w:eastAsiaTheme="minorEastAsia" w:cstheme="minorEastAsia"/>
                <w:color w:val="auto"/>
                <w:sz w:val="24"/>
                <w:szCs w:val="24"/>
                <w:highlight w:val="none"/>
                <w:lang w:val="en-US" w:eastAsia="zh-Hans"/>
              </w:rPr>
              <w:t>①有提供备品备件方案的得</w:t>
            </w:r>
            <w:r>
              <w:rPr>
                <w:rFonts w:hint="eastAsia" w:asciiTheme="minorEastAsia" w:hAnsiTheme="minorEastAsia" w:eastAsiaTheme="minorEastAsia" w:cstheme="minorEastAsia"/>
                <w:color w:val="auto"/>
                <w:sz w:val="24"/>
                <w:szCs w:val="24"/>
                <w:highlight w:val="none"/>
                <w:lang w:val="en-US" w:eastAsia="zh-CN"/>
              </w:rPr>
              <w:t>2.4</w:t>
            </w:r>
            <w:r>
              <w:rPr>
                <w:rFonts w:hint="eastAsia" w:asciiTheme="minorEastAsia" w:hAnsiTheme="minorEastAsia" w:eastAsiaTheme="minorEastAsia" w:cstheme="minorEastAsia"/>
                <w:color w:val="auto"/>
                <w:sz w:val="24"/>
                <w:szCs w:val="24"/>
                <w:highlight w:val="none"/>
                <w:lang w:val="en-US" w:eastAsia="zh-Hans"/>
              </w:rPr>
              <w:t>分；②在满足①的基础上，方案包含备件支持说明、备件库彩照、备件库存清单</w:t>
            </w:r>
            <w:r>
              <w:rPr>
                <w:rFonts w:hint="eastAsia" w:asciiTheme="minorEastAsia" w:hAnsiTheme="minorEastAsia" w:eastAsiaTheme="minorEastAsia" w:cstheme="minorEastAsia"/>
                <w:color w:val="auto"/>
                <w:sz w:val="24"/>
                <w:szCs w:val="24"/>
                <w:highlight w:val="none"/>
                <w:lang w:val="en-US" w:eastAsia="zh-CN"/>
              </w:rPr>
              <w:t>得2.7分；</w:t>
            </w:r>
            <w:r>
              <w:rPr>
                <w:rFonts w:hint="eastAsia" w:asciiTheme="minorEastAsia" w:hAnsiTheme="minorEastAsia" w:eastAsiaTheme="minorEastAsia" w:cstheme="minorEastAsia"/>
                <w:color w:val="auto"/>
                <w:sz w:val="24"/>
                <w:szCs w:val="24"/>
                <w:highlight w:val="none"/>
                <w:lang w:val="en-US" w:eastAsia="zh-Hans"/>
              </w:rPr>
              <w:t>③在满足①②的基础上，方案备件库覆盖此次项目设备的，得</w:t>
            </w:r>
            <w:r>
              <w:rPr>
                <w:rFonts w:hint="eastAsia" w:asciiTheme="minorEastAsia" w:hAnsiTheme="minorEastAsia" w:eastAsiaTheme="minorEastAsia" w:cstheme="minorEastAsia"/>
                <w:color w:val="auto"/>
                <w:sz w:val="24"/>
                <w:szCs w:val="24"/>
                <w:highlight w:val="none"/>
                <w:lang w:val="en-US" w:eastAsia="zh-CN"/>
              </w:rPr>
              <w:t>3.0</w:t>
            </w:r>
            <w:r>
              <w:rPr>
                <w:rFonts w:hint="eastAsia" w:asciiTheme="minorEastAsia" w:hAnsiTheme="minorEastAsia" w:eastAsiaTheme="minorEastAsia" w:cstheme="minorEastAsia"/>
                <w:color w:val="auto"/>
                <w:sz w:val="24"/>
                <w:szCs w:val="24"/>
                <w:highlight w:val="none"/>
                <w:lang w:val="en-US" w:eastAsia="zh-Hans"/>
              </w:rPr>
              <w:t>分。未提供或不符合上述情况的不得分。</w:t>
            </w:r>
          </w:p>
          <w:p w14:paraId="44E8C0FF">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Theme="minorEastAsia" w:hAnsiTheme="minorEastAsia" w:eastAsiaTheme="minorEastAsia" w:cstheme="minorEastAsia"/>
                <w:color w:val="auto"/>
                <w:sz w:val="24"/>
                <w:szCs w:val="24"/>
                <w:highlight w:val="none"/>
              </w:rPr>
            </w:pP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20D7E6">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240" w:firstLineChars="100"/>
              <w:jc w:val="left"/>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val="en-US" w:eastAsia="zh-CN"/>
              </w:rPr>
              <w:t>3</w:t>
            </w:r>
          </w:p>
        </w:tc>
      </w:tr>
      <w:tr w14:paraId="380F2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2" w:hRule="atLeast"/>
        </w:trPr>
        <w:tc>
          <w:tcPr>
            <w:tcW w:w="834" w:type="dxa"/>
            <w:vMerge w:val="continue"/>
            <w:tcBorders>
              <w:left w:val="single" w:color="auto" w:sz="4" w:space="0"/>
              <w:right w:val="single" w:color="auto" w:sz="4" w:space="0"/>
            </w:tcBorders>
            <w:noWrap w:val="0"/>
            <w:vAlign w:val="center"/>
          </w:tcPr>
          <w:p w14:paraId="3F7B3577">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6F5ADC35">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Theme="minorEastAsia" w:hAnsiTheme="minorEastAsia" w:eastAsiaTheme="minorEastAsia" w:cstheme="minorEastAsia"/>
                <w:color w:val="auto"/>
                <w:sz w:val="20"/>
                <w:szCs w:val="20"/>
                <w:highlight w:val="none"/>
              </w:rPr>
            </w:pPr>
            <w:r>
              <w:rPr>
                <w:rFonts w:hint="eastAsia" w:asciiTheme="minorEastAsia" w:hAnsiTheme="minorEastAsia" w:eastAsiaTheme="minorEastAsia" w:cstheme="minorEastAsia"/>
                <w:color w:val="auto"/>
                <w:sz w:val="24"/>
                <w:szCs w:val="24"/>
                <w:highlight w:val="none"/>
              </w:rPr>
              <w:t>故障处理</w:t>
            </w:r>
            <w:r>
              <w:rPr>
                <w:rFonts w:hint="eastAsia" w:asciiTheme="minorEastAsia" w:hAnsiTheme="minorEastAsia" w:eastAsiaTheme="minorEastAsia" w:cstheme="minorEastAsia"/>
                <w:color w:val="auto"/>
                <w:sz w:val="24"/>
                <w:szCs w:val="24"/>
                <w:highlight w:val="none"/>
                <w:lang w:eastAsia="zh-CN"/>
              </w:rPr>
              <w:t>情况</w:t>
            </w:r>
          </w:p>
        </w:tc>
        <w:tc>
          <w:tcPr>
            <w:tcW w:w="6765"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C247C6E">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仿宋" w:hAnsi="仿宋" w:eastAsia="仿宋" w:cs="仿宋"/>
                <w:b w:val="0"/>
                <w:bCs w:val="0"/>
                <w:color w:val="auto"/>
                <w:sz w:val="20"/>
                <w:szCs w:val="20"/>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供应商对消防设备设施存在问题和故障，根据接到通知后维保人员的到场时间进行评分。到场时间≤60分钟并进行处理的得2分；60分钟</w:t>
            </w:r>
            <w:r>
              <w:rPr>
                <w:rFonts w:hint="eastAsia" w:asciiTheme="minorEastAsia" w:hAnsiTheme="minorEastAsia" w:eastAsiaTheme="minorEastAsia" w:cstheme="minorEastAsia"/>
                <w:color w:val="auto"/>
                <w:sz w:val="24"/>
                <w:szCs w:val="24"/>
                <w:highlight w:val="none"/>
                <w:lang w:val="en-US" w:eastAsia="zh-Hans"/>
              </w:rPr>
              <w:t>＜</w:t>
            </w:r>
            <w:r>
              <w:rPr>
                <w:rFonts w:hint="eastAsia" w:asciiTheme="minorEastAsia" w:hAnsiTheme="minorEastAsia" w:eastAsiaTheme="minorEastAsia" w:cstheme="minorEastAsia"/>
                <w:color w:val="auto"/>
                <w:sz w:val="24"/>
                <w:szCs w:val="24"/>
                <w:highlight w:val="none"/>
                <w:lang w:val="en-US" w:eastAsia="zh-CN"/>
              </w:rPr>
              <w:t>到场时间≤120分钟并进行处理的得1分；到场时间</w:t>
            </w:r>
            <w:r>
              <w:rPr>
                <w:rFonts w:hint="eastAsia" w:ascii="宋体" w:hAnsi="宋体" w:eastAsia="宋体" w:cs="宋体"/>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eastAsia="zh-CN"/>
              </w:rPr>
              <w:t>120分钟并进行处理的不得分。供应商</w:t>
            </w:r>
            <w:r>
              <w:rPr>
                <w:rFonts w:hint="eastAsia" w:asciiTheme="minorEastAsia" w:hAnsiTheme="minorEastAsia" w:eastAsiaTheme="minorEastAsia" w:cstheme="minorEastAsia"/>
                <w:color w:val="auto"/>
                <w:sz w:val="24"/>
                <w:szCs w:val="24"/>
                <w:highlight w:val="none"/>
                <w:lang w:val="en-US" w:eastAsia="zh-Hans"/>
              </w:rPr>
              <w:t>须提供承诺函（格式自拟），未提供或承诺不满足要求的本项不得分</w:t>
            </w:r>
            <w:r>
              <w:rPr>
                <w:rFonts w:hint="eastAsia" w:ascii="仿宋" w:hAnsi="仿宋" w:eastAsia="仿宋" w:cs="仿宋"/>
                <w:b w:val="0"/>
                <w:bCs w:val="0"/>
                <w:color w:val="auto"/>
                <w:sz w:val="24"/>
                <w:szCs w:val="24"/>
                <w:highlight w:val="none"/>
                <w:lang w:val="en-US" w:eastAsia="zh-CN"/>
              </w:rPr>
              <w:t>。</w:t>
            </w:r>
          </w:p>
          <w:p w14:paraId="5BA2CDE5">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仿宋" w:hAnsi="仿宋" w:eastAsia="仿宋" w:cs="仿宋"/>
                <w:b w:val="0"/>
                <w:bCs w:val="0"/>
                <w:color w:val="auto"/>
                <w:sz w:val="20"/>
                <w:szCs w:val="20"/>
                <w:highlight w:val="none"/>
                <w:lang w:val="en-US" w:eastAsia="zh-CN"/>
              </w:rPr>
            </w:pPr>
          </w:p>
          <w:p w14:paraId="79C135B4">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Theme="minorEastAsia" w:hAnsiTheme="minorEastAsia" w:eastAsiaTheme="minorEastAsia" w:cstheme="minorEastAsia"/>
                <w:color w:val="auto"/>
                <w:sz w:val="20"/>
                <w:szCs w:val="20"/>
                <w:highlight w:val="none"/>
              </w:rPr>
            </w:pP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D25958">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heme="minorEastAsia" w:hAnsiTheme="minorEastAsia" w:eastAsiaTheme="minorEastAsia" w:cstheme="minorEastAsia"/>
                <w:color w:val="auto"/>
                <w:kern w:val="2"/>
                <w:sz w:val="20"/>
                <w:szCs w:val="20"/>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2</w:t>
            </w:r>
          </w:p>
        </w:tc>
      </w:tr>
      <w:tr w14:paraId="4A25D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4E0D8DB1">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7A9632D0">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质量保证计划方案</w:t>
            </w:r>
          </w:p>
        </w:tc>
        <w:tc>
          <w:tcPr>
            <w:tcW w:w="6765"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480A229F">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根据</w:t>
            </w:r>
            <w:r>
              <w:rPr>
                <w:rFonts w:hint="eastAsia" w:asciiTheme="minorEastAsia" w:hAnsiTheme="minorEastAsia" w:eastAsiaTheme="minorEastAsia" w:cstheme="minorEastAsia"/>
                <w:sz w:val="24"/>
                <w:szCs w:val="24"/>
                <w:highlight w:val="none"/>
                <w:lang w:eastAsia="zh-CN"/>
              </w:rPr>
              <w:t>供应商</w:t>
            </w:r>
            <w:r>
              <w:rPr>
                <w:rFonts w:hint="eastAsia" w:asciiTheme="minorEastAsia" w:hAnsiTheme="minorEastAsia" w:eastAsiaTheme="minorEastAsia" w:cstheme="minorEastAsia"/>
                <w:sz w:val="24"/>
                <w:szCs w:val="24"/>
                <w:highlight w:val="none"/>
              </w:rPr>
              <w:t>提供的质量保证计划方案（包括但不限于质量安全措施、保障体系等），由</w:t>
            </w:r>
            <w:r>
              <w:rPr>
                <w:rFonts w:hint="eastAsia" w:asciiTheme="minorEastAsia" w:hAnsiTheme="minorEastAsia" w:eastAsiaTheme="minorEastAsia" w:cstheme="minorEastAsia"/>
                <w:sz w:val="24"/>
                <w:szCs w:val="24"/>
                <w:highlight w:val="none"/>
                <w:lang w:eastAsia="zh-CN"/>
              </w:rPr>
              <w:t>磋商小组</w:t>
            </w:r>
            <w:r>
              <w:rPr>
                <w:rFonts w:hint="eastAsia" w:asciiTheme="minorEastAsia" w:hAnsiTheme="minorEastAsia" w:eastAsiaTheme="minorEastAsia" w:cstheme="minorEastAsia"/>
                <w:sz w:val="24"/>
                <w:szCs w:val="24"/>
                <w:highlight w:val="none"/>
              </w:rPr>
              <w:t>进行评分：提供的方案包含的要点齐全无缺漏项、内容与要点相符、内容完善且能够适用于本项目的得</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rPr>
              <w:t>分；方案所包含的要点齐全、内容与要点相符，但仅有纲要内容简略，未展开阐述的得</w:t>
            </w: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分；方案所包含的要点有缺漏或内容不全的得</w:t>
            </w: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分；未提供的不得分。</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A8A70A">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center"/>
              <w:textAlignment w:val="auto"/>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2</w:t>
            </w:r>
          </w:p>
        </w:tc>
      </w:tr>
      <w:tr w14:paraId="1825E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254F8839">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6DD4DF51">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auto"/>
                <w:kern w:val="0"/>
                <w:sz w:val="20"/>
                <w:szCs w:val="20"/>
                <w:highlight w:val="none"/>
                <w:lang w:val="en-US" w:eastAsia="zh-CN" w:bidi="ar-SA"/>
              </w:rPr>
            </w:pPr>
            <w:r>
              <w:rPr>
                <w:rFonts w:hint="eastAsia" w:asciiTheme="minorEastAsia" w:hAnsiTheme="minorEastAsia" w:eastAsiaTheme="minorEastAsia" w:cstheme="minorEastAsia"/>
                <w:b w:val="0"/>
                <w:bCs w:val="0"/>
                <w:color w:val="auto"/>
                <w:sz w:val="24"/>
                <w:szCs w:val="24"/>
                <w:highlight w:val="none"/>
              </w:rPr>
              <w:t>可行性建议方案</w:t>
            </w:r>
          </w:p>
        </w:tc>
        <w:tc>
          <w:tcPr>
            <w:tcW w:w="6765"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27E6E372">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auto"/>
                <w:kern w:val="0"/>
                <w:sz w:val="24"/>
                <w:szCs w:val="24"/>
                <w:highlight w:val="none"/>
                <w:lang w:val="en-US" w:eastAsia="zh-CN" w:bidi="ar-SA"/>
              </w:rPr>
            </w:pPr>
            <w:r>
              <w:rPr>
                <w:rFonts w:hint="eastAsia" w:asciiTheme="minorEastAsia" w:hAnsiTheme="minorEastAsia" w:eastAsiaTheme="minorEastAsia" w:cstheme="minorEastAsia"/>
                <w:color w:val="auto"/>
                <w:kern w:val="0"/>
                <w:sz w:val="24"/>
                <w:szCs w:val="24"/>
                <w:highlight w:val="none"/>
                <w:lang w:val="en-US" w:eastAsia="zh-CN" w:bidi="ar-SA"/>
              </w:rPr>
              <w:t>根据供应商提供的可行性建议方案（包括但不限于可行性建议、后期的管理设想、增值服务等）由评委会进行评议：（1）方案包含的要点齐全无缺漏项、内容与要点相符、各要点内容逻辑清晰合理，按现有客观实际情况和项目特征可以有效实施且对采购人实用的得2.0分；（2）方案包含的要点齐全无缺漏项、阐述合理、内容与要点相符且均有展开阐述，虽然没有特别具体但总体满足项目实际情况的得1.7分；（3）方案存在部分缺漏或方案仅有纲要，但内容与要点相符，虽未展开详细阐述但能够适用于本项目的得1.4分；（4）未提供方案的不得分。</w:t>
            </w:r>
          </w:p>
          <w:p w14:paraId="1FDC5B41">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auto"/>
                <w:kern w:val="0"/>
                <w:sz w:val="20"/>
                <w:szCs w:val="20"/>
                <w:highlight w:val="none"/>
                <w:lang w:val="en-US" w:eastAsia="zh-Hans" w:bidi="ar-SA"/>
              </w:rPr>
            </w:pP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16059D">
            <w:pPr>
              <w:pStyle w:val="30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eastAsiaTheme="minorEastAsia" w:cstheme="minorEastAsia"/>
                <w:color w:val="auto"/>
                <w:kern w:val="2"/>
                <w:sz w:val="20"/>
                <w:szCs w:val="20"/>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2</w:t>
            </w:r>
          </w:p>
        </w:tc>
      </w:tr>
      <w:tr w14:paraId="3BCE5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restart"/>
            <w:tcBorders>
              <w:left w:val="single" w:color="auto" w:sz="4" w:space="0"/>
              <w:right w:val="single" w:color="auto" w:sz="4" w:space="0"/>
            </w:tcBorders>
            <w:noWrap w:val="0"/>
            <w:vAlign w:val="center"/>
          </w:tcPr>
          <w:p w14:paraId="64A9386F">
            <w:pPr>
              <w:keepNext w:val="0"/>
              <w:keepLines w:val="0"/>
              <w:pageBreakBefore w:val="0"/>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2、B商务部分评分（满分</w:t>
            </w:r>
            <w:r>
              <w:rPr>
                <w:rFonts w:hint="eastAsia" w:ascii="宋体" w:hAnsi="宋体" w:cs="宋体"/>
                <w:b w:val="0"/>
                <w:bCs w:val="0"/>
                <w:color w:val="auto"/>
                <w:sz w:val="24"/>
                <w:szCs w:val="24"/>
                <w:highlight w:val="none"/>
                <w:lang w:val="en-US" w:eastAsia="zh-CN"/>
              </w:rPr>
              <w:t>12</w:t>
            </w:r>
            <w:r>
              <w:rPr>
                <w:rFonts w:hint="eastAsia" w:ascii="宋体" w:hAnsi="宋体" w:eastAsia="宋体" w:cs="宋体"/>
                <w:b w:val="0"/>
                <w:bCs w:val="0"/>
                <w:color w:val="auto"/>
                <w:sz w:val="24"/>
                <w:szCs w:val="24"/>
                <w:highlight w:val="none"/>
              </w:rPr>
              <w:t>分）</w:t>
            </w:r>
          </w:p>
        </w:tc>
        <w:tc>
          <w:tcPr>
            <w:tcW w:w="1371" w:type="dxa"/>
            <w:tcBorders>
              <w:top w:val="single" w:color="auto" w:sz="4" w:space="0"/>
              <w:left w:val="single" w:color="auto" w:sz="4" w:space="0"/>
              <w:right w:val="single" w:color="auto" w:sz="4" w:space="0"/>
            </w:tcBorders>
            <w:shd w:val="clear" w:color="auto" w:fill="auto"/>
            <w:noWrap w:val="0"/>
            <w:vAlign w:val="center"/>
          </w:tcPr>
          <w:p w14:paraId="2C6BADF1">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left"/>
              <w:rPr>
                <w:rFonts w:hint="default" w:ascii="宋体" w:hAnsi="宋体" w:eastAsia="宋体" w:cs="宋体"/>
                <w:snapToGrid/>
                <w:color w:val="auto"/>
                <w:kern w:val="2"/>
                <w:sz w:val="24"/>
                <w:szCs w:val="20"/>
                <w:highlight w:val="none"/>
                <w:lang w:val="en-US" w:eastAsia="zh-Hans" w:bidi="ar-SA"/>
              </w:rPr>
            </w:pPr>
            <w:r>
              <w:rPr>
                <w:rFonts w:hint="eastAsia" w:ascii="宋体" w:hAnsi="宋体" w:eastAsia="宋体" w:cs="宋体"/>
                <w:snapToGrid/>
                <w:color w:val="auto"/>
                <w:kern w:val="2"/>
                <w:sz w:val="24"/>
                <w:szCs w:val="24"/>
                <w:highlight w:val="none"/>
                <w:lang w:val="en-US" w:eastAsia="zh-Hans" w:bidi="ar-SA"/>
              </w:rPr>
              <w:t>项目负责人</w:t>
            </w:r>
          </w:p>
        </w:tc>
        <w:tc>
          <w:tcPr>
            <w:tcW w:w="6765" w:type="dxa"/>
            <w:tcBorders>
              <w:top w:val="single" w:color="auto" w:sz="4" w:space="0"/>
              <w:left w:val="single" w:color="auto" w:sz="4" w:space="0"/>
              <w:right w:val="single" w:color="auto" w:sz="4" w:space="0"/>
            </w:tcBorders>
            <w:shd w:val="clear" w:color="auto" w:fill="auto"/>
            <w:noWrap w:val="0"/>
            <w:vAlign w:val="center"/>
          </w:tcPr>
          <w:p w14:paraId="46D7CF2E">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left"/>
              <w:rPr>
                <w:rFonts w:hint="eastAsia" w:ascii="宋体" w:hAnsi="宋体" w:eastAsia="宋体" w:cs="宋体"/>
                <w:snapToGrid/>
                <w:color w:val="auto"/>
                <w:kern w:val="2"/>
                <w:sz w:val="24"/>
                <w:szCs w:val="24"/>
                <w:highlight w:val="none"/>
                <w:lang w:val="en-US" w:eastAsia="zh-Hans" w:bidi="ar-SA"/>
              </w:rPr>
            </w:pPr>
            <w:r>
              <w:rPr>
                <w:rFonts w:hint="eastAsia" w:ascii="宋体" w:hAnsi="宋体" w:cs="宋体"/>
                <w:snapToGrid/>
                <w:color w:val="auto"/>
                <w:kern w:val="2"/>
                <w:sz w:val="24"/>
                <w:szCs w:val="24"/>
                <w:highlight w:val="none"/>
                <w:lang w:val="en-US" w:eastAsia="zh-CN" w:bidi="ar-SA"/>
              </w:rPr>
              <w:t>供应商</w:t>
            </w:r>
            <w:r>
              <w:rPr>
                <w:rFonts w:hint="eastAsia" w:ascii="宋体" w:hAnsi="宋体" w:eastAsia="宋体" w:cs="宋体"/>
                <w:snapToGrid/>
                <w:color w:val="auto"/>
                <w:kern w:val="2"/>
                <w:sz w:val="24"/>
                <w:szCs w:val="24"/>
                <w:highlight w:val="none"/>
                <w:lang w:val="en-US" w:eastAsia="zh-Hans" w:bidi="ar-SA"/>
              </w:rPr>
              <w:t>拟投入本项目的项目负责人</w:t>
            </w:r>
            <w:r>
              <w:rPr>
                <w:rFonts w:hint="eastAsia" w:ascii="宋体" w:hAnsi="宋体" w:cs="宋体"/>
                <w:snapToGrid/>
                <w:color w:val="auto"/>
                <w:kern w:val="2"/>
                <w:sz w:val="24"/>
                <w:szCs w:val="24"/>
                <w:highlight w:val="none"/>
                <w:lang w:val="en-US" w:eastAsia="zh-CN" w:bidi="ar-SA"/>
              </w:rPr>
              <w:t>（不含技术负责人）</w:t>
            </w:r>
            <w:r>
              <w:rPr>
                <w:rFonts w:hint="eastAsia" w:ascii="宋体" w:hAnsi="宋体" w:eastAsia="宋体" w:cs="宋体"/>
                <w:snapToGrid/>
                <w:color w:val="auto"/>
                <w:kern w:val="2"/>
                <w:sz w:val="24"/>
                <w:szCs w:val="24"/>
                <w:highlight w:val="none"/>
                <w:lang w:val="en-US" w:eastAsia="zh-Hans" w:bidi="ar-SA"/>
              </w:rPr>
              <w:t>2022年01月01日以来至本项目磋商截止时间止(日期以合同签订日期</w:t>
            </w:r>
            <w:r>
              <w:rPr>
                <w:rFonts w:hint="eastAsia" w:ascii="宋体" w:hAnsi="宋体" w:cs="宋体"/>
                <w:snapToGrid/>
                <w:color w:val="auto"/>
                <w:kern w:val="2"/>
                <w:sz w:val="24"/>
                <w:szCs w:val="24"/>
                <w:highlight w:val="none"/>
                <w:lang w:val="en-US" w:eastAsia="zh-CN" w:bidi="ar-SA"/>
              </w:rPr>
              <w:t>为准）</w:t>
            </w:r>
            <w:r>
              <w:rPr>
                <w:rFonts w:hint="eastAsia" w:ascii="宋体" w:hAnsi="宋体" w:eastAsia="宋体" w:cs="宋体"/>
                <w:snapToGrid/>
                <w:color w:val="auto"/>
                <w:kern w:val="2"/>
                <w:sz w:val="24"/>
                <w:szCs w:val="24"/>
                <w:highlight w:val="none"/>
                <w:lang w:val="en-US" w:eastAsia="zh-Hans" w:bidi="ar-SA"/>
              </w:rPr>
              <w:t>完成的同类业绩情况进行打分，每提供一份业绩的得1分，满分3分。 注：</w:t>
            </w:r>
            <w:r>
              <w:rPr>
                <w:rFonts w:hint="eastAsia" w:ascii="宋体" w:hAnsi="宋体" w:cs="宋体"/>
                <w:snapToGrid/>
                <w:color w:val="auto"/>
                <w:kern w:val="2"/>
                <w:sz w:val="24"/>
                <w:szCs w:val="24"/>
                <w:highlight w:val="none"/>
                <w:lang w:val="en-US" w:eastAsia="zh-CN" w:bidi="ar-SA"/>
              </w:rPr>
              <w:t>提供</w:t>
            </w:r>
            <w:r>
              <w:rPr>
                <w:rFonts w:hint="eastAsia" w:ascii="宋体" w:hAnsi="宋体" w:eastAsia="宋体" w:cs="宋体"/>
                <w:snapToGrid/>
                <w:color w:val="auto"/>
                <w:kern w:val="2"/>
                <w:sz w:val="24"/>
                <w:szCs w:val="24"/>
                <w:highlight w:val="none"/>
                <w:lang w:val="en-US" w:eastAsia="zh-Hans" w:bidi="ar-SA"/>
              </w:rPr>
              <w:t>采购合同文本复印件</w:t>
            </w:r>
            <w:r>
              <w:rPr>
                <w:rFonts w:hint="eastAsia" w:ascii="宋体" w:hAnsi="宋体" w:cs="宋体"/>
                <w:snapToGrid/>
                <w:color w:val="auto"/>
                <w:kern w:val="2"/>
                <w:sz w:val="24"/>
                <w:szCs w:val="24"/>
                <w:highlight w:val="none"/>
                <w:lang w:val="en-US" w:eastAsia="zh-CN" w:bidi="ar-SA"/>
              </w:rPr>
              <w:t>（体现项目负责人名称）</w:t>
            </w:r>
            <w:r>
              <w:rPr>
                <w:rFonts w:hint="eastAsia" w:ascii="宋体" w:hAnsi="宋体" w:eastAsia="宋体" w:cs="宋体"/>
                <w:snapToGrid/>
                <w:color w:val="auto"/>
                <w:kern w:val="2"/>
                <w:sz w:val="24"/>
                <w:szCs w:val="24"/>
                <w:highlight w:val="none"/>
                <w:lang w:val="en-US" w:eastAsia="zh-Hans" w:bidi="ar-SA"/>
              </w:rPr>
              <w:t>（满分3分）。此评分项与其他评分项中提供的人员不得重复。</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621D40">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rPr>
                <w:rFonts w:hint="default" w:ascii="宋体" w:hAnsi="宋体" w:eastAsia="宋体" w:cs="宋体"/>
                <w:snapToGrid/>
                <w:color w:val="auto"/>
                <w:kern w:val="2"/>
                <w:sz w:val="24"/>
                <w:szCs w:val="24"/>
                <w:highlight w:val="none"/>
                <w:lang w:val="en-US" w:eastAsia="zh-CN" w:bidi="ar-SA"/>
              </w:rPr>
            </w:pPr>
            <w:r>
              <w:rPr>
                <w:rFonts w:hint="eastAsia" w:ascii="宋体" w:hAnsi="宋体" w:cs="宋体"/>
                <w:snapToGrid/>
                <w:color w:val="auto"/>
                <w:kern w:val="2"/>
                <w:sz w:val="24"/>
                <w:szCs w:val="24"/>
                <w:highlight w:val="none"/>
                <w:lang w:val="en-US" w:eastAsia="zh-CN" w:bidi="ar-SA"/>
              </w:rPr>
              <w:t>3</w:t>
            </w:r>
          </w:p>
        </w:tc>
      </w:tr>
      <w:tr w14:paraId="7C2E9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09571D2A">
            <w:pPr>
              <w:keepNext w:val="0"/>
              <w:keepLines w:val="0"/>
              <w:pageBreakBefore w:val="0"/>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16F41BF3">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left"/>
              <w:rPr>
                <w:rFonts w:hint="default" w:ascii="宋体" w:hAnsi="宋体" w:eastAsia="宋体" w:cs="宋体"/>
                <w:snapToGrid/>
                <w:color w:val="auto"/>
                <w:kern w:val="2"/>
                <w:sz w:val="24"/>
                <w:szCs w:val="24"/>
                <w:highlight w:val="none"/>
                <w:lang w:val="en-US" w:eastAsia="zh-CN" w:bidi="ar-SA"/>
              </w:rPr>
            </w:pPr>
            <w:r>
              <w:rPr>
                <w:rFonts w:hint="eastAsia" w:ascii="宋体" w:hAnsi="宋体" w:cs="宋体"/>
                <w:snapToGrid/>
                <w:color w:val="auto"/>
                <w:kern w:val="2"/>
                <w:sz w:val="24"/>
                <w:szCs w:val="24"/>
                <w:highlight w:val="none"/>
                <w:lang w:val="en-US" w:eastAsia="zh-CN" w:bidi="ar-SA"/>
              </w:rPr>
              <w:t>技术负责人</w:t>
            </w:r>
          </w:p>
        </w:tc>
        <w:tc>
          <w:tcPr>
            <w:tcW w:w="6765" w:type="dxa"/>
            <w:tcBorders>
              <w:top w:val="single" w:color="auto" w:sz="4" w:space="0"/>
              <w:left w:val="single" w:color="auto" w:sz="4" w:space="0"/>
              <w:right w:val="single" w:color="auto" w:sz="4" w:space="0"/>
            </w:tcBorders>
            <w:shd w:val="clear" w:color="auto" w:fill="auto"/>
            <w:noWrap w:val="0"/>
            <w:vAlign w:val="center"/>
          </w:tcPr>
          <w:p w14:paraId="3931A881">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left"/>
              <w:rPr>
                <w:rFonts w:hint="default" w:ascii="宋体" w:hAnsi="宋体" w:cs="宋体"/>
                <w:snapToGrid/>
                <w:color w:val="auto"/>
                <w:kern w:val="2"/>
                <w:sz w:val="24"/>
                <w:szCs w:val="24"/>
                <w:highlight w:val="none"/>
                <w:lang w:val="en-US" w:eastAsia="zh-CN" w:bidi="ar-SA"/>
              </w:rPr>
            </w:pPr>
            <w:r>
              <w:rPr>
                <w:rFonts w:hint="eastAsia" w:ascii="宋体" w:hAnsi="宋体" w:eastAsia="宋体" w:cs="宋体"/>
                <w:bCs/>
                <w:color w:val="auto"/>
                <w:sz w:val="24"/>
                <w:szCs w:val="24"/>
                <w:highlight w:val="none"/>
                <w:lang w:val="en-US" w:eastAsia="zh-CN"/>
              </w:rPr>
              <w:t>因项目可能涉及</w:t>
            </w:r>
            <w:r>
              <w:rPr>
                <w:rFonts w:hint="default" w:ascii="宋体" w:hAnsi="宋体" w:eastAsia="宋体" w:cs="宋体"/>
                <w:bCs/>
                <w:color w:val="auto"/>
                <w:sz w:val="24"/>
                <w:szCs w:val="24"/>
                <w:highlight w:val="none"/>
                <w:lang w:val="en-US" w:eastAsia="zh-CN"/>
              </w:rPr>
              <w:t>消防零星施工改造</w:t>
            </w:r>
            <w:r>
              <w:rPr>
                <w:rFonts w:hint="eastAsia" w:ascii="宋体" w:hAnsi="宋体" w:eastAsia="宋体" w:cs="宋体"/>
                <w:bCs/>
                <w:color w:val="auto"/>
                <w:sz w:val="24"/>
                <w:szCs w:val="24"/>
                <w:highlight w:val="none"/>
                <w:lang w:val="en-US" w:eastAsia="zh-CN"/>
              </w:rPr>
              <w:t>，</w:t>
            </w:r>
            <w:r>
              <w:rPr>
                <w:rFonts w:hint="eastAsia" w:ascii="宋体" w:hAnsi="宋体" w:cs="宋体"/>
                <w:snapToGrid/>
                <w:color w:val="auto"/>
                <w:kern w:val="2"/>
                <w:sz w:val="24"/>
                <w:szCs w:val="24"/>
                <w:highlight w:val="none"/>
                <w:lang w:val="en-US" w:eastAsia="zh-CN" w:bidi="ar-SA"/>
              </w:rPr>
              <w:t>供应商</w:t>
            </w:r>
            <w:r>
              <w:rPr>
                <w:rFonts w:hint="eastAsia" w:ascii="宋体" w:hAnsi="宋体" w:eastAsia="宋体" w:cs="宋体"/>
                <w:snapToGrid/>
                <w:color w:val="auto"/>
                <w:kern w:val="2"/>
                <w:sz w:val="24"/>
                <w:szCs w:val="24"/>
                <w:highlight w:val="none"/>
                <w:lang w:val="en-US" w:eastAsia="zh-Hans" w:bidi="ar-SA"/>
              </w:rPr>
              <w:t>拟投入本项目的</w:t>
            </w:r>
            <w:r>
              <w:rPr>
                <w:rFonts w:hint="eastAsia" w:ascii="宋体" w:hAnsi="宋体" w:cs="宋体"/>
                <w:snapToGrid/>
                <w:color w:val="auto"/>
                <w:kern w:val="2"/>
                <w:sz w:val="24"/>
                <w:szCs w:val="24"/>
                <w:highlight w:val="none"/>
                <w:lang w:val="en-US" w:eastAsia="zh-CN" w:bidi="ar-SA"/>
              </w:rPr>
              <w:t>技术负责人（不含</w:t>
            </w:r>
            <w:r>
              <w:rPr>
                <w:rFonts w:hint="eastAsia" w:ascii="宋体" w:hAnsi="宋体" w:eastAsia="宋体" w:cs="宋体"/>
                <w:snapToGrid/>
                <w:color w:val="auto"/>
                <w:kern w:val="2"/>
                <w:sz w:val="24"/>
                <w:szCs w:val="24"/>
                <w:highlight w:val="none"/>
                <w:lang w:val="en-US" w:eastAsia="zh-Hans" w:bidi="ar-SA"/>
              </w:rPr>
              <w:t>项目负责人</w:t>
            </w:r>
            <w:r>
              <w:rPr>
                <w:rFonts w:hint="eastAsia" w:ascii="宋体" w:hAnsi="宋体" w:cs="宋体"/>
                <w:snapToGrid/>
                <w:color w:val="auto"/>
                <w:kern w:val="2"/>
                <w:sz w:val="24"/>
                <w:szCs w:val="24"/>
                <w:highlight w:val="none"/>
                <w:lang w:val="en-US" w:eastAsia="zh-CN" w:bidi="ar-SA"/>
              </w:rPr>
              <w:t>），具有二级注册建造师（机电工程专业）得1分，一级注册建造师（机电工程专业）得2分，满分2分。须提供证书有效期内的证书复印件及</w:t>
            </w:r>
            <w:r>
              <w:rPr>
                <w:rFonts w:hint="eastAsia" w:ascii="宋体" w:hAnsi="宋体" w:cs="宋体"/>
                <w:color w:val="000000"/>
                <w:kern w:val="0"/>
                <w:sz w:val="24"/>
                <w:szCs w:val="24"/>
                <w:highlight w:val="none"/>
                <w:lang w:bidi="ar"/>
              </w:rPr>
              <w:t>近6个月</w:t>
            </w:r>
            <w:r>
              <w:rPr>
                <w:rFonts w:hint="eastAsia" w:ascii="宋体" w:hAnsi="宋体" w:cs="宋体"/>
                <w:color w:val="000000"/>
                <w:kern w:val="0"/>
                <w:sz w:val="24"/>
                <w:szCs w:val="24"/>
                <w:highlight w:val="none"/>
                <w:lang w:eastAsia="zh-CN" w:bidi="ar"/>
              </w:rPr>
              <w:t>（</w:t>
            </w:r>
            <w:r>
              <w:rPr>
                <w:rFonts w:hint="eastAsia" w:ascii="宋体" w:hAnsi="宋体" w:cs="宋体"/>
                <w:color w:val="000000"/>
                <w:kern w:val="0"/>
                <w:sz w:val="24"/>
                <w:szCs w:val="24"/>
                <w:highlight w:val="none"/>
                <w:lang w:val="en-US" w:eastAsia="zh-CN" w:bidi="ar"/>
              </w:rPr>
              <w:t>不含磋商当月</w:t>
            </w:r>
            <w:r>
              <w:rPr>
                <w:rFonts w:hint="eastAsia" w:ascii="宋体" w:hAnsi="宋体" w:cs="宋体"/>
                <w:color w:val="000000"/>
                <w:kern w:val="0"/>
                <w:sz w:val="24"/>
                <w:szCs w:val="24"/>
                <w:highlight w:val="none"/>
                <w:lang w:eastAsia="zh-CN" w:bidi="ar"/>
              </w:rPr>
              <w:t>）</w:t>
            </w:r>
            <w:r>
              <w:rPr>
                <w:rFonts w:hint="eastAsia" w:ascii="宋体" w:hAnsi="宋体" w:cs="宋体"/>
                <w:color w:val="000000"/>
                <w:kern w:val="0"/>
                <w:sz w:val="24"/>
                <w:szCs w:val="24"/>
                <w:highlight w:val="none"/>
                <w:lang w:bidi="ar"/>
              </w:rPr>
              <w:t>中一个月的社保缴纳证明，否则不得分。</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7F1537">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rPr>
                <w:rFonts w:hint="default" w:ascii="宋体" w:hAnsi="宋体" w:cs="宋体"/>
                <w:snapToGrid/>
                <w:color w:val="auto"/>
                <w:kern w:val="2"/>
                <w:sz w:val="24"/>
                <w:szCs w:val="24"/>
                <w:highlight w:val="none"/>
                <w:lang w:val="en-US" w:eastAsia="zh-CN" w:bidi="ar-SA"/>
              </w:rPr>
            </w:pPr>
            <w:r>
              <w:rPr>
                <w:rFonts w:hint="eastAsia" w:ascii="宋体" w:hAnsi="宋体" w:cs="宋体"/>
                <w:snapToGrid/>
                <w:color w:val="auto"/>
                <w:kern w:val="2"/>
                <w:sz w:val="24"/>
                <w:szCs w:val="24"/>
                <w:highlight w:val="none"/>
                <w:lang w:val="en-US" w:eastAsia="zh-CN" w:bidi="ar-SA"/>
              </w:rPr>
              <w:t>2</w:t>
            </w:r>
          </w:p>
        </w:tc>
      </w:tr>
      <w:tr w14:paraId="49F03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77AAD904">
            <w:pPr>
              <w:keepNext w:val="0"/>
              <w:keepLines w:val="0"/>
              <w:pageBreakBefore w:val="0"/>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top"/>
          </w:tcPr>
          <w:p w14:paraId="36C12C15">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left"/>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业绩</w:t>
            </w:r>
          </w:p>
        </w:tc>
        <w:tc>
          <w:tcPr>
            <w:tcW w:w="6765" w:type="dxa"/>
            <w:tcBorders>
              <w:top w:val="single" w:color="auto" w:sz="4" w:space="0"/>
              <w:left w:val="single" w:color="auto" w:sz="4" w:space="0"/>
              <w:right w:val="single" w:color="auto" w:sz="4" w:space="0"/>
            </w:tcBorders>
            <w:shd w:val="clear" w:color="auto" w:fill="auto"/>
            <w:noWrap w:val="0"/>
            <w:vAlign w:val="top"/>
          </w:tcPr>
          <w:p w14:paraId="6C842580">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根据</w:t>
            </w:r>
            <w:r>
              <w:rPr>
                <w:rFonts w:hint="eastAsia" w:ascii="宋体" w:hAnsi="宋体" w:cs="宋体"/>
                <w:color w:val="auto"/>
                <w:kern w:val="2"/>
                <w:sz w:val="24"/>
                <w:szCs w:val="24"/>
                <w:highlight w:val="none"/>
                <w:lang w:val="en-US" w:eastAsia="zh-CN" w:bidi="ar-SA"/>
              </w:rPr>
              <w:t>供应商</w:t>
            </w:r>
            <w:r>
              <w:rPr>
                <w:rFonts w:hint="eastAsia" w:ascii="宋体" w:hAnsi="宋体" w:eastAsia="宋体" w:cs="宋体"/>
                <w:color w:val="auto"/>
                <w:kern w:val="2"/>
                <w:sz w:val="24"/>
                <w:szCs w:val="24"/>
                <w:highlight w:val="none"/>
                <w:lang w:val="en-US" w:eastAsia="zh-CN" w:bidi="ar-SA"/>
              </w:rPr>
              <w:t>所提供2022年01月01日以来至本项目</w:t>
            </w:r>
            <w:r>
              <w:rPr>
                <w:rFonts w:hint="eastAsia" w:ascii="宋体" w:hAnsi="宋体" w:cs="宋体"/>
                <w:color w:val="auto"/>
                <w:kern w:val="2"/>
                <w:sz w:val="24"/>
                <w:szCs w:val="24"/>
                <w:highlight w:val="none"/>
                <w:lang w:val="en-US" w:eastAsia="zh-CN" w:bidi="ar-SA"/>
              </w:rPr>
              <w:t>磋商</w:t>
            </w:r>
            <w:r>
              <w:rPr>
                <w:rFonts w:hint="eastAsia" w:ascii="宋体" w:hAnsi="宋体" w:eastAsia="宋体" w:cs="宋体"/>
                <w:color w:val="auto"/>
                <w:kern w:val="2"/>
                <w:sz w:val="24"/>
                <w:szCs w:val="24"/>
                <w:highlight w:val="none"/>
                <w:lang w:val="en-US" w:eastAsia="zh-CN" w:bidi="ar-SA"/>
              </w:rPr>
              <w:t>截止时间止(日期以合同签订日期为准)由</w:t>
            </w:r>
            <w:r>
              <w:rPr>
                <w:rFonts w:hint="eastAsia" w:ascii="宋体" w:hAnsi="宋体" w:cs="宋体"/>
                <w:color w:val="auto"/>
                <w:kern w:val="2"/>
                <w:sz w:val="24"/>
                <w:szCs w:val="24"/>
                <w:highlight w:val="none"/>
                <w:lang w:val="en-US" w:eastAsia="zh-CN" w:bidi="ar-SA"/>
              </w:rPr>
              <w:t>供应商</w:t>
            </w:r>
            <w:r>
              <w:rPr>
                <w:rFonts w:hint="eastAsia" w:ascii="宋体" w:hAnsi="宋体" w:eastAsia="宋体" w:cs="宋体"/>
                <w:color w:val="auto"/>
                <w:kern w:val="2"/>
                <w:sz w:val="24"/>
                <w:szCs w:val="24"/>
                <w:highlight w:val="none"/>
                <w:lang w:val="en-US" w:eastAsia="zh-CN" w:bidi="ar-SA"/>
              </w:rPr>
              <w:t>完成的同类业绩情况进行打分，每提供一份业绩的得1分，满分3分。 注：</w:t>
            </w:r>
            <w:r>
              <w:rPr>
                <w:rFonts w:hint="eastAsia" w:ascii="宋体" w:hAnsi="宋体" w:cs="宋体"/>
                <w:color w:val="auto"/>
                <w:kern w:val="2"/>
                <w:sz w:val="24"/>
                <w:szCs w:val="24"/>
                <w:highlight w:val="none"/>
                <w:lang w:val="en-US" w:eastAsia="zh-CN" w:bidi="ar-SA"/>
              </w:rPr>
              <w:t>供应商</w:t>
            </w:r>
            <w:r>
              <w:rPr>
                <w:rFonts w:hint="eastAsia" w:ascii="宋体" w:hAnsi="宋体" w:eastAsia="宋体" w:cs="宋体"/>
                <w:color w:val="auto"/>
                <w:kern w:val="2"/>
                <w:sz w:val="24"/>
                <w:szCs w:val="24"/>
                <w:highlight w:val="none"/>
                <w:lang w:val="en-US" w:eastAsia="zh-CN" w:bidi="ar-SA"/>
              </w:rPr>
              <w:t>需同时提供中标</w:t>
            </w:r>
            <w:r>
              <w:rPr>
                <w:rFonts w:hint="eastAsia" w:ascii="宋体" w:hAnsi="宋体" w:cs="宋体"/>
                <w:color w:val="auto"/>
                <w:kern w:val="2"/>
                <w:sz w:val="24"/>
                <w:szCs w:val="24"/>
                <w:highlight w:val="none"/>
                <w:lang w:val="en-US" w:eastAsia="zh-CN" w:bidi="ar-SA"/>
              </w:rPr>
              <w:t>/成交</w:t>
            </w:r>
            <w:r>
              <w:rPr>
                <w:rFonts w:hint="eastAsia" w:ascii="宋体" w:hAnsi="宋体" w:eastAsia="宋体" w:cs="宋体"/>
                <w:color w:val="auto"/>
                <w:kern w:val="2"/>
                <w:sz w:val="24"/>
                <w:szCs w:val="24"/>
                <w:highlight w:val="none"/>
                <w:lang w:val="en-US" w:eastAsia="zh-CN" w:bidi="ar-SA"/>
              </w:rPr>
              <w:t>公告(提供相关网站中标</w:t>
            </w:r>
            <w:r>
              <w:rPr>
                <w:rFonts w:hint="eastAsia" w:ascii="宋体" w:hAnsi="宋体" w:cs="宋体"/>
                <w:color w:val="auto"/>
                <w:kern w:val="2"/>
                <w:sz w:val="24"/>
                <w:szCs w:val="24"/>
                <w:highlight w:val="none"/>
                <w:lang w:val="en-US" w:eastAsia="zh-CN" w:bidi="ar-SA"/>
              </w:rPr>
              <w:t>/成交</w:t>
            </w:r>
            <w:r>
              <w:rPr>
                <w:rFonts w:hint="eastAsia" w:ascii="宋体" w:hAnsi="宋体" w:eastAsia="宋体" w:cs="宋体"/>
                <w:color w:val="auto"/>
                <w:kern w:val="2"/>
                <w:sz w:val="24"/>
                <w:szCs w:val="24"/>
                <w:highlight w:val="none"/>
                <w:lang w:val="en-US" w:eastAsia="zh-CN" w:bidi="ar-SA"/>
              </w:rPr>
              <w:t>公告的下载网页并注明网址)、中标</w:t>
            </w:r>
            <w:r>
              <w:rPr>
                <w:rFonts w:hint="eastAsia" w:ascii="宋体" w:hAnsi="宋体" w:cs="宋体"/>
                <w:color w:val="auto"/>
                <w:kern w:val="2"/>
                <w:sz w:val="24"/>
                <w:szCs w:val="24"/>
                <w:highlight w:val="none"/>
                <w:lang w:val="en-US" w:eastAsia="zh-CN" w:bidi="ar-SA"/>
              </w:rPr>
              <w:t>/成交</w:t>
            </w:r>
            <w:r>
              <w:rPr>
                <w:rFonts w:hint="eastAsia" w:ascii="宋体" w:hAnsi="宋体" w:eastAsia="宋体" w:cs="宋体"/>
                <w:color w:val="auto"/>
                <w:kern w:val="2"/>
                <w:sz w:val="24"/>
                <w:szCs w:val="24"/>
                <w:highlight w:val="none"/>
                <w:lang w:val="en-US" w:eastAsia="zh-CN" w:bidi="ar-SA"/>
              </w:rPr>
              <w:t>通知书复印件、采购合同文本复印件，以及能够证明该业绩项目已经采购人验收合格的相关证明文件复印件，未同时提供以上证明材料的本项不得分。（满分3分）</w:t>
            </w:r>
            <w:r>
              <w:rPr>
                <w:rFonts w:hint="eastAsia" w:ascii="宋体" w:hAnsi="宋体" w:eastAsia="宋体" w:cs="宋体"/>
                <w:snapToGrid/>
                <w:color w:val="auto"/>
                <w:kern w:val="2"/>
                <w:sz w:val="24"/>
                <w:szCs w:val="24"/>
                <w:highlight w:val="none"/>
                <w:lang w:val="en-US" w:eastAsia="zh-CN" w:bidi="ar-SA"/>
              </w:rPr>
              <w:t>注：“业绩情况”与“满意评价”不得重复得分。</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758AE80">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3</w:t>
            </w:r>
          </w:p>
        </w:tc>
      </w:tr>
      <w:tr w14:paraId="754D5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0CF70245">
            <w:pPr>
              <w:keepNext w:val="0"/>
              <w:keepLines w:val="0"/>
              <w:pageBreakBefore w:val="0"/>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4A8334B9">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left"/>
              <w:rPr>
                <w:rFonts w:hint="eastAsia" w:ascii="宋体" w:hAnsi="宋体" w:eastAsia="宋体" w:cs="宋体"/>
                <w:snapToGrid/>
                <w:color w:val="auto"/>
                <w:kern w:val="2"/>
                <w:sz w:val="24"/>
                <w:szCs w:val="24"/>
                <w:highlight w:val="none"/>
                <w:lang w:val="en-US" w:eastAsia="zh-CN" w:bidi="ar-SA"/>
              </w:rPr>
            </w:pPr>
            <w:r>
              <w:rPr>
                <w:rFonts w:hint="eastAsia" w:ascii="宋体" w:hAnsi="宋体" w:eastAsia="宋体" w:cs="宋体"/>
                <w:b w:val="0"/>
                <w:bCs w:val="0"/>
                <w:snapToGrid/>
                <w:color w:val="auto"/>
                <w:kern w:val="2"/>
                <w:sz w:val="24"/>
                <w:szCs w:val="24"/>
                <w:highlight w:val="none"/>
                <w:lang w:eastAsia="zh-CN"/>
              </w:rPr>
              <w:t>满意度评价</w:t>
            </w:r>
          </w:p>
        </w:tc>
        <w:tc>
          <w:tcPr>
            <w:tcW w:w="6765" w:type="dxa"/>
            <w:tcBorders>
              <w:top w:val="single" w:color="auto" w:sz="4" w:space="0"/>
              <w:left w:val="single" w:color="auto" w:sz="4" w:space="0"/>
              <w:right w:val="single" w:color="auto" w:sz="4" w:space="0"/>
            </w:tcBorders>
            <w:shd w:val="clear" w:color="auto" w:fill="auto"/>
            <w:noWrap w:val="0"/>
            <w:vAlign w:val="top"/>
          </w:tcPr>
          <w:p w14:paraId="361E784B">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jc w:val="left"/>
              <w:rPr>
                <w:rFonts w:hint="eastAsia" w:ascii="宋体" w:hAnsi="宋体" w:eastAsia="宋体" w:cs="宋体"/>
                <w:snapToGrid/>
                <w:color w:val="auto"/>
                <w:kern w:val="2"/>
                <w:sz w:val="24"/>
                <w:szCs w:val="24"/>
                <w:highlight w:val="none"/>
                <w:lang w:val="en-US" w:eastAsia="zh-CN" w:bidi="ar-SA"/>
              </w:rPr>
            </w:pPr>
            <w:r>
              <w:rPr>
                <w:rFonts w:hint="eastAsia" w:ascii="宋体" w:hAnsi="宋体" w:eastAsia="宋体" w:cs="宋体"/>
                <w:snapToGrid/>
                <w:color w:val="auto"/>
                <w:kern w:val="2"/>
                <w:sz w:val="24"/>
                <w:szCs w:val="24"/>
                <w:highlight w:val="none"/>
                <w:lang w:val="en-US" w:eastAsia="zh-CN" w:bidi="ar-SA"/>
              </w:rPr>
              <w:t>根据</w:t>
            </w:r>
            <w:r>
              <w:rPr>
                <w:rFonts w:hint="eastAsia" w:ascii="宋体" w:hAnsi="宋体" w:cs="宋体"/>
                <w:snapToGrid/>
                <w:color w:val="auto"/>
                <w:kern w:val="2"/>
                <w:sz w:val="24"/>
                <w:szCs w:val="24"/>
                <w:highlight w:val="none"/>
                <w:lang w:val="en-US" w:eastAsia="zh-CN" w:bidi="ar-SA"/>
              </w:rPr>
              <w:t>供应商</w:t>
            </w:r>
            <w:r>
              <w:rPr>
                <w:rFonts w:hint="eastAsia" w:ascii="宋体" w:hAnsi="宋体" w:eastAsia="宋体" w:cs="宋体"/>
                <w:snapToGrid/>
                <w:color w:val="auto"/>
                <w:kern w:val="2"/>
                <w:sz w:val="24"/>
                <w:szCs w:val="24"/>
                <w:highlight w:val="none"/>
                <w:lang w:val="en-US" w:eastAsia="zh-CN" w:bidi="ar-SA"/>
              </w:rPr>
              <w:t>提供自2022年1月1日以来与本项目类似的项目获得业主方满意度评价为“优秀”或者“满意”或类似评价情况，由评委进行评分：每提供一份得1分，满分</w:t>
            </w:r>
            <w:r>
              <w:rPr>
                <w:rFonts w:hint="eastAsia" w:ascii="宋体" w:hAnsi="宋体" w:cs="宋体"/>
                <w:snapToGrid/>
                <w:color w:val="auto"/>
                <w:kern w:val="2"/>
                <w:sz w:val="24"/>
                <w:szCs w:val="24"/>
                <w:highlight w:val="none"/>
                <w:lang w:val="en-US" w:eastAsia="zh-CN" w:bidi="ar-SA"/>
              </w:rPr>
              <w:t>3</w:t>
            </w:r>
            <w:r>
              <w:rPr>
                <w:rFonts w:hint="eastAsia" w:ascii="宋体" w:hAnsi="宋体" w:eastAsia="宋体" w:cs="宋体"/>
                <w:snapToGrid/>
                <w:color w:val="auto"/>
                <w:kern w:val="2"/>
                <w:sz w:val="24"/>
                <w:szCs w:val="24"/>
                <w:highlight w:val="none"/>
                <w:lang w:val="en-US" w:eastAsia="zh-CN" w:bidi="ar-SA"/>
              </w:rPr>
              <w:t>分。须同时提供该项目的采购合同文本复印件、加盖采购人公章或使用部门章的业主评价意见书相关证明文件复印件。未提供或提供不全者不得分。注：“业绩情况”与“满意评价”不得重复得分。</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70F35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jc w:val="center"/>
              <w:textAlignment w:val="center"/>
              <w:rPr>
                <w:rFonts w:hint="eastAsia" w:ascii="宋体" w:hAnsi="宋体" w:eastAsia="宋体" w:cs="宋体"/>
                <w:snapToGrid/>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rPr>
              <w:t>3</w:t>
            </w:r>
          </w:p>
        </w:tc>
      </w:tr>
      <w:tr w14:paraId="14484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vMerge w:val="continue"/>
            <w:tcBorders>
              <w:left w:val="single" w:color="auto" w:sz="4" w:space="0"/>
              <w:right w:val="single" w:color="auto" w:sz="4" w:space="0"/>
            </w:tcBorders>
            <w:noWrap w:val="0"/>
            <w:vAlign w:val="center"/>
          </w:tcPr>
          <w:p w14:paraId="1C8C8AFB">
            <w:pPr>
              <w:keepNext w:val="0"/>
              <w:keepLines w:val="0"/>
              <w:pageBreakBefore w:val="0"/>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p>
        </w:tc>
        <w:tc>
          <w:tcPr>
            <w:tcW w:w="1371" w:type="dxa"/>
            <w:tcBorders>
              <w:top w:val="single" w:color="auto" w:sz="4" w:space="0"/>
              <w:left w:val="single" w:color="auto" w:sz="4" w:space="0"/>
              <w:right w:val="single" w:color="auto" w:sz="4" w:space="0"/>
            </w:tcBorders>
            <w:shd w:val="clear" w:color="auto" w:fill="auto"/>
            <w:noWrap w:val="0"/>
            <w:vAlign w:val="center"/>
          </w:tcPr>
          <w:p w14:paraId="523159C3">
            <w:pPr>
              <w:pStyle w:val="301"/>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leftChars="0" w:right="0" w:rightChars="0"/>
              <w:jc w:val="left"/>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snapToGrid/>
                <w:color w:val="auto"/>
                <w:kern w:val="2"/>
                <w:sz w:val="24"/>
                <w:szCs w:val="24"/>
                <w:highlight w:val="none"/>
                <w:lang w:val="en-US" w:eastAsia="zh-CN" w:bidi="ar-SA"/>
              </w:rPr>
              <w:t>服务承诺</w:t>
            </w:r>
          </w:p>
        </w:tc>
        <w:tc>
          <w:tcPr>
            <w:tcW w:w="6765" w:type="dxa"/>
            <w:tcBorders>
              <w:top w:val="single" w:color="auto" w:sz="4" w:space="0"/>
              <w:left w:val="single" w:color="auto" w:sz="4" w:space="0"/>
              <w:right w:val="single" w:color="auto" w:sz="4" w:space="0"/>
            </w:tcBorders>
            <w:shd w:val="clear" w:color="auto" w:fill="auto"/>
            <w:noWrap w:val="0"/>
            <w:vAlign w:val="center"/>
          </w:tcPr>
          <w:p w14:paraId="68EA7A99">
            <w:pPr>
              <w:pStyle w:val="301"/>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leftChars="0" w:right="0" w:rightChars="0"/>
              <w:jc w:val="left"/>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snapToGrid/>
                <w:color w:val="auto"/>
                <w:kern w:val="2"/>
                <w:sz w:val="24"/>
                <w:szCs w:val="24"/>
                <w:highlight w:val="none"/>
                <w:lang w:val="en-US" w:eastAsia="zh-CN" w:bidi="ar-SA"/>
              </w:rPr>
              <w:t>投标人提供承诺函，承诺自2022年1月1日以来，未被行政主管部门(公安、应急、市场监管等)警告、通报等处罚的</w:t>
            </w:r>
            <w:r>
              <w:rPr>
                <w:rFonts w:hint="eastAsia" w:ascii="宋体" w:hAnsi="宋体" w:cs="宋体"/>
                <w:snapToGrid/>
                <w:color w:val="auto"/>
                <w:kern w:val="2"/>
                <w:sz w:val="24"/>
                <w:szCs w:val="24"/>
                <w:highlight w:val="none"/>
                <w:lang w:val="en-US" w:eastAsia="zh-CN" w:bidi="ar-SA"/>
              </w:rPr>
              <w:t>（除资格标准“参加采购活动前三年内在经营活动中没有重大违法记录的声明” 外）</w:t>
            </w:r>
            <w:r>
              <w:rPr>
                <w:rFonts w:hint="eastAsia" w:ascii="宋体" w:hAnsi="宋体" w:eastAsia="宋体" w:cs="宋体"/>
                <w:snapToGrid/>
                <w:color w:val="auto"/>
                <w:kern w:val="2"/>
                <w:sz w:val="24"/>
                <w:szCs w:val="24"/>
                <w:highlight w:val="none"/>
                <w:lang w:val="en-US" w:eastAsia="zh-CN" w:bidi="ar-SA"/>
              </w:rPr>
              <w:t>，得</w:t>
            </w:r>
            <w:r>
              <w:rPr>
                <w:rFonts w:hint="eastAsia" w:ascii="宋体" w:hAnsi="宋体" w:cs="宋体"/>
                <w:snapToGrid/>
                <w:color w:val="auto"/>
                <w:kern w:val="2"/>
                <w:sz w:val="24"/>
                <w:szCs w:val="24"/>
                <w:highlight w:val="none"/>
                <w:lang w:val="en-US" w:eastAsia="zh-CN" w:bidi="ar-SA"/>
              </w:rPr>
              <w:t>1</w:t>
            </w:r>
            <w:r>
              <w:rPr>
                <w:rFonts w:hint="eastAsia" w:ascii="宋体" w:hAnsi="宋体" w:eastAsia="宋体" w:cs="宋体"/>
                <w:snapToGrid/>
                <w:color w:val="auto"/>
                <w:kern w:val="2"/>
                <w:sz w:val="24"/>
                <w:szCs w:val="24"/>
                <w:highlight w:val="none"/>
                <w:lang w:val="en-US" w:eastAsia="zh-CN" w:bidi="ar-SA"/>
              </w:rPr>
              <w:t>分。若发现投标人隐瞒情况、提供虚假承诺的，采购人有权终止合同并报送相关部门处理。承诺函格式自拟。</w:t>
            </w:r>
          </w:p>
        </w:tc>
        <w:tc>
          <w:tcPr>
            <w:tcW w:w="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AE02B5">
            <w:pPr>
              <w:pStyle w:val="301"/>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leftChars="0" w:right="0" w:rightChars="0"/>
              <w:jc w:val="center"/>
              <w:rPr>
                <w:rFonts w:hint="eastAsia" w:ascii="宋体" w:hAnsi="宋体" w:eastAsia="宋体" w:cs="宋体"/>
                <w:color w:val="auto"/>
                <w:kern w:val="2"/>
                <w:sz w:val="20"/>
                <w:szCs w:val="20"/>
                <w:highlight w:val="none"/>
                <w:lang w:val="en-US" w:eastAsia="zh-CN" w:bidi="ar-SA"/>
              </w:rPr>
            </w:pPr>
            <w:r>
              <w:rPr>
                <w:rFonts w:hint="eastAsia" w:ascii="宋体" w:hAnsi="宋体" w:cs="宋体"/>
                <w:snapToGrid/>
                <w:color w:val="auto"/>
                <w:kern w:val="2"/>
                <w:sz w:val="24"/>
                <w:szCs w:val="24"/>
                <w:highlight w:val="none"/>
                <w:lang w:val="en-US" w:eastAsia="zh-CN" w:bidi="ar-SA"/>
              </w:rPr>
              <w:t>1</w:t>
            </w:r>
          </w:p>
        </w:tc>
      </w:tr>
      <w:tr w14:paraId="2F333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4" w:type="dxa"/>
            <w:tcBorders>
              <w:top w:val="single" w:color="auto" w:sz="4" w:space="0"/>
              <w:left w:val="single" w:color="auto" w:sz="4" w:space="0"/>
              <w:bottom w:val="single" w:color="auto" w:sz="4" w:space="0"/>
              <w:right w:val="single" w:color="auto" w:sz="4" w:space="0"/>
            </w:tcBorders>
            <w:noWrap w:val="0"/>
            <w:vAlign w:val="center"/>
          </w:tcPr>
          <w:p w14:paraId="1EECA5CC">
            <w:pPr>
              <w:keepNext w:val="0"/>
              <w:keepLines w:val="0"/>
              <w:pageBreakBefore w:val="0"/>
              <w:suppressLineNumbers w:val="0"/>
              <w:kinsoku/>
              <w:wordWrap/>
              <w:overflowPunct/>
              <w:topLinePunct w:val="0"/>
              <w:autoSpaceDE/>
              <w:autoSpaceDN/>
              <w:bidi w:val="0"/>
              <w:adjustRightInd/>
              <w:spacing w:before="0" w:beforeAutospacing="0" w:after="0" w:afterAutospacing="0" w:line="400" w:lineRule="exact"/>
              <w:ind w:left="0" w:right="0"/>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3、F价格部分（满分</w:t>
            </w:r>
            <w:r>
              <w:rPr>
                <w:rFonts w:hint="eastAsia" w:ascii="宋体" w:hAnsi="宋体" w:cs="宋体"/>
                <w:b w:val="0"/>
                <w:bCs w:val="0"/>
                <w:color w:val="auto"/>
                <w:sz w:val="24"/>
                <w:szCs w:val="24"/>
                <w:highlight w:val="none"/>
                <w:lang w:val="en-US" w:eastAsia="zh-CN"/>
              </w:rPr>
              <w:t>20</w:t>
            </w:r>
            <w:r>
              <w:rPr>
                <w:rFonts w:hint="eastAsia" w:ascii="宋体" w:hAnsi="宋体" w:eastAsia="宋体" w:cs="宋体"/>
                <w:b w:val="0"/>
                <w:bCs w:val="0"/>
                <w:color w:val="auto"/>
                <w:sz w:val="24"/>
                <w:szCs w:val="24"/>
                <w:highlight w:val="none"/>
              </w:rPr>
              <w:t>分）</w:t>
            </w:r>
          </w:p>
        </w:tc>
        <w:tc>
          <w:tcPr>
            <w:tcW w:w="9113" w:type="dxa"/>
            <w:gridSpan w:val="3"/>
            <w:tcBorders>
              <w:top w:val="single" w:color="auto" w:sz="4" w:space="0"/>
              <w:left w:val="single" w:color="auto" w:sz="4" w:space="0"/>
              <w:bottom w:val="single" w:color="auto" w:sz="4" w:space="0"/>
              <w:right w:val="single" w:color="auto" w:sz="4" w:space="0"/>
            </w:tcBorders>
            <w:noWrap w:val="0"/>
            <w:vAlign w:val="center"/>
          </w:tcPr>
          <w:p w14:paraId="34F4C1A2">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PF =Fn/F×Q×100</w:t>
            </w:r>
          </w:p>
          <w:p w14:paraId="4F8FA4CD">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PF：供应商报价得分</w:t>
            </w:r>
          </w:p>
          <w:p w14:paraId="0BA7E033">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rPr>
              <w:t>F：各供应商</w:t>
            </w:r>
            <w:r>
              <w:rPr>
                <w:rFonts w:hint="eastAsia" w:ascii="宋体" w:hAnsi="宋体" w:eastAsia="宋体" w:cs="宋体"/>
                <w:b w:val="0"/>
                <w:bCs w:val="0"/>
                <w:color w:val="auto"/>
                <w:sz w:val="24"/>
                <w:szCs w:val="24"/>
                <w:highlight w:val="none"/>
                <w:lang w:val="en-US" w:eastAsia="zh-CN"/>
              </w:rPr>
              <w:t>报价</w:t>
            </w:r>
            <w:r>
              <w:rPr>
                <w:rFonts w:hint="eastAsia" w:ascii="宋体" w:hAnsi="宋体" w:cs="宋体"/>
                <w:b w:val="0"/>
                <w:bCs w:val="0"/>
                <w:color w:val="auto"/>
                <w:sz w:val="24"/>
                <w:szCs w:val="24"/>
                <w:highlight w:val="none"/>
                <w:lang w:val="en-US" w:eastAsia="zh-CN"/>
              </w:rPr>
              <w:t>（统一折扣）</w:t>
            </w:r>
          </w:p>
          <w:p w14:paraId="10A19DDB">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Fn：评标基准价即满足磋商文件要求且最后报价</w:t>
            </w:r>
            <w:r>
              <w:rPr>
                <w:rFonts w:hint="eastAsia" w:ascii="宋体" w:hAnsi="宋体" w:eastAsia="宋体" w:cs="宋体"/>
                <w:b w:val="0"/>
                <w:bCs w:val="0"/>
                <w:color w:val="auto"/>
                <w:sz w:val="24"/>
                <w:szCs w:val="24"/>
                <w:highlight w:val="none"/>
                <w:lang w:val="en-US" w:eastAsia="zh-CN"/>
              </w:rPr>
              <w:t>最低</w:t>
            </w:r>
            <w:r>
              <w:rPr>
                <w:rFonts w:hint="eastAsia" w:ascii="宋体" w:hAnsi="宋体" w:cs="宋体"/>
                <w:b w:val="0"/>
                <w:bCs w:val="0"/>
                <w:color w:val="auto"/>
                <w:sz w:val="24"/>
                <w:szCs w:val="24"/>
                <w:highlight w:val="none"/>
                <w:lang w:val="en-US" w:eastAsia="zh-CN"/>
              </w:rPr>
              <w:t>（统一折扣）</w:t>
            </w:r>
            <w:r>
              <w:rPr>
                <w:rFonts w:hint="eastAsia" w:ascii="宋体" w:hAnsi="宋体" w:eastAsia="宋体" w:cs="宋体"/>
                <w:b w:val="0"/>
                <w:bCs w:val="0"/>
                <w:color w:val="auto"/>
                <w:sz w:val="24"/>
                <w:szCs w:val="24"/>
                <w:highlight w:val="none"/>
              </w:rPr>
              <w:t>的供应商的价格为磋商基准价，其价格分为满分。</w:t>
            </w:r>
          </w:p>
          <w:p w14:paraId="1BE42797">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Q：价格权值：Q=</w:t>
            </w:r>
            <w:r>
              <w:rPr>
                <w:rFonts w:hint="eastAsia" w:ascii="宋体" w:hAnsi="宋体" w:cs="宋体"/>
                <w:b w:val="0"/>
                <w:bCs w:val="0"/>
                <w:color w:val="auto"/>
                <w:sz w:val="24"/>
                <w:szCs w:val="24"/>
                <w:highlight w:val="none"/>
                <w:lang w:val="en-US" w:eastAsia="zh-CN"/>
              </w:rPr>
              <w:t>20</w:t>
            </w:r>
            <w:r>
              <w:rPr>
                <w:rFonts w:hint="eastAsia" w:ascii="宋体" w:hAnsi="宋体" w:eastAsia="宋体" w:cs="宋体"/>
                <w:b w:val="0"/>
                <w:bCs w:val="0"/>
                <w:color w:val="auto"/>
                <w:sz w:val="24"/>
                <w:szCs w:val="24"/>
                <w:highlight w:val="none"/>
              </w:rPr>
              <w:t>%</w:t>
            </w:r>
          </w:p>
          <w:p w14:paraId="24D03304">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jc w:val="left"/>
              <w:textAlignment w:val="auto"/>
              <w:rPr>
                <w:rFonts w:hint="eastAsia"/>
                <w:szCs w:val="20"/>
              </w:rPr>
            </w:pPr>
            <w:r>
              <w:rPr>
                <w:rFonts w:hint="eastAsia" w:ascii="宋体" w:hAnsi="宋体" w:eastAsia="宋体" w:cs="宋体"/>
                <w:b w:val="0"/>
                <w:bCs w:val="0"/>
                <w:color w:val="auto"/>
                <w:sz w:val="24"/>
                <w:szCs w:val="24"/>
                <w:highlight w:val="none"/>
              </w:rPr>
              <w:t>说明：价格分采用低价优先法计算，即满足磋商文件要求且最后报价</w:t>
            </w:r>
            <w:r>
              <w:rPr>
                <w:rFonts w:hint="eastAsia" w:ascii="宋体" w:hAnsi="宋体" w:eastAsia="宋体" w:cs="宋体"/>
                <w:b w:val="0"/>
                <w:bCs w:val="0"/>
                <w:color w:val="auto"/>
                <w:sz w:val="24"/>
                <w:szCs w:val="24"/>
                <w:highlight w:val="none"/>
                <w:lang w:val="en-US" w:eastAsia="zh-CN"/>
              </w:rPr>
              <w:t>最低</w:t>
            </w:r>
            <w:r>
              <w:rPr>
                <w:rFonts w:hint="eastAsia" w:ascii="宋体" w:hAnsi="宋体" w:eastAsia="宋体" w:cs="宋体"/>
                <w:b w:val="0"/>
                <w:bCs w:val="0"/>
                <w:color w:val="auto"/>
                <w:sz w:val="24"/>
                <w:szCs w:val="24"/>
                <w:highlight w:val="none"/>
              </w:rPr>
              <w:t>的供应商的价格为磋商基准价，其价格分为满分。其他供应商的价格分统一按照下列公式计算：磋商报价得分=（磋商基准</w:t>
            </w:r>
            <w:r>
              <w:rPr>
                <w:rFonts w:hint="eastAsia" w:ascii="宋体" w:hAnsi="宋体" w:eastAsia="宋体" w:cs="宋体"/>
                <w:b w:val="0"/>
                <w:bCs w:val="0"/>
                <w:color w:val="auto"/>
                <w:sz w:val="24"/>
                <w:szCs w:val="24"/>
                <w:highlight w:val="none"/>
                <w:lang w:val="en-US" w:eastAsia="zh-CN"/>
              </w:rPr>
              <w:t>价</w:t>
            </w:r>
            <w:r>
              <w:rPr>
                <w:rFonts w:hint="eastAsia" w:ascii="宋体" w:hAnsi="宋体" w:eastAsia="宋体" w:cs="宋体"/>
                <w:b w:val="0"/>
                <w:bCs w:val="0"/>
                <w:color w:val="auto"/>
                <w:sz w:val="24"/>
                <w:szCs w:val="24"/>
                <w:highlight w:val="none"/>
              </w:rPr>
              <w:t>／最后磋商</w:t>
            </w:r>
            <w:r>
              <w:rPr>
                <w:rFonts w:hint="eastAsia" w:ascii="宋体" w:hAnsi="宋体" w:eastAsia="宋体" w:cs="宋体"/>
                <w:b w:val="0"/>
                <w:bCs w:val="0"/>
                <w:color w:val="auto"/>
                <w:sz w:val="24"/>
                <w:szCs w:val="24"/>
                <w:highlight w:val="none"/>
                <w:lang w:val="en-US" w:eastAsia="zh-CN"/>
              </w:rPr>
              <w:t>价</w:t>
            </w:r>
            <w:r>
              <w:rPr>
                <w:rFonts w:hint="eastAsia" w:ascii="宋体" w:hAnsi="宋体" w:eastAsia="宋体" w:cs="宋体"/>
                <w:b w:val="0"/>
                <w:bCs w:val="0"/>
                <w:color w:val="auto"/>
                <w:sz w:val="24"/>
                <w:szCs w:val="24"/>
                <w:highlight w:val="none"/>
              </w:rPr>
              <w:t>）×价格权值×100。计算分数时四舍五入取小数点后两位。</w:t>
            </w:r>
          </w:p>
        </w:tc>
      </w:tr>
    </w:tbl>
    <w:p w14:paraId="1D912C3B">
      <w:pPr>
        <w:tabs>
          <w:tab w:val="left" w:pos="-1080"/>
          <w:tab w:val="left" w:pos="180"/>
          <w:tab w:val="left" w:pos="1080"/>
        </w:tabs>
        <w:snapToGrid w:val="0"/>
        <w:spacing w:line="380" w:lineRule="exact"/>
        <w:ind w:firstLine="360" w:firstLineChars="150"/>
        <w:jc w:val="left"/>
        <w:rPr>
          <w:rFonts w:hint="eastAsia" w:hAnsi="宋体" w:cs="宋体"/>
          <w:b/>
          <w:color w:val="auto"/>
          <w:sz w:val="28"/>
          <w:highlight w:val="none"/>
        </w:rPr>
      </w:pPr>
      <w:r>
        <w:rPr>
          <w:rFonts w:hint="eastAsia" w:ascii="宋体" w:hAnsi="宋体" w:cs="宋体"/>
          <w:color w:val="auto"/>
          <w:sz w:val="24"/>
          <w:szCs w:val="24"/>
          <w:highlight w:val="none"/>
        </w:rPr>
        <w:t xml:space="preserve">综合得分为：PF+PT+PB </w:t>
      </w:r>
    </w:p>
    <w:p w14:paraId="4B4F133F">
      <w:pPr>
        <w:pStyle w:val="27"/>
        <w:snapToGrid w:val="0"/>
        <w:spacing w:line="360" w:lineRule="auto"/>
        <w:jc w:val="center"/>
        <w:outlineLvl w:val="1"/>
        <w:rPr>
          <w:rFonts w:hint="eastAsia" w:hAnsi="宋体" w:cs="宋体"/>
          <w:b/>
          <w:color w:val="auto"/>
          <w:sz w:val="28"/>
        </w:rPr>
      </w:pPr>
    </w:p>
    <w:p w14:paraId="55C96CB8">
      <w:pPr>
        <w:pStyle w:val="27"/>
        <w:snapToGrid w:val="0"/>
        <w:spacing w:line="360" w:lineRule="auto"/>
        <w:jc w:val="center"/>
        <w:outlineLvl w:val="1"/>
        <w:rPr>
          <w:rFonts w:hint="eastAsia" w:hAnsi="宋体" w:cs="宋体"/>
          <w:b/>
          <w:color w:val="auto"/>
          <w:sz w:val="28"/>
        </w:rPr>
      </w:pPr>
    </w:p>
    <w:p w14:paraId="1F36990D">
      <w:pPr>
        <w:pStyle w:val="27"/>
        <w:snapToGrid w:val="0"/>
        <w:spacing w:line="360" w:lineRule="auto"/>
        <w:jc w:val="center"/>
        <w:outlineLvl w:val="1"/>
        <w:rPr>
          <w:rFonts w:hint="eastAsia" w:hAnsi="宋体" w:cs="宋体"/>
          <w:b/>
          <w:color w:val="auto"/>
          <w:sz w:val="28"/>
        </w:rPr>
      </w:pPr>
      <w:r>
        <w:rPr>
          <w:rFonts w:hint="eastAsia" w:hAnsi="宋体" w:cs="宋体"/>
          <w:b/>
          <w:color w:val="auto"/>
          <w:sz w:val="28"/>
        </w:rPr>
        <w:t>一、说明</w:t>
      </w:r>
      <w:bookmarkEnd w:id="22"/>
      <w:bookmarkEnd w:id="23"/>
      <w:bookmarkEnd w:id="24"/>
    </w:p>
    <w:p w14:paraId="4C8238B2">
      <w:pPr>
        <w:snapToGrid w:val="0"/>
        <w:spacing w:line="360" w:lineRule="auto"/>
        <w:rPr>
          <w:rFonts w:hint="eastAsia" w:ascii="宋体" w:hAnsi="宋体" w:cs="宋体"/>
          <w:b/>
          <w:color w:val="auto"/>
          <w:sz w:val="24"/>
        </w:rPr>
      </w:pPr>
      <w:bookmarkStart w:id="32" w:name="_Toc23906_WPSOffice_Level3"/>
      <w:bookmarkStart w:id="33" w:name="_Toc15828_WPSOffice_Level3"/>
      <w:r>
        <w:rPr>
          <w:rFonts w:hint="eastAsia" w:ascii="宋体" w:hAnsi="宋体" w:cs="宋体"/>
          <w:b/>
          <w:color w:val="auto"/>
          <w:sz w:val="24"/>
        </w:rPr>
        <w:t xml:space="preserve">1. </w:t>
      </w:r>
      <w:bookmarkStart w:id="34" w:name="适用范围"/>
      <w:r>
        <w:rPr>
          <w:rFonts w:hint="eastAsia" w:ascii="宋体" w:hAnsi="宋体" w:cs="宋体"/>
          <w:b/>
          <w:color w:val="auto"/>
          <w:sz w:val="24"/>
        </w:rPr>
        <w:t>适用范围</w:t>
      </w:r>
      <w:bookmarkEnd w:id="32"/>
      <w:bookmarkEnd w:id="33"/>
      <w:bookmarkEnd w:id="34"/>
    </w:p>
    <w:p w14:paraId="36D96B5A">
      <w:pPr>
        <w:snapToGrid w:val="0"/>
        <w:spacing w:line="360" w:lineRule="auto"/>
        <w:rPr>
          <w:rFonts w:hint="eastAsia" w:ascii="宋体" w:hAnsi="宋体" w:cs="宋体"/>
          <w:color w:val="auto"/>
          <w:sz w:val="24"/>
        </w:rPr>
      </w:pPr>
      <w:r>
        <w:rPr>
          <w:rFonts w:hint="eastAsia" w:ascii="宋体" w:hAnsi="宋体" w:cs="宋体"/>
          <w:color w:val="auto"/>
          <w:sz w:val="24"/>
        </w:rPr>
        <w:t xml:space="preserve">    1.1本竞争性磋商文件仅适用于磋商邀请中所叙述项目的货物及服务采购。</w:t>
      </w:r>
    </w:p>
    <w:p w14:paraId="2A060ACB">
      <w:pPr>
        <w:snapToGrid w:val="0"/>
        <w:spacing w:line="360" w:lineRule="auto"/>
        <w:rPr>
          <w:rFonts w:hint="eastAsia" w:ascii="宋体" w:hAnsi="宋体" w:cs="宋体"/>
          <w:b/>
          <w:color w:val="auto"/>
          <w:sz w:val="24"/>
        </w:rPr>
      </w:pPr>
      <w:bookmarkStart w:id="35" w:name="_Toc4743_WPSOffice_Level3"/>
      <w:bookmarkStart w:id="36" w:name="_Toc4616_WPSOffice_Level3"/>
      <w:r>
        <w:rPr>
          <w:rFonts w:hint="eastAsia" w:ascii="宋体" w:hAnsi="宋体" w:cs="宋体"/>
          <w:b/>
          <w:color w:val="auto"/>
          <w:sz w:val="24"/>
        </w:rPr>
        <w:t xml:space="preserve">2. </w:t>
      </w:r>
      <w:bookmarkStart w:id="37" w:name="定义"/>
      <w:r>
        <w:rPr>
          <w:rFonts w:hint="eastAsia" w:ascii="宋体" w:hAnsi="宋体" w:cs="宋体"/>
          <w:b/>
          <w:color w:val="auto"/>
          <w:sz w:val="24"/>
        </w:rPr>
        <w:t>定义</w:t>
      </w:r>
      <w:bookmarkEnd w:id="35"/>
      <w:bookmarkEnd w:id="36"/>
      <w:bookmarkEnd w:id="37"/>
    </w:p>
    <w:p w14:paraId="260CDB13">
      <w:pPr>
        <w:spacing w:line="360" w:lineRule="auto"/>
        <w:ind w:firstLine="480" w:firstLineChars="200"/>
        <w:rPr>
          <w:rFonts w:hint="eastAsia" w:ascii="宋体" w:hAnsi="宋体" w:cs="宋体"/>
          <w:color w:val="auto"/>
          <w:sz w:val="24"/>
        </w:rPr>
      </w:pPr>
      <w:r>
        <w:rPr>
          <w:rFonts w:hint="eastAsia" w:ascii="宋体" w:hAnsi="宋体" w:cs="宋体"/>
          <w:color w:val="auto"/>
          <w:sz w:val="24"/>
        </w:rPr>
        <w:t>2.1 “采购”系指以合同方式有偿取得货物、工程和服务的行为，包括购买、租赁、委托、雇用等。</w:t>
      </w:r>
    </w:p>
    <w:p w14:paraId="44285C69">
      <w:pPr>
        <w:spacing w:line="360" w:lineRule="auto"/>
        <w:ind w:firstLine="480" w:firstLineChars="200"/>
        <w:rPr>
          <w:rFonts w:hint="eastAsia" w:ascii="宋体" w:hAnsi="宋体" w:cs="宋体"/>
          <w:color w:val="auto"/>
          <w:sz w:val="24"/>
        </w:rPr>
      </w:pPr>
      <w:r>
        <w:rPr>
          <w:rFonts w:hint="eastAsia" w:ascii="宋体" w:hAnsi="宋体" w:cs="宋体"/>
          <w:color w:val="auto"/>
          <w:sz w:val="24"/>
        </w:rPr>
        <w:t>2.2 “购买服务”，是指通过发挥市场机制作用，把政府直接提供的一部分公共服务事项以及政府履职所需服务事项，按照一定的方式和程序，交由具备条件的社会力量和事业单位承担，并由政府根据合同约定向其支付费用。</w:t>
      </w:r>
    </w:p>
    <w:p w14:paraId="051CEBAC">
      <w:pPr>
        <w:spacing w:line="360" w:lineRule="auto"/>
        <w:ind w:firstLine="480" w:firstLineChars="200"/>
        <w:rPr>
          <w:rFonts w:hint="eastAsia" w:ascii="宋体" w:hAnsi="宋体" w:cs="宋体"/>
          <w:color w:val="auto"/>
          <w:sz w:val="24"/>
        </w:rPr>
      </w:pPr>
      <w:r>
        <w:rPr>
          <w:rFonts w:hint="eastAsia" w:ascii="宋体" w:hAnsi="宋体" w:cs="宋体"/>
          <w:color w:val="auto"/>
          <w:sz w:val="24"/>
        </w:rPr>
        <w:t>2.3 “</w:t>
      </w:r>
      <w:r>
        <w:rPr>
          <w:rFonts w:hint="eastAsia" w:ascii="宋体" w:hAnsi="宋体" w:cs="宋体"/>
          <w:color w:val="auto"/>
          <w:sz w:val="24"/>
          <w:lang w:eastAsia="zh-CN"/>
        </w:rPr>
        <w:t>采购人</w:t>
      </w:r>
      <w:r>
        <w:rPr>
          <w:rFonts w:hint="eastAsia" w:ascii="宋体" w:hAnsi="宋体" w:cs="宋体"/>
          <w:color w:val="auto"/>
          <w:sz w:val="24"/>
        </w:rPr>
        <w:t>”系指本次项目的购买主体。</w:t>
      </w:r>
    </w:p>
    <w:p w14:paraId="1173EAB7">
      <w:pPr>
        <w:spacing w:line="360" w:lineRule="auto"/>
        <w:ind w:firstLine="480" w:firstLineChars="200"/>
        <w:rPr>
          <w:rFonts w:hint="eastAsia" w:ascii="宋体" w:hAnsi="宋体" w:cs="宋体"/>
          <w:color w:val="auto"/>
          <w:sz w:val="24"/>
        </w:rPr>
      </w:pPr>
      <w:r>
        <w:rPr>
          <w:rFonts w:hint="eastAsia" w:ascii="宋体" w:hAnsi="宋体" w:cs="宋体"/>
          <w:color w:val="auto"/>
          <w:sz w:val="24"/>
        </w:rPr>
        <w:t>2.4 “采购单位”系指组织本次采购活动的</w:t>
      </w:r>
      <w:r>
        <w:rPr>
          <w:rFonts w:hint="eastAsia" w:ascii="宋体" w:hAnsi="宋体" w:cs="宋体"/>
          <w:color w:val="auto"/>
          <w:sz w:val="24"/>
          <w:lang w:eastAsia="zh-CN"/>
        </w:rPr>
        <w:t>采购人</w:t>
      </w:r>
      <w:r>
        <w:rPr>
          <w:rFonts w:hint="eastAsia" w:ascii="宋体" w:hAnsi="宋体" w:cs="宋体"/>
          <w:color w:val="auto"/>
          <w:sz w:val="24"/>
        </w:rPr>
        <w:t>或采购代理机构。</w:t>
      </w:r>
    </w:p>
    <w:p w14:paraId="31330435">
      <w:pPr>
        <w:spacing w:line="360" w:lineRule="auto"/>
        <w:ind w:firstLine="480" w:firstLineChars="200"/>
        <w:rPr>
          <w:rFonts w:hint="eastAsia" w:ascii="宋体" w:hAnsi="宋体" w:cs="宋体"/>
          <w:color w:val="auto"/>
          <w:sz w:val="24"/>
        </w:rPr>
      </w:pPr>
      <w:r>
        <w:rPr>
          <w:rFonts w:hint="eastAsia" w:ascii="宋体" w:hAnsi="宋体" w:cs="宋体"/>
          <w:color w:val="auto"/>
          <w:sz w:val="24"/>
        </w:rPr>
        <w:t>2.5 “采购代理机构”系指本次采购项目活动组织方。</w:t>
      </w:r>
    </w:p>
    <w:p w14:paraId="1F362229">
      <w:pPr>
        <w:spacing w:line="360" w:lineRule="auto"/>
        <w:ind w:firstLine="480" w:firstLineChars="200"/>
        <w:rPr>
          <w:rFonts w:hint="eastAsia" w:ascii="宋体" w:hAnsi="宋体" w:cs="宋体"/>
          <w:color w:val="auto"/>
          <w:sz w:val="24"/>
        </w:rPr>
      </w:pPr>
      <w:r>
        <w:rPr>
          <w:rFonts w:hint="eastAsia" w:ascii="宋体" w:hAnsi="宋体" w:cs="宋体"/>
          <w:color w:val="auto"/>
          <w:sz w:val="24"/>
        </w:rPr>
        <w:t>2.6 “供应商”系指购买了本磋商文件，且已经提交或者准备提交本次响应文件的承接主体。</w:t>
      </w:r>
    </w:p>
    <w:p w14:paraId="370B0008">
      <w:pPr>
        <w:spacing w:line="360" w:lineRule="auto"/>
        <w:ind w:firstLine="480" w:firstLineChars="200"/>
        <w:rPr>
          <w:rFonts w:hint="eastAsia" w:ascii="宋体" w:hAnsi="宋体" w:cs="宋体"/>
          <w:color w:val="auto"/>
          <w:sz w:val="24"/>
        </w:rPr>
      </w:pPr>
      <w:r>
        <w:rPr>
          <w:rFonts w:hint="eastAsia" w:ascii="宋体" w:hAnsi="宋体" w:cs="宋体"/>
          <w:color w:val="auto"/>
          <w:sz w:val="24"/>
        </w:rPr>
        <w:t>2.7 “成交人”系指参加了本项目的磋商采购，经评审并确认为本项目的承接主体。</w:t>
      </w:r>
    </w:p>
    <w:p w14:paraId="51EC455A">
      <w:pPr>
        <w:snapToGrid w:val="0"/>
        <w:spacing w:line="360" w:lineRule="auto"/>
        <w:rPr>
          <w:rFonts w:hint="eastAsia" w:ascii="宋体" w:hAnsi="宋体" w:cs="宋体"/>
          <w:b/>
          <w:color w:val="auto"/>
          <w:sz w:val="24"/>
          <w:szCs w:val="24"/>
        </w:rPr>
      </w:pPr>
      <w:bookmarkStart w:id="38" w:name="_Toc289_WPSOffice_Level3"/>
      <w:bookmarkStart w:id="39" w:name="_Toc21951_WPSOffice_Level3"/>
      <w:r>
        <w:rPr>
          <w:rFonts w:hint="eastAsia" w:ascii="宋体" w:hAnsi="宋体" w:cs="宋体"/>
          <w:b/>
          <w:color w:val="auto"/>
          <w:sz w:val="24"/>
          <w:szCs w:val="24"/>
        </w:rPr>
        <w:t xml:space="preserve">3. </w:t>
      </w:r>
      <w:bookmarkStart w:id="40" w:name="合格的投标人"/>
      <w:r>
        <w:rPr>
          <w:rFonts w:hint="eastAsia" w:ascii="宋体" w:hAnsi="宋体" w:cs="宋体"/>
          <w:b/>
          <w:color w:val="auto"/>
          <w:sz w:val="24"/>
          <w:szCs w:val="24"/>
        </w:rPr>
        <w:t>合格的</w:t>
      </w:r>
      <w:bookmarkEnd w:id="38"/>
      <w:bookmarkEnd w:id="39"/>
      <w:bookmarkEnd w:id="40"/>
      <w:r>
        <w:rPr>
          <w:rFonts w:hint="eastAsia" w:ascii="宋体" w:hAnsi="宋体" w:cs="宋体"/>
          <w:b/>
          <w:color w:val="auto"/>
          <w:sz w:val="24"/>
          <w:szCs w:val="24"/>
        </w:rPr>
        <w:t>供应商</w:t>
      </w:r>
    </w:p>
    <w:p w14:paraId="3B3DC3AD">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rPr>
        <w:t>3.1</w:t>
      </w:r>
      <w:r>
        <w:rPr>
          <w:rFonts w:hint="eastAsia" w:ascii="宋体" w:hAnsi="宋体" w:cs="宋体"/>
          <w:color w:val="auto"/>
          <w:sz w:val="24"/>
          <w:szCs w:val="24"/>
        </w:rPr>
        <w:t>具备相关法律法规、行政规章条例和本磋商文件中规定的参加采购活动应当具备的条件的境内法人单位均可能成为合格的供应商。</w:t>
      </w:r>
    </w:p>
    <w:p w14:paraId="065A9C40">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3.2</w:t>
      </w:r>
      <w:r>
        <w:rPr>
          <w:rFonts w:hint="eastAsia" w:ascii="宋体" w:hAnsi="宋体" w:cs="宋体"/>
          <w:color w:val="auto"/>
          <w:sz w:val="24"/>
        </w:rPr>
        <w:t>供应商</w:t>
      </w:r>
      <w:r>
        <w:rPr>
          <w:rFonts w:hint="eastAsia" w:ascii="宋体" w:hAnsi="宋体" w:cs="宋体"/>
          <w:color w:val="auto"/>
          <w:sz w:val="24"/>
          <w:szCs w:val="24"/>
        </w:rPr>
        <w:t>应遵守中国的有关法律、法规和规章的规定。</w:t>
      </w:r>
    </w:p>
    <w:p w14:paraId="07CAAA19">
      <w:pPr>
        <w:spacing w:line="360" w:lineRule="auto"/>
        <w:ind w:firstLine="600" w:firstLineChars="250"/>
        <w:rPr>
          <w:rFonts w:hint="eastAsia" w:ascii="宋体" w:hAnsi="宋体" w:cs="宋体"/>
          <w:color w:val="auto"/>
          <w:sz w:val="24"/>
          <w:szCs w:val="24"/>
        </w:rPr>
      </w:pPr>
      <w:r>
        <w:rPr>
          <w:rFonts w:hint="eastAsia" w:ascii="宋体" w:hAnsi="宋体" w:cs="宋体"/>
          <w:color w:val="auto"/>
          <w:sz w:val="24"/>
          <w:szCs w:val="24"/>
        </w:rPr>
        <w:t>a具有独立承担民事责任的能力；</w:t>
      </w:r>
    </w:p>
    <w:p w14:paraId="7B8F7759">
      <w:pPr>
        <w:spacing w:line="360" w:lineRule="auto"/>
        <w:ind w:firstLine="600" w:firstLineChars="250"/>
        <w:rPr>
          <w:rFonts w:hint="eastAsia" w:ascii="宋体" w:hAnsi="宋体" w:cs="宋体"/>
          <w:color w:val="auto"/>
          <w:sz w:val="24"/>
          <w:szCs w:val="24"/>
        </w:rPr>
      </w:pPr>
      <w:r>
        <w:rPr>
          <w:rFonts w:hint="eastAsia" w:ascii="宋体" w:hAnsi="宋体" w:cs="宋体"/>
          <w:color w:val="auto"/>
          <w:sz w:val="24"/>
          <w:szCs w:val="24"/>
        </w:rPr>
        <w:t>b具有良好的商业信誉和健全的财务会计制度；</w:t>
      </w:r>
    </w:p>
    <w:p w14:paraId="724AF2DC">
      <w:pPr>
        <w:spacing w:line="360" w:lineRule="auto"/>
        <w:ind w:firstLine="600" w:firstLineChars="250"/>
        <w:rPr>
          <w:rFonts w:hint="eastAsia" w:ascii="宋体" w:hAnsi="宋体" w:cs="宋体"/>
          <w:color w:val="auto"/>
          <w:sz w:val="24"/>
          <w:szCs w:val="24"/>
        </w:rPr>
      </w:pPr>
      <w:r>
        <w:rPr>
          <w:rFonts w:hint="eastAsia" w:ascii="宋体" w:hAnsi="宋体" w:cs="宋体"/>
          <w:color w:val="auto"/>
          <w:sz w:val="24"/>
          <w:szCs w:val="24"/>
        </w:rPr>
        <w:t>c具有履行合同所必需的设备和专业技术能力；</w:t>
      </w:r>
    </w:p>
    <w:p w14:paraId="4F3E3ED8">
      <w:pPr>
        <w:spacing w:line="360" w:lineRule="auto"/>
        <w:ind w:firstLine="600" w:firstLineChars="250"/>
        <w:rPr>
          <w:rFonts w:hint="eastAsia" w:ascii="宋体" w:hAnsi="宋体" w:cs="宋体"/>
          <w:color w:val="auto"/>
          <w:sz w:val="24"/>
          <w:szCs w:val="24"/>
        </w:rPr>
      </w:pPr>
      <w:r>
        <w:rPr>
          <w:rFonts w:hint="eastAsia" w:ascii="宋体" w:hAnsi="宋体" w:cs="宋体"/>
          <w:color w:val="auto"/>
          <w:sz w:val="24"/>
          <w:szCs w:val="24"/>
        </w:rPr>
        <w:t>d有依法缴纳税收和社会保障资金的良好记录；</w:t>
      </w:r>
    </w:p>
    <w:p w14:paraId="1B67E5B5">
      <w:pPr>
        <w:spacing w:line="360" w:lineRule="auto"/>
        <w:ind w:firstLine="600" w:firstLineChars="250"/>
        <w:rPr>
          <w:rFonts w:hint="eastAsia" w:ascii="宋体" w:hAnsi="宋体" w:cs="宋体"/>
          <w:color w:val="auto"/>
          <w:sz w:val="24"/>
          <w:szCs w:val="24"/>
        </w:rPr>
      </w:pPr>
      <w:r>
        <w:rPr>
          <w:rFonts w:hint="eastAsia" w:ascii="宋体" w:hAnsi="宋体" w:cs="宋体"/>
          <w:color w:val="auto"/>
          <w:sz w:val="24"/>
          <w:szCs w:val="24"/>
        </w:rPr>
        <w:t>e参加政府采购活动前三年内，在经营活动中没有重大违法记录；</w:t>
      </w:r>
    </w:p>
    <w:p w14:paraId="2D7FF3A9">
      <w:pPr>
        <w:spacing w:line="360" w:lineRule="auto"/>
        <w:ind w:firstLine="600" w:firstLineChars="250"/>
        <w:rPr>
          <w:rFonts w:hint="eastAsia" w:ascii="宋体" w:hAnsi="宋体" w:cs="宋体"/>
          <w:color w:val="auto"/>
          <w:sz w:val="24"/>
          <w:szCs w:val="24"/>
        </w:rPr>
      </w:pPr>
      <w:r>
        <w:rPr>
          <w:rFonts w:hint="eastAsia" w:ascii="宋体" w:hAnsi="宋体" w:cs="宋体"/>
          <w:color w:val="auto"/>
          <w:sz w:val="24"/>
          <w:szCs w:val="24"/>
        </w:rPr>
        <w:t>f法律、行政法规规定的其它条件。</w:t>
      </w:r>
    </w:p>
    <w:p w14:paraId="23B1386B">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3.3一个</w:t>
      </w:r>
      <w:r>
        <w:rPr>
          <w:rFonts w:hint="eastAsia" w:ascii="宋体" w:hAnsi="宋体" w:cs="宋体"/>
          <w:color w:val="auto"/>
          <w:sz w:val="24"/>
        </w:rPr>
        <w:t>供应商</w:t>
      </w:r>
      <w:r>
        <w:rPr>
          <w:rFonts w:hint="eastAsia" w:ascii="宋体" w:hAnsi="宋体" w:cs="宋体"/>
          <w:color w:val="auto"/>
          <w:sz w:val="24"/>
          <w:szCs w:val="24"/>
        </w:rPr>
        <w:t>只能提交一个响应文件。但如果</w:t>
      </w:r>
      <w:r>
        <w:rPr>
          <w:rFonts w:hint="eastAsia" w:ascii="宋体" w:hAnsi="宋体" w:cs="宋体"/>
          <w:color w:val="auto"/>
          <w:sz w:val="24"/>
        </w:rPr>
        <w:t>供应商</w:t>
      </w:r>
      <w:r>
        <w:rPr>
          <w:rFonts w:hint="eastAsia" w:ascii="宋体" w:hAnsi="宋体" w:cs="宋体"/>
          <w:color w:val="auto"/>
          <w:sz w:val="24"/>
          <w:szCs w:val="24"/>
        </w:rPr>
        <w:t>之间存在下列互为关联关系的情形之一的，不得同时参加本项目磋商：</w:t>
      </w:r>
    </w:p>
    <w:p w14:paraId="1E709DEE">
      <w:pPr>
        <w:pStyle w:val="230"/>
        <w:spacing w:line="360" w:lineRule="auto"/>
        <w:ind w:firstLine="480" w:firstLineChars="200"/>
        <w:rPr>
          <w:rFonts w:hint="eastAsia" w:ascii="宋体" w:hAnsi="宋体" w:cs="宋体"/>
          <w:color w:val="auto"/>
          <w:sz w:val="24"/>
        </w:rPr>
      </w:pPr>
      <w:r>
        <w:rPr>
          <w:rFonts w:hint="eastAsia" w:ascii="宋体" w:hAnsi="宋体" w:cs="宋体"/>
          <w:color w:val="auto"/>
          <w:sz w:val="24"/>
        </w:rPr>
        <w:t>(1) 法定代表人为同一人的两个及两个以上法人；</w:t>
      </w:r>
    </w:p>
    <w:p w14:paraId="1153FD46">
      <w:pPr>
        <w:pStyle w:val="230"/>
        <w:spacing w:line="360" w:lineRule="auto"/>
        <w:ind w:firstLine="480" w:firstLineChars="200"/>
        <w:rPr>
          <w:rFonts w:hint="eastAsia" w:ascii="宋体" w:hAnsi="宋体" w:cs="宋体"/>
          <w:color w:val="auto"/>
          <w:sz w:val="24"/>
        </w:rPr>
      </w:pPr>
      <w:r>
        <w:rPr>
          <w:rFonts w:hint="eastAsia" w:ascii="宋体" w:hAnsi="宋体" w:cs="宋体"/>
          <w:color w:val="auto"/>
          <w:sz w:val="24"/>
        </w:rPr>
        <w:t>(2) 母公司、直接或间接持股50％及以上的被投资公司；</w:t>
      </w:r>
    </w:p>
    <w:p w14:paraId="16739C0E">
      <w:pPr>
        <w:pStyle w:val="230"/>
        <w:spacing w:line="360" w:lineRule="auto"/>
        <w:ind w:firstLine="480" w:firstLineChars="200"/>
        <w:rPr>
          <w:rFonts w:hint="eastAsia" w:ascii="宋体" w:hAnsi="宋体" w:cs="宋体"/>
          <w:color w:val="auto"/>
          <w:sz w:val="24"/>
        </w:rPr>
      </w:pPr>
      <w:r>
        <w:rPr>
          <w:rFonts w:hint="eastAsia" w:ascii="宋体" w:hAnsi="宋体" w:cs="宋体"/>
          <w:color w:val="auto"/>
          <w:sz w:val="24"/>
        </w:rPr>
        <w:t>(3) 均为同一家母公司直接或间接持股50％及以上的被投资公司。</w:t>
      </w:r>
    </w:p>
    <w:p w14:paraId="2BAA094F">
      <w:pPr>
        <w:pStyle w:val="230"/>
        <w:spacing w:line="360" w:lineRule="auto"/>
        <w:ind w:firstLine="480" w:firstLineChars="200"/>
        <w:rPr>
          <w:rFonts w:hint="eastAsia" w:ascii="宋体" w:hAnsi="宋体" w:cs="宋体"/>
          <w:color w:val="auto"/>
          <w:sz w:val="24"/>
        </w:rPr>
      </w:pPr>
      <w:r>
        <w:rPr>
          <w:rFonts w:hint="eastAsia" w:ascii="宋体" w:hAnsi="宋体" w:cs="宋体"/>
          <w:color w:val="auto"/>
          <w:sz w:val="24"/>
        </w:rPr>
        <w:t>3.4供应商不得与本次采购项下设计、编制技术规格和其它文件的公司或提供咨询服务的公司包括其附属机构有任何关联。</w:t>
      </w:r>
    </w:p>
    <w:p w14:paraId="66A54FE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3.5本项目拒绝联合体参加磋商。</w:t>
      </w:r>
    </w:p>
    <w:p w14:paraId="047234F2">
      <w:pPr>
        <w:pStyle w:val="230"/>
        <w:spacing w:line="360" w:lineRule="auto"/>
        <w:rPr>
          <w:rFonts w:hint="eastAsia" w:ascii="宋体" w:hAnsi="宋体" w:cs="宋体"/>
          <w:color w:val="auto"/>
          <w:sz w:val="24"/>
        </w:rPr>
      </w:pPr>
      <w:r>
        <w:rPr>
          <w:rFonts w:hint="eastAsia" w:ascii="宋体" w:hAnsi="宋体" w:cs="宋体"/>
          <w:color w:val="auto"/>
          <w:sz w:val="24"/>
        </w:rPr>
        <w:t xml:space="preserve">    3.6报价授权代表人在同一个项目中只能接受一个供应商的委托参加磋商。</w:t>
      </w:r>
    </w:p>
    <w:p w14:paraId="532A31C8">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3.7</w:t>
      </w:r>
      <w:r>
        <w:rPr>
          <w:rFonts w:hint="eastAsia" w:ascii="宋体" w:hAnsi="宋体" w:cs="宋体"/>
          <w:color w:val="auto"/>
          <w:sz w:val="24"/>
        </w:rPr>
        <w:t>在本项目竞争性磋商公告发布后、磋商截止时间止，经在“信用中国”网站（www.creditchina.gov.cn）、中国政府采购网（www.ccgp.gov.cn）查询，未列入失信被执行人、重大税收违法案件当事人、政府采购严重违法失信行为记录名单。</w:t>
      </w:r>
    </w:p>
    <w:p w14:paraId="4F7101BE">
      <w:pPr>
        <w:snapToGrid w:val="0"/>
        <w:spacing w:line="360" w:lineRule="auto"/>
        <w:rPr>
          <w:rFonts w:hint="eastAsia" w:ascii="宋体" w:hAnsi="宋体" w:cs="宋体"/>
          <w:b/>
          <w:color w:val="auto"/>
          <w:sz w:val="24"/>
        </w:rPr>
      </w:pPr>
      <w:bookmarkStart w:id="41" w:name="_Toc28645_WPSOffice_Level3"/>
      <w:bookmarkStart w:id="42" w:name="_Toc21776_WPSOffice_Level3"/>
      <w:r>
        <w:rPr>
          <w:rFonts w:hint="eastAsia" w:ascii="宋体" w:hAnsi="宋体" w:cs="宋体"/>
          <w:b/>
          <w:color w:val="auto"/>
          <w:sz w:val="24"/>
        </w:rPr>
        <w:t xml:space="preserve">4. </w:t>
      </w:r>
      <w:bookmarkStart w:id="43" w:name="投标费用"/>
      <w:r>
        <w:rPr>
          <w:rFonts w:hint="eastAsia" w:ascii="宋体" w:hAnsi="宋体" w:cs="宋体"/>
          <w:b/>
          <w:color w:val="auto"/>
          <w:sz w:val="24"/>
        </w:rPr>
        <w:t>报价费用</w:t>
      </w:r>
      <w:bookmarkEnd w:id="41"/>
      <w:bookmarkEnd w:id="42"/>
      <w:bookmarkEnd w:id="43"/>
    </w:p>
    <w:p w14:paraId="6D3F8369">
      <w:pPr>
        <w:snapToGrid w:val="0"/>
        <w:spacing w:line="360" w:lineRule="auto"/>
        <w:ind w:firstLine="480"/>
        <w:rPr>
          <w:rFonts w:hint="eastAsia" w:ascii="宋体" w:hAnsi="宋体" w:cs="宋体"/>
          <w:color w:val="auto"/>
          <w:sz w:val="24"/>
        </w:rPr>
      </w:pPr>
      <w:r>
        <w:rPr>
          <w:rFonts w:hint="eastAsia" w:ascii="宋体" w:hAnsi="宋体" w:cs="宋体"/>
          <w:color w:val="auto"/>
          <w:sz w:val="24"/>
        </w:rPr>
        <w:t>4.1 供应商自行承担其参加报价所涉及的一切费用。</w:t>
      </w:r>
    </w:p>
    <w:p w14:paraId="6FCCB8C0">
      <w:pPr>
        <w:snapToGrid w:val="0"/>
        <w:spacing w:line="360" w:lineRule="auto"/>
        <w:ind w:firstLine="480"/>
        <w:rPr>
          <w:rFonts w:hint="eastAsia" w:ascii="宋体" w:hAnsi="宋体" w:cs="宋体"/>
          <w:color w:val="auto"/>
          <w:sz w:val="24"/>
        </w:rPr>
      </w:pPr>
    </w:p>
    <w:p w14:paraId="07ADE46B">
      <w:pPr>
        <w:pStyle w:val="27"/>
        <w:snapToGrid w:val="0"/>
        <w:spacing w:line="360" w:lineRule="auto"/>
        <w:jc w:val="center"/>
        <w:outlineLvl w:val="1"/>
        <w:rPr>
          <w:rFonts w:hint="eastAsia" w:hAnsi="宋体" w:cs="宋体"/>
          <w:b/>
          <w:color w:val="auto"/>
          <w:sz w:val="28"/>
        </w:rPr>
      </w:pPr>
      <w:bookmarkStart w:id="44" w:name="_Toc12767_WPSOffice_Level2"/>
      <w:bookmarkStart w:id="45" w:name="_Toc15484"/>
      <w:bookmarkStart w:id="46" w:name="_Toc26975_WPSOffice_Level2"/>
      <w:r>
        <w:rPr>
          <w:rFonts w:hint="eastAsia" w:hAnsi="宋体" w:cs="宋体"/>
          <w:b/>
          <w:color w:val="auto"/>
          <w:sz w:val="28"/>
        </w:rPr>
        <w:t>二、  竞争性磋商文件</w:t>
      </w:r>
      <w:bookmarkEnd w:id="44"/>
      <w:bookmarkEnd w:id="45"/>
      <w:bookmarkEnd w:id="46"/>
    </w:p>
    <w:p w14:paraId="495BDEEC">
      <w:pPr>
        <w:snapToGrid w:val="0"/>
        <w:spacing w:line="360" w:lineRule="auto"/>
        <w:rPr>
          <w:rFonts w:hint="eastAsia" w:ascii="宋体" w:hAnsi="宋体" w:cs="宋体"/>
          <w:b/>
          <w:color w:val="auto"/>
          <w:sz w:val="24"/>
        </w:rPr>
      </w:pPr>
      <w:bookmarkStart w:id="47" w:name="_Toc28185_WPSOffice_Level3"/>
      <w:bookmarkStart w:id="48" w:name="_Toc14798_WPSOffice_Level3"/>
      <w:r>
        <w:rPr>
          <w:rFonts w:hint="eastAsia" w:ascii="宋体" w:hAnsi="宋体" w:cs="宋体"/>
          <w:b/>
          <w:color w:val="auto"/>
          <w:sz w:val="24"/>
        </w:rPr>
        <w:t xml:space="preserve">5. </w:t>
      </w:r>
      <w:bookmarkStart w:id="49" w:name="招标文件的组成"/>
      <w:r>
        <w:rPr>
          <w:rFonts w:hint="eastAsia" w:ascii="宋体" w:hAnsi="宋体" w:cs="宋体"/>
          <w:b/>
          <w:color w:val="auto"/>
          <w:sz w:val="24"/>
        </w:rPr>
        <w:t>竞争性磋商文件的组成</w:t>
      </w:r>
      <w:bookmarkEnd w:id="47"/>
      <w:bookmarkEnd w:id="48"/>
      <w:bookmarkEnd w:id="49"/>
    </w:p>
    <w:p w14:paraId="28A81721">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5.1竞争性磋商文件用以阐明所需货物及服务采购程序和合同主要条款。竞争性磋商文件由下述部分组成：</w:t>
      </w:r>
    </w:p>
    <w:p w14:paraId="405E7C56">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⑴ 磋商邀请</w:t>
      </w:r>
    </w:p>
    <w:p w14:paraId="3C4C00E6">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⑵ 供应商须知</w:t>
      </w:r>
    </w:p>
    <w:p w14:paraId="59B357A4">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⑶ 采购内容及要求</w:t>
      </w:r>
    </w:p>
    <w:p w14:paraId="7C9016AA">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⑷ 合同主要条款</w:t>
      </w:r>
    </w:p>
    <w:p w14:paraId="2D6C3ACC">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⑸ 响应文件格式</w:t>
      </w:r>
    </w:p>
    <w:p w14:paraId="4F135EFE">
      <w:pPr>
        <w:snapToGrid w:val="0"/>
        <w:spacing w:line="360" w:lineRule="auto"/>
        <w:rPr>
          <w:rFonts w:hint="eastAsia" w:ascii="宋体" w:hAnsi="宋体" w:cs="宋体"/>
          <w:b/>
          <w:color w:val="auto"/>
          <w:sz w:val="24"/>
        </w:rPr>
      </w:pPr>
      <w:bookmarkStart w:id="50" w:name="_Toc430489119"/>
      <w:bookmarkStart w:id="51" w:name="_Toc430490612"/>
      <w:bookmarkStart w:id="52" w:name="_Toc415567497"/>
      <w:bookmarkStart w:id="53" w:name="_Toc430488851"/>
      <w:bookmarkStart w:id="54" w:name="_Toc430488644"/>
      <w:bookmarkStart w:id="55" w:name="_Toc430422413"/>
      <w:bookmarkStart w:id="56" w:name="_Toc430492126"/>
      <w:bookmarkStart w:id="57" w:name="_Toc3675_WPSOffice_Level3"/>
      <w:bookmarkStart w:id="58" w:name="_Toc29096_WPSOffice_Level3"/>
      <w:r>
        <w:rPr>
          <w:rFonts w:hint="eastAsia" w:ascii="宋体" w:hAnsi="宋体" w:cs="宋体"/>
          <w:b/>
          <w:color w:val="auto"/>
          <w:sz w:val="24"/>
        </w:rPr>
        <w:t>6.</w:t>
      </w:r>
      <w:bookmarkEnd w:id="50"/>
      <w:bookmarkEnd w:id="51"/>
      <w:bookmarkEnd w:id="52"/>
      <w:bookmarkEnd w:id="53"/>
      <w:bookmarkEnd w:id="54"/>
      <w:bookmarkEnd w:id="55"/>
      <w:bookmarkEnd w:id="56"/>
      <w:r>
        <w:rPr>
          <w:rFonts w:hint="eastAsia" w:ascii="宋体" w:hAnsi="宋体" w:cs="宋体"/>
          <w:b/>
          <w:color w:val="auto"/>
          <w:sz w:val="24"/>
        </w:rPr>
        <w:t xml:space="preserve"> </w:t>
      </w:r>
      <w:bookmarkStart w:id="59" w:name="招标文件的澄清"/>
      <w:r>
        <w:rPr>
          <w:rFonts w:hint="eastAsia" w:ascii="宋体" w:hAnsi="宋体" w:cs="宋体"/>
          <w:b/>
          <w:color w:val="auto"/>
          <w:sz w:val="24"/>
        </w:rPr>
        <w:t>竞争性磋商文件的澄清</w:t>
      </w:r>
      <w:bookmarkEnd w:id="57"/>
      <w:bookmarkEnd w:id="58"/>
      <w:bookmarkEnd w:id="59"/>
    </w:p>
    <w:p w14:paraId="07103060">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6.1供应商对竞争性磋商文件如有疑点，可要求澄清。要求澄清应按磋商邀请中载明的地址以书面形式通知采购代理机构。采购代理机构将视情况在响应文件递交截止时间5个日历日（如至原定截止时间不足5个日历日，则需延长提交响应文件截止时间）内将不标明来源的书面答复发给已购买竞争性磋商文件的所有供应商，并在采购信息发布的媒体上发布澄清公告。该澄清内容为竞争性磋商文件的组成部分。</w:t>
      </w:r>
    </w:p>
    <w:p w14:paraId="331C6417">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6.2供应商对本次采购活动事项提出疑问的，应在购买竞争性磋商文件之日起7个工作日内将问题以书面形式与本采购代理机构联系。</w:t>
      </w:r>
    </w:p>
    <w:p w14:paraId="2EB30E86">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6.3供应商对竞争性磋商文件提出质疑，应在规定时间内提交由法定代表人或授权代表（提供授权函）签署的书面原件并携带相关资料及企业营业执照副本、税务登记证、组织机构代码证复印件（加盖供应商公章，原件备查，若无法提供原件或与原件不符的，视为虚假质疑）送达采购代理机构。</w:t>
      </w:r>
    </w:p>
    <w:p w14:paraId="69496F5F">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6.4质疑的内容须提供事实依据，供应商在规定时间内未提出疑义的，视为认同本竞争性磋商文件中所有条款，今后将无权提出任何疑义。</w:t>
      </w:r>
    </w:p>
    <w:p w14:paraId="5907AD50">
      <w:pPr>
        <w:snapToGrid w:val="0"/>
        <w:spacing w:line="360" w:lineRule="auto"/>
        <w:rPr>
          <w:rFonts w:hint="eastAsia" w:ascii="宋体" w:hAnsi="宋体" w:cs="宋体"/>
          <w:b/>
          <w:color w:val="auto"/>
          <w:sz w:val="24"/>
        </w:rPr>
      </w:pPr>
      <w:bookmarkStart w:id="60" w:name="_Toc430490613"/>
      <w:bookmarkStart w:id="61" w:name="_Toc430488645"/>
      <w:bookmarkStart w:id="62" w:name="_Toc2518_WPSOffice_Level3"/>
      <w:bookmarkStart w:id="63" w:name="_Toc430492127"/>
      <w:bookmarkStart w:id="64" w:name="_Toc430422414"/>
      <w:bookmarkStart w:id="65" w:name="_Toc430489120"/>
      <w:bookmarkStart w:id="66" w:name="_Toc430488852"/>
      <w:bookmarkStart w:id="67" w:name="_Toc28081_WPSOffice_Level3"/>
      <w:bookmarkStart w:id="68" w:name="_Toc415567498"/>
      <w:r>
        <w:rPr>
          <w:rFonts w:hint="eastAsia" w:ascii="宋体" w:hAnsi="宋体" w:cs="宋体"/>
          <w:b/>
          <w:color w:val="auto"/>
          <w:sz w:val="24"/>
        </w:rPr>
        <w:t xml:space="preserve">7. </w:t>
      </w:r>
      <w:bookmarkStart w:id="69" w:name="招标文件的修改"/>
      <w:r>
        <w:rPr>
          <w:rFonts w:hint="eastAsia" w:ascii="宋体" w:hAnsi="宋体" w:cs="宋体"/>
          <w:b/>
          <w:color w:val="auto"/>
          <w:sz w:val="24"/>
        </w:rPr>
        <w:t>竞争性磋商文件的修改</w:t>
      </w:r>
      <w:bookmarkEnd w:id="60"/>
      <w:bookmarkEnd w:id="61"/>
      <w:bookmarkEnd w:id="62"/>
      <w:bookmarkEnd w:id="63"/>
      <w:bookmarkEnd w:id="64"/>
      <w:bookmarkEnd w:id="65"/>
      <w:bookmarkEnd w:id="66"/>
      <w:bookmarkEnd w:id="67"/>
      <w:bookmarkEnd w:id="68"/>
      <w:bookmarkEnd w:id="69"/>
    </w:p>
    <w:p w14:paraId="335DB953">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7.1至响应文件递交截止日期前5个日历日（如至原定截止时间不足5日，则需延长提交响应文件截止时间），采购代理机构可主动或依供应商要求澄清的问题而修改竞争性磋商文件，并在原信息发布的媒体上发布更正公告，并以书面形式通知所有供应商，供应商在收到该通知后应立即以电报或传真的形式予以确认。该修改内容为竞争性磋商文件的组成部分，对供应商具有约束力。但本须知第7.2条规定的推迟响应文件递交截止时间不受本条约束。</w:t>
      </w:r>
    </w:p>
    <w:p w14:paraId="5872E03A">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7.2 为使供应商在准备响应文件时有合理的时间考虑竞争性磋商文件的修改，采购代理机构可酌情推迟响应文件递交截止时间，但应当至少在响应文件递交截止时间三个日历日前将变更时间以书面形式通知所有供应商，并在采购信息发布的媒体上发布更正公告。该修改内容为竞争性磋商文件的组成部分。在此情况下，</w:t>
      </w:r>
      <w:r>
        <w:rPr>
          <w:rFonts w:hint="eastAsia" w:ascii="宋体" w:hAnsi="宋体" w:cs="宋体"/>
          <w:color w:val="auto"/>
          <w:sz w:val="24"/>
          <w:lang w:eastAsia="zh-CN"/>
        </w:rPr>
        <w:t>采购人</w:t>
      </w:r>
      <w:r>
        <w:rPr>
          <w:rFonts w:hint="eastAsia" w:ascii="宋体" w:hAnsi="宋体" w:cs="宋体"/>
          <w:color w:val="auto"/>
          <w:sz w:val="24"/>
        </w:rPr>
        <w:t>和供应商受响应文件递交截止期制约的所有权利和义务均应延长至新的截止日期。</w:t>
      </w:r>
    </w:p>
    <w:p w14:paraId="549563A0">
      <w:pPr>
        <w:snapToGrid w:val="0"/>
        <w:spacing w:line="360" w:lineRule="auto"/>
        <w:rPr>
          <w:rFonts w:hint="eastAsia" w:ascii="宋体" w:hAnsi="宋体" w:cs="宋体"/>
          <w:color w:val="auto"/>
          <w:sz w:val="24"/>
        </w:rPr>
      </w:pPr>
    </w:p>
    <w:p w14:paraId="57D1844E">
      <w:pPr>
        <w:pStyle w:val="27"/>
        <w:snapToGrid w:val="0"/>
        <w:spacing w:line="360" w:lineRule="auto"/>
        <w:jc w:val="center"/>
        <w:outlineLvl w:val="1"/>
        <w:rPr>
          <w:rFonts w:hint="eastAsia" w:hAnsi="宋体" w:cs="宋体"/>
          <w:b/>
          <w:color w:val="auto"/>
          <w:sz w:val="28"/>
        </w:rPr>
      </w:pPr>
      <w:bookmarkStart w:id="70" w:name="_Toc18475"/>
      <w:bookmarkStart w:id="71" w:name="_Toc29094_WPSOffice_Level2"/>
      <w:bookmarkStart w:id="72" w:name="_Toc12654_WPSOffice_Level2"/>
      <w:r>
        <w:rPr>
          <w:rFonts w:hint="eastAsia" w:hAnsi="宋体" w:cs="宋体"/>
          <w:b/>
          <w:color w:val="auto"/>
          <w:sz w:val="28"/>
        </w:rPr>
        <w:t xml:space="preserve">三、  </w:t>
      </w:r>
      <w:bookmarkStart w:id="73" w:name="投标文件的编写"/>
      <w:r>
        <w:rPr>
          <w:rFonts w:hint="eastAsia" w:hAnsi="宋体" w:cs="宋体"/>
          <w:b/>
          <w:color w:val="auto"/>
          <w:sz w:val="28"/>
        </w:rPr>
        <w:t>响应文件的编写</w:t>
      </w:r>
      <w:bookmarkEnd w:id="70"/>
      <w:bookmarkEnd w:id="71"/>
      <w:bookmarkEnd w:id="72"/>
      <w:bookmarkEnd w:id="73"/>
    </w:p>
    <w:p w14:paraId="4CFB9B90">
      <w:pPr>
        <w:snapToGrid w:val="0"/>
        <w:spacing w:line="360" w:lineRule="auto"/>
        <w:rPr>
          <w:rFonts w:hint="eastAsia" w:ascii="宋体" w:hAnsi="宋体" w:cs="宋体"/>
          <w:b/>
          <w:color w:val="auto"/>
          <w:sz w:val="24"/>
        </w:rPr>
      </w:pPr>
      <w:bookmarkStart w:id="74" w:name="_Toc6408_WPSOffice_Level3"/>
      <w:bookmarkStart w:id="75" w:name="_Toc7229_WPSOffice_Level3"/>
      <w:r>
        <w:rPr>
          <w:rFonts w:hint="eastAsia" w:ascii="宋体" w:hAnsi="宋体" w:cs="宋体"/>
          <w:b/>
          <w:color w:val="auto"/>
          <w:sz w:val="24"/>
        </w:rPr>
        <w:t xml:space="preserve">8. </w:t>
      </w:r>
      <w:bookmarkStart w:id="76" w:name="要求"/>
      <w:r>
        <w:rPr>
          <w:rFonts w:hint="eastAsia" w:ascii="宋体" w:hAnsi="宋体" w:cs="宋体"/>
          <w:b/>
          <w:color w:val="auto"/>
          <w:sz w:val="24"/>
        </w:rPr>
        <w:t>要求</w:t>
      </w:r>
      <w:bookmarkEnd w:id="74"/>
      <w:bookmarkEnd w:id="75"/>
      <w:bookmarkEnd w:id="76"/>
    </w:p>
    <w:p w14:paraId="39C4E1F2">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8.1各供应商应仔细阅读竞争性磋商文件所有内容，按竞争性磋商文件的要求提供响应文件，并保证所提供的全部资料的真实性及准确性，以使其报价对竞争性磋商文件做出实质性响应。各供应商若提供虚假资料，一经发现将取消其全部保证金；虚假资料若在评审过程中发现，还将视为无效报价；若在评审后发现，还将取消其成交资格；并根据本文件和相关法律法规追究其相关责任。</w:t>
      </w:r>
    </w:p>
    <w:p w14:paraId="687E8202">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8.2 除非有另外的规定，供应商可对采购标的一览表所列的全部合同包或部分合同包进行报价，但不得对单一合同包中的货物拆分报价。</w:t>
      </w:r>
      <w:r>
        <w:rPr>
          <w:rFonts w:hint="eastAsia" w:ascii="宋体" w:hAnsi="宋体" w:cs="宋体"/>
          <w:color w:val="auto"/>
          <w:sz w:val="24"/>
          <w:lang w:eastAsia="zh-CN"/>
        </w:rPr>
        <w:t>采购人</w:t>
      </w:r>
      <w:r>
        <w:rPr>
          <w:rFonts w:hint="eastAsia" w:ascii="宋体" w:hAnsi="宋体" w:cs="宋体"/>
          <w:color w:val="auto"/>
          <w:sz w:val="24"/>
        </w:rPr>
        <w:t>不接受有任何可选择性的报价，每一种货物和每一合同包只能有一个报价。总报价应为货物送达</w:t>
      </w:r>
      <w:r>
        <w:rPr>
          <w:rFonts w:hint="eastAsia" w:ascii="宋体" w:hAnsi="宋体" w:cs="宋体"/>
          <w:color w:val="auto"/>
          <w:sz w:val="24"/>
          <w:lang w:eastAsia="zh-CN"/>
        </w:rPr>
        <w:t>采购人</w:t>
      </w:r>
      <w:r>
        <w:rPr>
          <w:rFonts w:hint="eastAsia" w:ascii="宋体" w:hAnsi="宋体" w:cs="宋体"/>
          <w:color w:val="auto"/>
          <w:sz w:val="24"/>
        </w:rPr>
        <w:t>指定地点、经</w:t>
      </w:r>
      <w:r>
        <w:rPr>
          <w:rFonts w:hint="eastAsia" w:ascii="宋体" w:hAnsi="宋体" w:cs="宋体"/>
          <w:color w:val="auto"/>
          <w:sz w:val="24"/>
          <w:lang w:eastAsia="zh-CN"/>
        </w:rPr>
        <w:t>采购人</w:t>
      </w:r>
      <w:r>
        <w:rPr>
          <w:rFonts w:hint="eastAsia" w:ascii="宋体" w:hAnsi="宋体" w:cs="宋体"/>
          <w:color w:val="auto"/>
          <w:sz w:val="24"/>
        </w:rPr>
        <w:t>验收合格并交付使用及售后服务等所有可能发生的费用，包括货物运输等所有费用。</w:t>
      </w:r>
    </w:p>
    <w:p w14:paraId="6322B0AF">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8.3成交人应保证</w:t>
      </w:r>
      <w:r>
        <w:rPr>
          <w:rFonts w:hint="eastAsia" w:ascii="宋体" w:hAnsi="宋体" w:cs="宋体"/>
          <w:color w:val="auto"/>
          <w:sz w:val="24"/>
          <w:lang w:eastAsia="zh-CN"/>
        </w:rPr>
        <w:t>采购人</w:t>
      </w:r>
      <w:r>
        <w:rPr>
          <w:rFonts w:hint="eastAsia" w:ascii="宋体" w:hAnsi="宋体" w:cs="宋体"/>
          <w:color w:val="auto"/>
          <w:sz w:val="24"/>
        </w:rPr>
        <w:t>和采购代理机构不受到第三方关于侵犯专利权、商标权或工业设计权等知识产权的指控，如果出现任何第三方提出指控，成交人应与第三方交涉，承担可能发生的一切法律责任、费用和后果，并赔偿</w:t>
      </w:r>
      <w:r>
        <w:rPr>
          <w:rFonts w:hint="eastAsia" w:ascii="宋体" w:hAnsi="宋体" w:cs="宋体"/>
          <w:color w:val="auto"/>
          <w:sz w:val="24"/>
          <w:lang w:eastAsia="zh-CN"/>
        </w:rPr>
        <w:t>采购人</w:t>
      </w:r>
      <w:r>
        <w:rPr>
          <w:rFonts w:hint="eastAsia" w:ascii="宋体" w:hAnsi="宋体" w:cs="宋体"/>
          <w:color w:val="auto"/>
          <w:sz w:val="24"/>
        </w:rPr>
        <w:t>和采购代理机构的损失。</w:t>
      </w:r>
    </w:p>
    <w:p w14:paraId="5A7C82CC">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8．4在合同履约期间，由于成交人与任何第三方之间的纠纷，影响到合同履约的，成交人需承担可能发生的一切法律责任、费用和后果，并赔偿</w:t>
      </w:r>
      <w:r>
        <w:rPr>
          <w:rFonts w:hint="eastAsia" w:ascii="宋体" w:hAnsi="宋体" w:cs="宋体"/>
          <w:color w:val="auto"/>
          <w:sz w:val="24"/>
          <w:lang w:eastAsia="zh-CN"/>
        </w:rPr>
        <w:t>采购人</w:t>
      </w:r>
      <w:r>
        <w:rPr>
          <w:rFonts w:hint="eastAsia" w:ascii="宋体" w:hAnsi="宋体" w:cs="宋体"/>
          <w:color w:val="auto"/>
          <w:sz w:val="24"/>
        </w:rPr>
        <w:t>和采购代理机构的损失。</w:t>
      </w:r>
    </w:p>
    <w:p w14:paraId="5D4BFE18">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8．5供应商不得以任何形式向与本项目无关的其他单位或人员提供竞争性磋商文件及所附的有关资料，如违反，必须赔偿</w:t>
      </w:r>
      <w:r>
        <w:rPr>
          <w:rFonts w:hint="eastAsia" w:ascii="宋体" w:hAnsi="宋体" w:cs="宋体"/>
          <w:color w:val="auto"/>
          <w:sz w:val="24"/>
          <w:lang w:eastAsia="zh-CN"/>
        </w:rPr>
        <w:t>采购人</w:t>
      </w:r>
      <w:r>
        <w:rPr>
          <w:rFonts w:hint="eastAsia" w:ascii="宋体" w:hAnsi="宋体" w:cs="宋体"/>
          <w:color w:val="auto"/>
          <w:sz w:val="24"/>
        </w:rPr>
        <w:t>和采购代理机构的所有损失，且</w:t>
      </w:r>
      <w:r>
        <w:rPr>
          <w:rFonts w:hint="eastAsia" w:ascii="宋体" w:hAnsi="宋体" w:cs="宋体"/>
          <w:color w:val="auto"/>
          <w:sz w:val="24"/>
          <w:lang w:eastAsia="zh-CN"/>
        </w:rPr>
        <w:t>采购人</w:t>
      </w:r>
      <w:r>
        <w:rPr>
          <w:rFonts w:hint="eastAsia" w:ascii="宋体" w:hAnsi="宋体" w:cs="宋体"/>
          <w:color w:val="auto"/>
          <w:sz w:val="24"/>
        </w:rPr>
        <w:t>和采购代理机构保留追究法律责任的权力。</w:t>
      </w:r>
    </w:p>
    <w:p w14:paraId="6AF0F558">
      <w:pPr>
        <w:snapToGrid w:val="0"/>
        <w:spacing w:line="360" w:lineRule="auto"/>
        <w:rPr>
          <w:rFonts w:hint="eastAsia" w:ascii="宋体" w:hAnsi="宋体" w:cs="宋体"/>
          <w:b/>
          <w:color w:val="auto"/>
          <w:sz w:val="24"/>
        </w:rPr>
      </w:pPr>
      <w:bookmarkStart w:id="77" w:name="_Toc30419_WPSOffice_Level3"/>
      <w:bookmarkStart w:id="78" w:name="_Toc26618_WPSOffice_Level3"/>
      <w:r>
        <w:rPr>
          <w:rFonts w:hint="eastAsia" w:ascii="宋体" w:hAnsi="宋体" w:cs="宋体"/>
          <w:b/>
          <w:color w:val="auto"/>
          <w:sz w:val="24"/>
        </w:rPr>
        <w:t xml:space="preserve">9. </w:t>
      </w:r>
      <w:bookmarkStart w:id="79" w:name="_Hlt221331530"/>
      <w:bookmarkEnd w:id="79"/>
      <w:bookmarkStart w:id="80" w:name="投标文件的语言"/>
      <w:r>
        <w:rPr>
          <w:rFonts w:hint="eastAsia" w:ascii="宋体" w:hAnsi="宋体" w:cs="宋体"/>
          <w:b/>
          <w:color w:val="auto"/>
          <w:sz w:val="24"/>
        </w:rPr>
        <w:t>响应文件的语言</w:t>
      </w:r>
      <w:bookmarkEnd w:id="77"/>
      <w:bookmarkEnd w:id="78"/>
      <w:bookmarkEnd w:id="80"/>
    </w:p>
    <w:p w14:paraId="3AA22591">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9.1竞争性磋商文件中载明的资格或技术商务要求中涉及的供应商提供的证明文件原件属于非中文描述的，供应商必须提供具有翻译资质的机构翻译的中文译本。未按要求提供中文译本的，将认定为该项资格或技术商务要求不符合。翻译机构应为中国翻译协会成员单位，翻译的中文译本应由翻译人员签名并加盖翻译机构公章，同时提供翻译人员翻译资格证书。供应商报价时提供的中文译本、翻译机构及翻译人员资格证书可为复印件，并加盖供应商公章。</w:t>
      </w:r>
    </w:p>
    <w:p w14:paraId="37FE480A">
      <w:pPr>
        <w:snapToGrid w:val="0"/>
        <w:spacing w:line="360" w:lineRule="auto"/>
        <w:ind w:firstLine="420" w:firstLineChars="175"/>
        <w:rPr>
          <w:rFonts w:hint="eastAsia" w:ascii="宋体" w:hAnsi="宋体" w:cs="宋体"/>
          <w:color w:val="auto"/>
          <w:sz w:val="24"/>
        </w:rPr>
      </w:pPr>
      <w:r>
        <w:rPr>
          <w:rFonts w:hint="eastAsia" w:ascii="宋体" w:hAnsi="宋体" w:cs="宋体"/>
          <w:color w:val="auto"/>
          <w:sz w:val="24"/>
        </w:rPr>
        <w:t>9.2各种计量单位及符号应采用国际上统一使用的公制计量单位和符号。</w:t>
      </w:r>
    </w:p>
    <w:p w14:paraId="272E81C8">
      <w:pPr>
        <w:snapToGrid w:val="0"/>
        <w:spacing w:line="360" w:lineRule="auto"/>
        <w:rPr>
          <w:rFonts w:hint="eastAsia" w:ascii="宋体" w:hAnsi="宋体" w:cs="宋体"/>
          <w:color w:val="auto"/>
          <w:sz w:val="24"/>
        </w:rPr>
      </w:pPr>
      <w:bookmarkStart w:id="81" w:name="_Toc22671_WPSOffice_Level3"/>
      <w:bookmarkStart w:id="82" w:name="_Toc3448_WPSOffice_Level3"/>
      <w:r>
        <w:rPr>
          <w:rFonts w:hint="eastAsia" w:ascii="宋体" w:hAnsi="宋体" w:cs="宋体"/>
          <w:b/>
          <w:color w:val="auto"/>
          <w:sz w:val="24"/>
        </w:rPr>
        <w:t xml:space="preserve">10. </w:t>
      </w:r>
      <w:bookmarkStart w:id="83" w:name="投标文件的组成"/>
      <w:r>
        <w:rPr>
          <w:rFonts w:hint="eastAsia" w:ascii="宋体" w:hAnsi="宋体" w:cs="宋体"/>
          <w:b/>
          <w:color w:val="auto"/>
          <w:sz w:val="24"/>
        </w:rPr>
        <w:t>响应文件的组成</w:t>
      </w:r>
      <w:bookmarkEnd w:id="83"/>
      <w:r>
        <w:rPr>
          <w:rFonts w:hint="eastAsia" w:ascii="宋体" w:hAnsi="宋体" w:cs="宋体"/>
          <w:b/>
          <w:color w:val="auto"/>
          <w:sz w:val="24"/>
        </w:rPr>
        <w:t>（</w:t>
      </w:r>
      <w:r>
        <w:rPr>
          <w:rFonts w:hint="eastAsia" w:ascii="宋体" w:hAnsi="宋体" w:cs="宋体"/>
          <w:color w:val="auto"/>
          <w:sz w:val="24"/>
        </w:rPr>
        <w:t>应包括下列部分）：</w:t>
      </w:r>
      <w:bookmarkEnd w:id="81"/>
      <w:bookmarkEnd w:id="82"/>
    </w:p>
    <w:p w14:paraId="6CFFD83E">
      <w:pPr>
        <w:spacing w:line="360" w:lineRule="auto"/>
        <w:jc w:val="left"/>
        <w:rPr>
          <w:rFonts w:hint="eastAsia" w:ascii="宋体" w:hAnsi="宋体" w:cs="宋体"/>
          <w:color w:val="auto"/>
          <w:sz w:val="24"/>
          <w:szCs w:val="22"/>
        </w:rPr>
      </w:pPr>
      <w:bookmarkStart w:id="84" w:name="_Toc7477_WPSOffice_Level3"/>
      <w:bookmarkStart w:id="85" w:name="_Toc15188_WPSOffice_Level3"/>
      <w:r>
        <w:rPr>
          <w:rFonts w:hint="eastAsia" w:ascii="宋体" w:hAnsi="宋体" w:cs="宋体"/>
          <w:color w:val="auto"/>
          <w:sz w:val="24"/>
        </w:rPr>
        <w:t>（1）</w:t>
      </w:r>
      <w:r>
        <w:rPr>
          <w:rFonts w:hint="eastAsia" w:ascii="宋体" w:hAnsi="宋体" w:cs="宋体"/>
          <w:color w:val="auto"/>
          <w:sz w:val="24"/>
          <w:szCs w:val="22"/>
        </w:rPr>
        <w:t>报价一览表</w:t>
      </w:r>
    </w:p>
    <w:p w14:paraId="01748C50">
      <w:pPr>
        <w:spacing w:line="360" w:lineRule="auto"/>
        <w:jc w:val="left"/>
        <w:rPr>
          <w:rFonts w:hint="eastAsia" w:ascii="宋体" w:hAnsi="宋体" w:cs="宋体"/>
          <w:color w:val="auto"/>
          <w:sz w:val="24"/>
          <w:szCs w:val="22"/>
        </w:rPr>
      </w:pPr>
      <w:r>
        <w:rPr>
          <w:rFonts w:hint="eastAsia" w:ascii="宋体" w:hAnsi="宋体" w:cs="宋体"/>
          <w:color w:val="auto"/>
          <w:sz w:val="24"/>
          <w:szCs w:val="22"/>
        </w:rPr>
        <w:t>（2）报价一览表（最终报价）</w:t>
      </w:r>
    </w:p>
    <w:p w14:paraId="073152E9">
      <w:pPr>
        <w:spacing w:line="360" w:lineRule="auto"/>
        <w:jc w:val="left"/>
        <w:rPr>
          <w:rFonts w:hint="eastAsia" w:ascii="宋体" w:hAnsi="宋体" w:cs="宋体"/>
          <w:color w:val="auto"/>
          <w:sz w:val="24"/>
          <w:szCs w:val="22"/>
        </w:rPr>
      </w:pPr>
      <w:r>
        <w:rPr>
          <w:rFonts w:hint="eastAsia" w:ascii="宋体" w:hAnsi="宋体" w:cs="宋体"/>
          <w:color w:val="auto"/>
          <w:sz w:val="24"/>
          <w:szCs w:val="22"/>
        </w:rPr>
        <w:t>（3）报价书</w:t>
      </w:r>
    </w:p>
    <w:p w14:paraId="481D3D2E">
      <w:pPr>
        <w:spacing w:line="360" w:lineRule="auto"/>
        <w:jc w:val="left"/>
        <w:rPr>
          <w:rFonts w:hint="eastAsia" w:ascii="宋体" w:hAnsi="宋体" w:cs="宋体"/>
          <w:color w:val="auto"/>
          <w:sz w:val="24"/>
          <w:szCs w:val="22"/>
        </w:rPr>
      </w:pPr>
      <w:r>
        <w:rPr>
          <w:rFonts w:hint="eastAsia" w:ascii="宋体" w:hAnsi="宋体" w:cs="宋体"/>
          <w:color w:val="auto"/>
          <w:sz w:val="24"/>
          <w:szCs w:val="22"/>
        </w:rPr>
        <w:t>（4）技术和服务要求响应表</w:t>
      </w:r>
    </w:p>
    <w:p w14:paraId="6BB47EAC">
      <w:pPr>
        <w:spacing w:line="360" w:lineRule="auto"/>
        <w:jc w:val="left"/>
        <w:rPr>
          <w:rFonts w:hint="eastAsia" w:ascii="宋体" w:hAnsi="宋体" w:cs="宋体"/>
          <w:color w:val="auto"/>
          <w:sz w:val="24"/>
          <w:szCs w:val="22"/>
        </w:rPr>
      </w:pPr>
      <w:r>
        <w:rPr>
          <w:rFonts w:hint="eastAsia" w:ascii="宋体" w:hAnsi="宋体" w:cs="宋体"/>
          <w:color w:val="auto"/>
          <w:sz w:val="24"/>
          <w:szCs w:val="22"/>
        </w:rPr>
        <w:t>（5）商务条件和其他事项响应表</w:t>
      </w:r>
    </w:p>
    <w:p w14:paraId="1EE076D5">
      <w:pPr>
        <w:spacing w:line="360" w:lineRule="auto"/>
        <w:jc w:val="left"/>
        <w:rPr>
          <w:rFonts w:hint="eastAsia" w:ascii="宋体" w:hAnsi="宋体" w:cs="宋体"/>
          <w:color w:val="auto"/>
          <w:sz w:val="24"/>
          <w:szCs w:val="22"/>
        </w:rPr>
      </w:pPr>
      <w:r>
        <w:rPr>
          <w:rFonts w:hint="eastAsia" w:ascii="宋体" w:hAnsi="宋体" w:cs="宋体"/>
          <w:color w:val="auto"/>
          <w:sz w:val="24"/>
          <w:szCs w:val="22"/>
        </w:rPr>
        <w:t>（6）相关技术、商务、服务响应承诺及资料</w:t>
      </w:r>
    </w:p>
    <w:p w14:paraId="70400B13">
      <w:pPr>
        <w:spacing w:line="360" w:lineRule="auto"/>
        <w:jc w:val="left"/>
        <w:rPr>
          <w:rFonts w:hint="eastAsia" w:ascii="宋体" w:hAnsi="宋体" w:cs="宋体"/>
          <w:color w:val="auto"/>
          <w:sz w:val="24"/>
          <w:szCs w:val="22"/>
        </w:rPr>
      </w:pPr>
      <w:r>
        <w:rPr>
          <w:rFonts w:hint="eastAsia" w:ascii="宋体" w:hAnsi="宋体" w:cs="宋体"/>
          <w:color w:val="auto"/>
          <w:sz w:val="24"/>
          <w:szCs w:val="22"/>
        </w:rPr>
        <w:t>（7）供应商的资格证明文件</w:t>
      </w:r>
    </w:p>
    <w:p w14:paraId="159B95A1">
      <w:pPr>
        <w:spacing w:line="360" w:lineRule="auto"/>
        <w:jc w:val="left"/>
        <w:rPr>
          <w:rFonts w:hint="eastAsia" w:ascii="宋体" w:hAnsi="宋体" w:cs="宋体"/>
          <w:color w:val="auto"/>
          <w:sz w:val="24"/>
          <w:szCs w:val="22"/>
        </w:rPr>
      </w:pPr>
      <w:r>
        <w:rPr>
          <w:rFonts w:hint="eastAsia" w:ascii="宋体" w:hAnsi="宋体" w:cs="宋体"/>
          <w:color w:val="auto"/>
          <w:sz w:val="24"/>
          <w:szCs w:val="22"/>
        </w:rPr>
        <w:t>（8）磋商保证金提交说明函</w:t>
      </w:r>
    </w:p>
    <w:p w14:paraId="553FB22B">
      <w:pPr>
        <w:spacing w:line="360" w:lineRule="auto"/>
        <w:jc w:val="left"/>
        <w:rPr>
          <w:rFonts w:hint="eastAsia" w:ascii="宋体" w:hAnsi="宋体" w:cs="宋体"/>
          <w:color w:val="auto"/>
          <w:sz w:val="24"/>
          <w:szCs w:val="22"/>
        </w:rPr>
      </w:pPr>
      <w:r>
        <w:rPr>
          <w:rFonts w:hint="eastAsia" w:ascii="宋体" w:hAnsi="宋体" w:cs="宋体"/>
          <w:color w:val="auto"/>
          <w:sz w:val="24"/>
          <w:szCs w:val="22"/>
        </w:rPr>
        <w:t>（9）退还磋商保证金申请函</w:t>
      </w:r>
    </w:p>
    <w:p w14:paraId="0173CFEF">
      <w:pPr>
        <w:spacing w:line="360" w:lineRule="auto"/>
        <w:jc w:val="left"/>
        <w:rPr>
          <w:rFonts w:hint="eastAsia" w:ascii="宋体" w:hAnsi="宋体" w:cs="宋体"/>
          <w:color w:val="auto"/>
          <w:sz w:val="24"/>
          <w:szCs w:val="22"/>
        </w:rPr>
      </w:pPr>
      <w:r>
        <w:rPr>
          <w:rFonts w:hint="eastAsia" w:ascii="宋体" w:hAnsi="宋体" w:cs="宋体"/>
          <w:color w:val="auto"/>
          <w:sz w:val="24"/>
          <w:szCs w:val="22"/>
        </w:rPr>
        <w:t>（10）供应商应交的其他资料</w:t>
      </w:r>
    </w:p>
    <w:p w14:paraId="42C65619">
      <w:pPr>
        <w:snapToGrid w:val="0"/>
        <w:spacing w:line="440" w:lineRule="exact"/>
        <w:rPr>
          <w:rFonts w:hint="eastAsia" w:ascii="宋体" w:hAnsi="宋体" w:cs="宋体"/>
          <w:color w:val="auto"/>
          <w:sz w:val="24"/>
        </w:rPr>
      </w:pPr>
      <w:r>
        <w:rPr>
          <w:rFonts w:hint="eastAsia" w:ascii="宋体" w:hAnsi="宋体" w:cs="宋体"/>
          <w:b/>
          <w:color w:val="auto"/>
          <w:sz w:val="24"/>
        </w:rPr>
        <w:t xml:space="preserve">11. </w:t>
      </w:r>
      <w:bookmarkStart w:id="86" w:name="投标有效期"/>
      <w:r>
        <w:rPr>
          <w:rFonts w:hint="eastAsia" w:ascii="宋体" w:hAnsi="宋体" w:cs="宋体"/>
          <w:b/>
          <w:color w:val="auto"/>
          <w:sz w:val="24"/>
        </w:rPr>
        <w:t>报价有效期</w:t>
      </w:r>
      <w:bookmarkEnd w:id="84"/>
      <w:bookmarkEnd w:id="85"/>
      <w:bookmarkEnd w:id="86"/>
    </w:p>
    <w:p w14:paraId="09349BA1">
      <w:pPr>
        <w:snapToGrid w:val="0"/>
        <w:spacing w:line="440" w:lineRule="exact"/>
        <w:ind w:firstLine="523" w:firstLineChars="218"/>
        <w:rPr>
          <w:rFonts w:hint="eastAsia" w:ascii="宋体" w:hAnsi="宋体" w:cs="宋体"/>
          <w:color w:val="auto"/>
          <w:sz w:val="24"/>
        </w:rPr>
      </w:pPr>
      <w:r>
        <w:rPr>
          <w:rFonts w:hint="eastAsia" w:ascii="宋体" w:hAnsi="宋体" w:cs="宋体"/>
          <w:color w:val="auto"/>
          <w:sz w:val="24"/>
        </w:rPr>
        <w:t>11.1响应文件从供应商须知前附表第4项所规定的响应文件递交截止期之后开始生效，在供应商须知前附表第3项所规定的期限内保持有效。有效期不足将导致其响应文件被拒绝。</w:t>
      </w:r>
    </w:p>
    <w:p w14:paraId="7C471BF6">
      <w:pPr>
        <w:snapToGrid w:val="0"/>
        <w:spacing w:line="460" w:lineRule="exact"/>
        <w:ind w:firstLine="523" w:firstLineChars="218"/>
        <w:rPr>
          <w:rFonts w:hint="eastAsia" w:ascii="宋体" w:hAnsi="宋体" w:cs="宋体"/>
          <w:color w:val="auto"/>
          <w:sz w:val="24"/>
        </w:rPr>
      </w:pPr>
      <w:r>
        <w:rPr>
          <w:rFonts w:hint="eastAsia" w:ascii="宋体" w:hAnsi="宋体" w:cs="宋体"/>
          <w:color w:val="auto"/>
          <w:sz w:val="24"/>
        </w:rPr>
        <w:t>11.2特殊情况下采购代理机构可于报价有效期满之前书面要求供应商同意延长有效期，供应商应在采购代理机构规定的期限内以书面形式予以答复。供应商可以拒绝上述要求而其磋商保证金可按规定予以退还。供应商答复不明确或者逾期未答复的，均视为拒绝上述要求。对于接受该要求的供应商，既不要求也不允许其修改响应文件，但将要求其相应延长磋商保证金有效期，有关退还和不予退还磋商保证金的规定在报价有效期延长期内继续有效。</w:t>
      </w:r>
    </w:p>
    <w:p w14:paraId="76766846">
      <w:pPr>
        <w:snapToGrid w:val="0"/>
        <w:spacing w:line="360" w:lineRule="auto"/>
        <w:rPr>
          <w:rFonts w:hint="eastAsia" w:ascii="宋体" w:hAnsi="宋体" w:cs="宋体"/>
          <w:b/>
          <w:color w:val="auto"/>
          <w:sz w:val="24"/>
        </w:rPr>
      </w:pPr>
      <w:bookmarkStart w:id="87" w:name="_Toc28013_WPSOffice_Level3"/>
      <w:bookmarkStart w:id="88" w:name="_Toc16423_WPSOffice_Level3"/>
      <w:r>
        <w:rPr>
          <w:rFonts w:hint="eastAsia" w:ascii="宋体" w:hAnsi="宋体" w:cs="宋体"/>
          <w:b/>
          <w:color w:val="auto"/>
          <w:sz w:val="24"/>
        </w:rPr>
        <w:t>12. 磋商保证金</w:t>
      </w:r>
      <w:bookmarkEnd w:id="87"/>
      <w:bookmarkEnd w:id="88"/>
    </w:p>
    <w:p w14:paraId="644401D7">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12.1 磋商保证金为响应文件的组成部分之一。</w:t>
      </w:r>
    </w:p>
    <w:p w14:paraId="3B0DD514">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12.2 供应商应在提交响应文件之前向采购代理机构缴交供应商须知前附表要求的磋商保证金。</w:t>
      </w:r>
    </w:p>
    <w:p w14:paraId="717B17BB">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12.3 磋商保证金用于保护本次采购活动免受供应商的行为而引起的风险。</w:t>
      </w:r>
    </w:p>
    <w:p w14:paraId="570AAE4E">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12.4磋商保证金以转账或电汇形式提交，不直接接受现金或汇票；供应商在缴纳保证金时必须以其基本账户缴纳。供应商在交纳磋商保证金时，必须严格按规定的金额交纳，并在办理交纳手续时必须注明项目编号、项目名称.若因供应商未按上述规定缴交而引起查询不到，后果由供应商自行承担。</w:t>
      </w:r>
    </w:p>
    <w:p w14:paraId="2FC7823C">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12.5未按规定缴交磋商保证金的，将被视为无效报价。</w:t>
      </w:r>
    </w:p>
    <w:p w14:paraId="20E27A3F">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12.6采购代理机构将在成交通知书发出之日后</w:t>
      </w:r>
      <w:r>
        <w:rPr>
          <w:rFonts w:hint="eastAsia" w:ascii="宋体" w:hAnsi="宋体" w:cs="宋体"/>
          <w:color w:val="auto"/>
          <w:sz w:val="24"/>
          <w:szCs w:val="24"/>
          <w:shd w:val="clear" w:color="auto" w:fill="FFFFFF"/>
        </w:rPr>
        <w:t>5个工作日内</w:t>
      </w:r>
      <w:r>
        <w:rPr>
          <w:rFonts w:hint="eastAsia" w:ascii="宋体" w:hAnsi="宋体" w:cs="宋体"/>
          <w:color w:val="auto"/>
          <w:sz w:val="24"/>
        </w:rPr>
        <w:t>予以原额无息退还落标供应商的磋商保证金。</w:t>
      </w:r>
    </w:p>
    <w:p w14:paraId="00150997">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12.7成交人全额缴纳履约保证金（若有）并签订合同后</w:t>
      </w:r>
      <w:r>
        <w:rPr>
          <w:rFonts w:hint="eastAsia" w:ascii="宋体" w:hAnsi="宋体" w:cs="宋体"/>
          <w:color w:val="auto"/>
          <w:sz w:val="24"/>
          <w:szCs w:val="24"/>
          <w:shd w:val="clear" w:color="auto" w:fill="FFFFFF"/>
        </w:rPr>
        <w:t>5个工作日内</w:t>
      </w:r>
      <w:r>
        <w:rPr>
          <w:rFonts w:hint="eastAsia" w:ascii="宋体" w:hAnsi="宋体" w:cs="宋体"/>
          <w:color w:val="auto"/>
          <w:sz w:val="24"/>
        </w:rPr>
        <w:t>其磋商保证金予以原额无息退还。</w:t>
      </w:r>
    </w:p>
    <w:p w14:paraId="163FAC2A">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12.8磋商保证金的有效期与报价有效期一致。</w:t>
      </w:r>
    </w:p>
    <w:p w14:paraId="399BA16A">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12.9退回保证金时，供应商须提供其基本账户、开户名，否则不予办理，退回时将采用转账或电汇方式。</w:t>
      </w:r>
    </w:p>
    <w:p w14:paraId="6E0E592F">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12.10若成交人因故未签订合同或未履行合同的不予退还保证金。</w:t>
      </w:r>
    </w:p>
    <w:p w14:paraId="6C2CB9AC">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12.11发生以下情况之一的，磋商保证金将不予退还：</w:t>
      </w:r>
    </w:p>
    <w:p w14:paraId="13CD81EA">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（1）供应商递交响应文件后且在报价有效期内撤回文件，或虚假承诺；</w:t>
      </w:r>
    </w:p>
    <w:p w14:paraId="5E8FEA80">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（2）提供不真实的或伪造相关报价资料；</w:t>
      </w:r>
    </w:p>
    <w:p w14:paraId="7AB78351">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（3）不接受竞争性磋商文件中有关规定，对其报价有误之处的修正；</w:t>
      </w:r>
    </w:p>
    <w:p w14:paraId="60C04445">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（4）恶意干扰招报价活动，不听劝阻的；</w:t>
      </w:r>
    </w:p>
    <w:p w14:paraId="35189425">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（5）若供应商被磋商小组认定为串通报价的；</w:t>
      </w:r>
    </w:p>
    <w:p w14:paraId="5AEDF2CF">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（6）成交人未按规定缴纳履约保证金（若有）</w:t>
      </w:r>
    </w:p>
    <w:p w14:paraId="23902D55">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（7）成交人未能做到：按成交通知书要求的日期签订合同；或按竞争性磋商文件规定和响应文件承诺履行其义务。</w:t>
      </w:r>
    </w:p>
    <w:p w14:paraId="71347CBE">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上述不予退还磋商保证金的情况给</w:t>
      </w:r>
      <w:r>
        <w:rPr>
          <w:rFonts w:hint="eastAsia" w:ascii="宋体" w:hAnsi="宋体" w:cs="宋体"/>
          <w:color w:val="auto"/>
          <w:sz w:val="24"/>
          <w:lang w:eastAsia="zh-CN"/>
        </w:rPr>
        <w:t>采购人</w:t>
      </w:r>
      <w:r>
        <w:rPr>
          <w:rFonts w:hint="eastAsia" w:ascii="宋体" w:hAnsi="宋体" w:cs="宋体"/>
          <w:color w:val="auto"/>
          <w:sz w:val="24"/>
        </w:rPr>
        <w:t>或采购代理机构造成损失的，还要承担赔偿责任。</w:t>
      </w:r>
    </w:p>
    <w:p w14:paraId="7AD85656">
      <w:pPr>
        <w:snapToGrid w:val="0"/>
        <w:spacing w:line="360" w:lineRule="auto"/>
        <w:rPr>
          <w:rFonts w:hint="eastAsia" w:ascii="宋体" w:hAnsi="宋体" w:cs="宋体"/>
          <w:b/>
          <w:color w:val="auto"/>
          <w:sz w:val="24"/>
        </w:rPr>
      </w:pPr>
      <w:bookmarkStart w:id="89" w:name="_Toc8198_WPSOffice_Level3"/>
      <w:bookmarkStart w:id="90" w:name="_Toc14671_WPSOffice_Level3"/>
      <w:r>
        <w:rPr>
          <w:rFonts w:hint="eastAsia" w:ascii="宋体" w:hAnsi="宋体" w:cs="宋体"/>
          <w:b/>
          <w:color w:val="auto"/>
          <w:sz w:val="24"/>
        </w:rPr>
        <w:t xml:space="preserve">13. </w:t>
      </w:r>
      <w:bookmarkStart w:id="91" w:name="投标文件的格式"/>
      <w:r>
        <w:rPr>
          <w:rFonts w:hint="eastAsia" w:ascii="宋体" w:hAnsi="宋体" w:cs="宋体"/>
          <w:b/>
          <w:color w:val="auto"/>
          <w:sz w:val="24"/>
        </w:rPr>
        <w:t>响应文件的格式</w:t>
      </w:r>
      <w:bookmarkEnd w:id="89"/>
      <w:bookmarkEnd w:id="90"/>
      <w:bookmarkEnd w:id="91"/>
    </w:p>
    <w:p w14:paraId="31AE30BC">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13.1</w:t>
      </w:r>
      <w:r>
        <w:rPr>
          <w:rFonts w:hint="eastAsia" w:ascii="宋体" w:hAnsi="宋体" w:cs="宋体"/>
          <w:b/>
          <w:color w:val="auto"/>
          <w:sz w:val="24"/>
        </w:rPr>
        <w:t>供应商须递交按 “响应文件的编写”第10条规定文件组成的响应文件正本一份，副本</w:t>
      </w:r>
      <w:r>
        <w:rPr>
          <w:rFonts w:hint="eastAsia" w:ascii="宋体" w:hAnsi="宋体" w:cs="宋体"/>
          <w:b/>
          <w:color w:val="auto"/>
          <w:sz w:val="24"/>
          <w:lang w:eastAsia="zh-CN"/>
        </w:rPr>
        <w:t>三份</w:t>
      </w:r>
      <w:r>
        <w:rPr>
          <w:rFonts w:hint="eastAsia" w:ascii="宋体" w:hAnsi="宋体" w:cs="宋体"/>
          <w:b/>
          <w:color w:val="auto"/>
          <w:sz w:val="24"/>
        </w:rPr>
        <w:t>。</w:t>
      </w:r>
      <w:r>
        <w:rPr>
          <w:rFonts w:hint="eastAsia" w:ascii="宋体" w:hAnsi="宋体" w:cs="宋体"/>
          <w:b/>
          <w:color w:val="auto"/>
          <w:sz w:val="24"/>
          <w:lang w:val="zh-CN"/>
        </w:rPr>
        <w:t>正本与副本都</w:t>
      </w:r>
      <w:r>
        <w:rPr>
          <w:rFonts w:hint="eastAsia" w:ascii="宋体" w:hAnsi="宋体" w:cs="宋体"/>
          <w:b/>
          <w:color w:val="auto"/>
          <w:sz w:val="24"/>
        </w:rPr>
        <w:t>必须用A4幅面纸张打印装订，应编制封面、目录、页码，必须用胶装（为永久性、无破坏不可拆分）装订成册，副本可以用正本的完整复印件，并在封面标明“正本”、“副本”字样。正本与副本如有不一致，则以正本为准。供应商未按上述要求制作响应文件的视为响应文件无效。</w:t>
      </w:r>
    </w:p>
    <w:p w14:paraId="28F392FE">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13.2 响应文件应由供应商的法定代表人或者其授权代表签字并加盖公章（</w:t>
      </w:r>
      <w:r>
        <w:rPr>
          <w:rFonts w:hint="eastAsia" w:ascii="宋体" w:hAnsi="宋体" w:cs="宋体"/>
          <w:b/>
          <w:color w:val="auto"/>
          <w:sz w:val="24"/>
        </w:rPr>
        <w:t>非投标专用章或业务章，下同</w:t>
      </w:r>
      <w:r>
        <w:rPr>
          <w:rFonts w:hint="eastAsia" w:ascii="宋体" w:hAnsi="宋体" w:cs="宋体"/>
          <w:color w:val="auto"/>
          <w:sz w:val="24"/>
        </w:rPr>
        <w:t>），如由后者签字，应提供“法定代表人授权委托书”。</w:t>
      </w:r>
    </w:p>
    <w:p w14:paraId="7F0D760C">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13.3除非有另外的规定或许可，报价使用货币为人民币。</w:t>
      </w:r>
    </w:p>
    <w:p w14:paraId="5E862E31">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13.4供应商应提交证明其拟供货物符合竞争性磋商文件要求的技术响应文件，该文件可以是文字资料、图纸和数据，并须提供货物主要技术性能的详细描述。</w:t>
      </w:r>
    </w:p>
    <w:p w14:paraId="3371BBF1">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13.5响应文件的正本和全部副本均应使用不能擦去的墨料或墨水打印、书写，并由法定代表人或其授权代表（报价代表）签署，盖供应商公章。</w:t>
      </w:r>
    </w:p>
    <w:p w14:paraId="7D66EF2E">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 xml:space="preserve">13.6全套响应文件应无涂改和行间插字，除非这些改动是根据采购代理机构的指示进行的，或者是为改正供应商造成的必须修改的错误而进行的。有改动时，修改处应由授权代表签署证明或加盖校正章。 </w:t>
      </w:r>
    </w:p>
    <w:p w14:paraId="427B9217">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13.7未按本须知规定的格式填写响应文件、响应文件字迹模糊不清的，其报价将被拒绝。</w:t>
      </w:r>
    </w:p>
    <w:p w14:paraId="2CE1DFD3">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13.8竞争性磋商文件中要求供应商提供的报价资格证明文件及相关材料的复印件（证书、证件必须在有效期内，若发生变更的，应按有关规定办理完变更手续后方可参加报价，并以发证机关核准的变更为准）加盖供应商公章。</w:t>
      </w:r>
    </w:p>
    <w:p w14:paraId="6B5DC0EB">
      <w:pPr>
        <w:snapToGrid w:val="0"/>
        <w:spacing w:line="360" w:lineRule="auto"/>
        <w:ind w:firstLine="457" w:firstLineChars="218"/>
        <w:rPr>
          <w:rFonts w:hint="eastAsia" w:ascii="宋体" w:hAnsi="宋体" w:cs="宋体"/>
          <w:color w:val="auto"/>
        </w:rPr>
      </w:pPr>
    </w:p>
    <w:p w14:paraId="2DA96EBE">
      <w:pPr>
        <w:pStyle w:val="27"/>
        <w:snapToGrid w:val="0"/>
        <w:spacing w:line="360" w:lineRule="auto"/>
        <w:jc w:val="center"/>
        <w:outlineLvl w:val="1"/>
        <w:rPr>
          <w:rFonts w:hint="eastAsia" w:hAnsi="宋体" w:cs="宋体"/>
          <w:b/>
          <w:color w:val="auto"/>
          <w:sz w:val="28"/>
        </w:rPr>
      </w:pPr>
      <w:bookmarkStart w:id="92" w:name="_Toc31164_WPSOffice_Level2"/>
      <w:bookmarkStart w:id="93" w:name="_Toc18889_WPSOffice_Level2"/>
      <w:bookmarkStart w:id="94" w:name="_Toc18424"/>
      <w:r>
        <w:rPr>
          <w:rFonts w:hint="eastAsia" w:hAnsi="宋体" w:cs="宋体"/>
          <w:b/>
          <w:color w:val="auto"/>
          <w:sz w:val="28"/>
        </w:rPr>
        <w:t xml:space="preserve">四、 </w:t>
      </w:r>
      <w:bookmarkStart w:id="95" w:name="投标文件的提交"/>
      <w:r>
        <w:rPr>
          <w:rFonts w:hint="eastAsia" w:hAnsi="宋体" w:cs="宋体"/>
          <w:b/>
          <w:color w:val="auto"/>
          <w:sz w:val="28"/>
        </w:rPr>
        <w:t>响应文件的提交</w:t>
      </w:r>
      <w:bookmarkEnd w:id="92"/>
      <w:bookmarkEnd w:id="93"/>
      <w:bookmarkEnd w:id="94"/>
      <w:bookmarkEnd w:id="95"/>
    </w:p>
    <w:p w14:paraId="0BF9DB48">
      <w:pPr>
        <w:snapToGrid w:val="0"/>
        <w:spacing w:line="360" w:lineRule="auto"/>
        <w:rPr>
          <w:rFonts w:hint="eastAsia" w:ascii="宋体" w:hAnsi="宋体" w:cs="宋体"/>
          <w:b/>
          <w:color w:val="auto"/>
          <w:sz w:val="24"/>
        </w:rPr>
      </w:pPr>
      <w:bookmarkStart w:id="96" w:name="_Toc32442_WPSOffice_Level3"/>
      <w:bookmarkStart w:id="97" w:name="_Toc29578_WPSOffice_Level3"/>
      <w:r>
        <w:rPr>
          <w:rFonts w:hint="eastAsia" w:ascii="宋体" w:hAnsi="宋体" w:cs="宋体"/>
          <w:b/>
          <w:color w:val="auto"/>
          <w:sz w:val="24"/>
        </w:rPr>
        <w:t>14.</w:t>
      </w:r>
      <w:bookmarkStart w:id="98" w:name="投标文件的密封、标记和递交"/>
      <w:r>
        <w:rPr>
          <w:rFonts w:hint="eastAsia" w:ascii="宋体" w:hAnsi="宋体" w:cs="宋体"/>
          <w:b/>
          <w:color w:val="auto"/>
          <w:sz w:val="24"/>
        </w:rPr>
        <w:t>响应文件的密封、标记和递交</w:t>
      </w:r>
      <w:bookmarkEnd w:id="96"/>
      <w:bookmarkEnd w:id="97"/>
      <w:bookmarkEnd w:id="98"/>
    </w:p>
    <w:p w14:paraId="54B7D2A0">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14.1</w:t>
      </w:r>
      <w:r>
        <w:rPr>
          <w:rFonts w:hint="eastAsia" w:ascii="宋体" w:hAnsi="宋体" w:cs="宋体"/>
          <w:b/>
          <w:color w:val="auto"/>
          <w:sz w:val="24"/>
        </w:rPr>
        <w:t>供应商应将响应文件的正本和全部副本分别用信封密封，包装袋上应标明项目编号、供应商名称、项目名称字样。响应文件未密封将导致报价被拒绝。</w:t>
      </w:r>
    </w:p>
    <w:p w14:paraId="0BA090C9">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14.2 每一密封处均应注明“</w:t>
      </w:r>
      <w:r>
        <w:rPr>
          <w:rFonts w:hint="eastAsia" w:ascii="宋体" w:hAnsi="宋体" w:cs="宋体"/>
          <w:color w:val="auto"/>
          <w:sz w:val="24"/>
          <w:u w:val="single"/>
        </w:rPr>
        <w:t xml:space="preserve">于     </w:t>
      </w:r>
      <w:r>
        <w:rPr>
          <w:rFonts w:hint="eastAsia" w:ascii="宋体" w:hAnsi="宋体" w:cs="宋体"/>
          <w:color w:val="auto"/>
          <w:sz w:val="24"/>
        </w:rPr>
        <w:t>之前（指采购邀请中规定的响应文件递交截止时间）不准启封”的字样，并加盖供应商公章。</w:t>
      </w:r>
    </w:p>
    <w:p w14:paraId="2079343B">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14.3响应文件由专人送交，供应商应将响应文件按照本须知第14.1条至第14.2条的规定进行密封和标记后，按供应商须知前附表注明的时间地址送至接收人。</w:t>
      </w:r>
    </w:p>
    <w:p w14:paraId="2CE8FFCF">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14.4如果未按上述规定进行密封和标记，采购代理机构将不承担由此造成的对响应文件的误投或提前拆封的责任。</w:t>
      </w:r>
    </w:p>
    <w:p w14:paraId="4B3BC426">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14.5响应文件应在磋商邀请中规定的截止时间前送达，迟到的响应文件将被拒收。</w:t>
      </w:r>
    </w:p>
    <w:p w14:paraId="7039FEB1">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14.6供应商在响应文件递交截止时间前，可以对所提交的响应文件进行修改或者撤回，并书面通知采购代理机构。修改的内容和撤回通知应当按本须知要求签署、盖章、密封，并作为响应文件的组成部分。</w:t>
      </w:r>
    </w:p>
    <w:p w14:paraId="6DCA56A2">
      <w:pPr>
        <w:snapToGrid w:val="0"/>
        <w:spacing w:line="360" w:lineRule="auto"/>
        <w:ind w:firstLine="523" w:firstLineChars="218"/>
        <w:rPr>
          <w:rFonts w:hint="eastAsia" w:ascii="宋体" w:hAnsi="宋体" w:cs="宋体"/>
          <w:color w:val="auto"/>
          <w:sz w:val="24"/>
        </w:rPr>
      </w:pPr>
      <w:r>
        <w:rPr>
          <w:rFonts w:hint="eastAsia" w:ascii="宋体" w:hAnsi="宋体" w:cs="宋体"/>
          <w:color w:val="auto"/>
          <w:sz w:val="24"/>
        </w:rPr>
        <w:t>14.7供应商在响应文件递交截止期后不得修改、撤回响应文件。供应商在响应文件递交截止期后修改响应文件的，其报价被拒绝。</w:t>
      </w:r>
    </w:p>
    <w:p w14:paraId="20A532D0">
      <w:pPr>
        <w:snapToGrid w:val="0"/>
        <w:spacing w:line="360" w:lineRule="auto"/>
        <w:ind w:firstLine="523" w:firstLineChars="218"/>
        <w:jc w:val="left"/>
        <w:rPr>
          <w:rFonts w:hint="eastAsia" w:ascii="宋体" w:hAnsi="宋体" w:cs="宋体"/>
          <w:color w:val="auto"/>
          <w:sz w:val="24"/>
          <w:szCs w:val="22"/>
          <w:highlight w:val="yellow"/>
        </w:rPr>
      </w:pPr>
      <w:r>
        <w:rPr>
          <w:rFonts w:hint="eastAsia" w:ascii="宋体" w:hAnsi="宋体" w:cs="宋体"/>
          <w:color w:val="auto"/>
          <w:sz w:val="24"/>
          <w:szCs w:val="22"/>
        </w:rPr>
        <w:t>14.8</w:t>
      </w:r>
      <w:bookmarkStart w:id="99" w:name="_Toc7936_WPSOffice_Level2"/>
      <w:bookmarkStart w:id="100" w:name="_Toc24125_WPSOffice_Level2"/>
      <w:r>
        <w:rPr>
          <w:rFonts w:hint="eastAsia" w:ascii="宋体" w:hAnsi="宋体" w:cs="宋体"/>
          <w:color w:val="auto"/>
          <w:sz w:val="24"/>
          <w:szCs w:val="22"/>
        </w:rPr>
        <w:t>除《政府采购竞争性磋商采购方式管理暂行办法》等相关法律法规及财政部门颁布的规范性文件允许的两家供应商进行竞争性磋商采购情形外，首次响应文件递交截止时间后，提交响应文件的供应商不足三家的，本次竞争性磋商活动终止，除采购任务取消情形外，</w:t>
      </w:r>
      <w:r>
        <w:rPr>
          <w:rFonts w:hint="eastAsia" w:ascii="宋体" w:hAnsi="宋体" w:cs="宋体"/>
          <w:color w:val="auto"/>
          <w:sz w:val="24"/>
          <w:szCs w:val="22"/>
          <w:lang w:eastAsia="zh-CN"/>
        </w:rPr>
        <w:t>采购人</w:t>
      </w:r>
      <w:r>
        <w:rPr>
          <w:rFonts w:hint="eastAsia" w:ascii="宋体" w:hAnsi="宋体" w:cs="宋体"/>
          <w:color w:val="auto"/>
          <w:sz w:val="24"/>
          <w:szCs w:val="22"/>
        </w:rPr>
        <w:t>将依法重新组织采购或者采取其他方式采购。</w:t>
      </w:r>
    </w:p>
    <w:p w14:paraId="7DB07461">
      <w:pPr>
        <w:snapToGrid w:val="0"/>
        <w:spacing w:line="360" w:lineRule="auto"/>
        <w:ind w:firstLine="613" w:firstLineChars="218"/>
        <w:jc w:val="center"/>
        <w:outlineLvl w:val="1"/>
        <w:rPr>
          <w:rFonts w:hint="eastAsia" w:ascii="宋体" w:hAnsi="宋体" w:cs="宋体"/>
          <w:b/>
          <w:color w:val="auto"/>
          <w:sz w:val="28"/>
        </w:rPr>
      </w:pPr>
      <w:bookmarkStart w:id="101" w:name="_Toc8432"/>
      <w:r>
        <w:rPr>
          <w:rFonts w:hint="eastAsia" w:ascii="宋体" w:hAnsi="宋体" w:cs="宋体"/>
          <w:b/>
          <w:color w:val="auto"/>
          <w:sz w:val="28"/>
        </w:rPr>
        <w:t xml:space="preserve">五、  </w:t>
      </w:r>
      <w:bookmarkStart w:id="102" w:name="投标文件的评估和比较"/>
      <w:r>
        <w:rPr>
          <w:rFonts w:hint="eastAsia" w:ascii="宋体" w:hAnsi="宋体" w:cs="宋体"/>
          <w:b/>
          <w:color w:val="auto"/>
          <w:sz w:val="28"/>
        </w:rPr>
        <w:t>响应文件的评估和比较</w:t>
      </w:r>
      <w:bookmarkEnd w:id="99"/>
      <w:bookmarkEnd w:id="100"/>
      <w:bookmarkEnd w:id="101"/>
      <w:bookmarkEnd w:id="102"/>
    </w:p>
    <w:p w14:paraId="025BEBC7">
      <w:pPr>
        <w:tabs>
          <w:tab w:val="left" w:pos="3330"/>
        </w:tabs>
        <w:snapToGrid w:val="0"/>
        <w:spacing w:line="360" w:lineRule="auto"/>
        <w:rPr>
          <w:rFonts w:hint="eastAsia" w:ascii="宋体" w:hAnsi="宋体" w:cs="宋体"/>
          <w:b/>
          <w:color w:val="auto"/>
          <w:sz w:val="24"/>
        </w:rPr>
      </w:pPr>
      <w:bookmarkStart w:id="103" w:name="_Toc28767_WPSOffice_Level3"/>
      <w:bookmarkStart w:id="104" w:name="_Toc2284_WPSOffice_Level3"/>
      <w:r>
        <w:rPr>
          <w:rFonts w:hint="eastAsia" w:ascii="宋体" w:hAnsi="宋体" w:cs="宋体"/>
          <w:b/>
          <w:color w:val="auto"/>
          <w:sz w:val="24"/>
        </w:rPr>
        <w:t>15．磋商小组</w:t>
      </w:r>
      <w:bookmarkEnd w:id="103"/>
      <w:bookmarkEnd w:id="104"/>
    </w:p>
    <w:p w14:paraId="5481312C">
      <w:pPr>
        <w:snapToGrid w:val="0"/>
        <w:spacing w:line="360" w:lineRule="auto"/>
        <w:ind w:firstLine="240" w:firstLineChars="100"/>
        <w:rPr>
          <w:rFonts w:hint="eastAsia" w:ascii="宋体" w:hAnsi="宋体" w:cs="宋体"/>
          <w:color w:val="auto"/>
          <w:sz w:val="24"/>
        </w:rPr>
      </w:pPr>
      <w:r>
        <w:rPr>
          <w:rFonts w:hint="eastAsia" w:ascii="宋体" w:hAnsi="宋体" w:cs="宋体"/>
          <w:color w:val="auto"/>
          <w:sz w:val="24"/>
        </w:rPr>
        <w:t xml:space="preserve">  15.1采购代理机构根据采购货物和服务的特点依法组建磋商小组。磋商小组由技术、经济、法律方面的专家和</w:t>
      </w:r>
      <w:r>
        <w:rPr>
          <w:rFonts w:hint="eastAsia" w:ascii="宋体" w:hAnsi="宋体" w:cs="宋体"/>
          <w:color w:val="auto"/>
          <w:sz w:val="24"/>
          <w:lang w:eastAsia="zh-CN"/>
        </w:rPr>
        <w:t>采购人</w:t>
      </w:r>
      <w:r>
        <w:rPr>
          <w:rFonts w:hint="eastAsia" w:ascii="宋体" w:hAnsi="宋体" w:cs="宋体"/>
          <w:color w:val="auto"/>
          <w:sz w:val="24"/>
        </w:rPr>
        <w:t>代表共</w:t>
      </w:r>
      <w:r>
        <w:rPr>
          <w:rFonts w:hint="eastAsia" w:ascii="宋体" w:hAnsi="宋体" w:cs="宋体"/>
          <w:color w:val="auto"/>
          <w:sz w:val="24"/>
          <w:lang w:val="en-US" w:eastAsia="zh-CN"/>
        </w:rPr>
        <w:t>3</w:t>
      </w:r>
      <w:r>
        <w:rPr>
          <w:rFonts w:hint="eastAsia" w:ascii="宋体" w:hAnsi="宋体" w:cs="宋体"/>
          <w:color w:val="auto"/>
          <w:sz w:val="24"/>
        </w:rPr>
        <w:t>人（含）以上单数组成，专家人数不少于总成员数的三分之二。在响应截止后的适当时间里由磋商小组对响应文件进行审查、质疑、评估和比较，并做出授予合同的建议。</w:t>
      </w:r>
    </w:p>
    <w:p w14:paraId="2976E6AF">
      <w:pPr>
        <w:snapToGrid w:val="0"/>
        <w:spacing w:line="360" w:lineRule="auto"/>
        <w:rPr>
          <w:rFonts w:hint="eastAsia" w:ascii="宋体" w:hAnsi="宋体" w:cs="宋体"/>
          <w:b/>
          <w:color w:val="auto"/>
          <w:sz w:val="24"/>
        </w:rPr>
      </w:pPr>
      <w:bookmarkStart w:id="105" w:name="_Toc25833_WPSOffice_Level3"/>
      <w:bookmarkStart w:id="106" w:name="_Toc8561_WPSOffice_Level3"/>
      <w:r>
        <w:rPr>
          <w:rFonts w:hint="eastAsia" w:ascii="宋体" w:hAnsi="宋体" w:cs="宋体"/>
          <w:b/>
          <w:color w:val="auto"/>
          <w:sz w:val="24"/>
        </w:rPr>
        <w:t xml:space="preserve">16. </w:t>
      </w:r>
      <w:bookmarkStart w:id="107" w:name="投标文件的初审"/>
      <w:r>
        <w:rPr>
          <w:rFonts w:hint="eastAsia" w:ascii="宋体" w:hAnsi="宋体" w:cs="宋体"/>
          <w:b/>
          <w:color w:val="auto"/>
          <w:sz w:val="24"/>
        </w:rPr>
        <w:t>响应文件的初审</w:t>
      </w:r>
      <w:bookmarkEnd w:id="105"/>
      <w:bookmarkEnd w:id="106"/>
      <w:bookmarkEnd w:id="107"/>
    </w:p>
    <w:p w14:paraId="46010860">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对所有供应商的评估，都采用相同的程序和标准。评议过程将严格按照竞争性磋商文件的要求和条件进行。</w:t>
      </w:r>
    </w:p>
    <w:p w14:paraId="32F9A9DD">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有关响应文件的审查、澄清、评估和比较以及推荐成交候选人的一切情况都不得透露给任一供应商或与上述评审工作无关的人员。</w:t>
      </w:r>
    </w:p>
    <w:p w14:paraId="0F283977">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供应商任何试图影响磋商小组对响应文件的评估、比较或者推荐候选人的行为，都将被认定为报价无效，并被不予退还磋商保证金。</w:t>
      </w:r>
    </w:p>
    <w:p w14:paraId="4801C6D0">
      <w:pPr>
        <w:snapToGrid w:val="0"/>
        <w:spacing w:line="360" w:lineRule="auto"/>
        <w:rPr>
          <w:rFonts w:hint="eastAsia" w:ascii="宋体" w:hAnsi="宋体" w:cs="宋体"/>
          <w:b/>
          <w:bCs/>
          <w:color w:val="auto"/>
          <w:sz w:val="24"/>
        </w:rPr>
      </w:pPr>
      <w:bookmarkStart w:id="108" w:name="_Toc4008_WPSOffice_Level3"/>
      <w:bookmarkStart w:id="109" w:name="_Toc17271_WPSOffice_Level3"/>
      <w:r>
        <w:rPr>
          <w:rFonts w:hint="eastAsia" w:ascii="宋体" w:hAnsi="宋体" w:cs="宋体"/>
          <w:b/>
          <w:bCs/>
          <w:color w:val="auto"/>
          <w:sz w:val="24"/>
        </w:rPr>
        <w:t>17. 资格性检查和符合性检查</w:t>
      </w:r>
      <w:bookmarkEnd w:id="108"/>
      <w:bookmarkEnd w:id="109"/>
    </w:p>
    <w:p w14:paraId="5F57E35B">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17.1磋商小组将对响应文件进行检查，以确定响应文件是否完整、有无计算上的错误、是否提交了磋商保证金、文件是否已正确签署。</w:t>
      </w:r>
    </w:p>
    <w:p w14:paraId="25D7EDC7">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17.2 算术错误将按以下方法更正：</w:t>
      </w:r>
    </w:p>
    <w:p w14:paraId="29D45AD3">
      <w:pPr>
        <w:snapToGrid w:val="0"/>
        <w:spacing w:line="360" w:lineRule="auto"/>
        <w:ind w:firstLine="240" w:firstLineChars="100"/>
        <w:rPr>
          <w:rFonts w:hint="eastAsia" w:ascii="宋体" w:hAnsi="宋体" w:cs="宋体"/>
          <w:color w:val="auto"/>
          <w:sz w:val="24"/>
        </w:rPr>
      </w:pPr>
      <w:r>
        <w:rPr>
          <w:rFonts w:hint="eastAsia" w:ascii="宋体" w:hAnsi="宋体" w:cs="宋体"/>
          <w:color w:val="auto"/>
          <w:sz w:val="24"/>
        </w:rPr>
        <w:t xml:space="preserve"> （1）响应文件中报价一览表(报价表)内容与响应文件中明细表内容不一致的，以报价一览表(报价表)为准。</w:t>
      </w:r>
    </w:p>
    <w:p w14:paraId="339695FC">
      <w:pPr>
        <w:snapToGrid w:val="0"/>
        <w:spacing w:line="360" w:lineRule="auto"/>
        <w:ind w:firstLine="360" w:firstLineChars="150"/>
        <w:rPr>
          <w:rFonts w:hint="eastAsia" w:ascii="宋体" w:hAnsi="宋体" w:cs="宋体"/>
          <w:color w:val="auto"/>
          <w:sz w:val="24"/>
        </w:rPr>
      </w:pPr>
      <w:r>
        <w:rPr>
          <w:rFonts w:hint="eastAsia" w:ascii="宋体" w:hAnsi="宋体" w:cs="宋体"/>
          <w:color w:val="auto"/>
          <w:sz w:val="24"/>
        </w:rPr>
        <w:t>(2)响应文件的大写金额和小写金额不一致的，以大写金额为准；总价金额与单价汇总金额不一致的，以单价金额计算结果为准，单价金额小数点有明显错位的，应以总价为准，并修改单价；对不同文字文本响应文件的解释发生异议的，以中文文本为准。</w:t>
      </w:r>
    </w:p>
    <w:p w14:paraId="6BC5540B">
      <w:pPr>
        <w:snapToGrid w:val="0"/>
        <w:spacing w:line="360" w:lineRule="auto"/>
        <w:ind w:firstLine="360" w:firstLineChars="150"/>
        <w:rPr>
          <w:rFonts w:hint="eastAsia" w:ascii="宋体" w:hAnsi="宋体" w:cs="宋体"/>
          <w:color w:val="auto"/>
          <w:sz w:val="24"/>
        </w:rPr>
      </w:pPr>
      <w:r>
        <w:rPr>
          <w:rFonts w:hint="eastAsia" w:ascii="宋体" w:hAnsi="宋体" w:cs="宋体"/>
          <w:color w:val="auto"/>
          <w:sz w:val="24"/>
        </w:rPr>
        <w:t>(3)响应文件中响应的数量若少于竞争性磋商文件规定数量的，以总价为准，并修改数量和单价。</w:t>
      </w:r>
    </w:p>
    <w:p w14:paraId="3F158C8A">
      <w:pPr>
        <w:tabs>
          <w:tab w:val="left" w:pos="2133"/>
        </w:tabs>
        <w:snapToGrid w:val="0"/>
        <w:spacing w:line="360" w:lineRule="auto"/>
        <w:ind w:firstLine="360" w:firstLineChars="150"/>
        <w:rPr>
          <w:rFonts w:hint="eastAsia" w:ascii="宋体" w:hAnsi="宋体" w:cs="宋体"/>
          <w:color w:val="auto"/>
          <w:sz w:val="24"/>
        </w:rPr>
      </w:pPr>
      <w:r>
        <w:rPr>
          <w:rFonts w:hint="eastAsia" w:ascii="宋体" w:hAnsi="宋体" w:cs="宋体"/>
          <w:color w:val="auto"/>
          <w:sz w:val="24"/>
        </w:rPr>
        <w:t>(4)若(1)与(2)冲突，以(1)为准。</w:t>
      </w:r>
    </w:p>
    <w:p w14:paraId="3E8E5C40">
      <w:pPr>
        <w:tabs>
          <w:tab w:val="left" w:pos="2133"/>
        </w:tabs>
        <w:snapToGrid w:val="0"/>
        <w:spacing w:line="360" w:lineRule="auto"/>
        <w:ind w:firstLine="360" w:firstLineChars="150"/>
        <w:rPr>
          <w:rFonts w:hint="eastAsia" w:ascii="宋体" w:hAnsi="宋体" w:cs="宋体"/>
          <w:color w:val="auto"/>
          <w:sz w:val="24"/>
        </w:rPr>
      </w:pPr>
      <w:r>
        <w:rPr>
          <w:rFonts w:hint="eastAsia" w:ascii="宋体" w:hAnsi="宋体" w:cs="宋体"/>
          <w:color w:val="auto"/>
          <w:sz w:val="24"/>
        </w:rPr>
        <w:t>(5)若出现更正方法矛盾的情形，则按对“有错”供应商不利的方法进行更正。</w:t>
      </w:r>
    </w:p>
    <w:p w14:paraId="271FEBCA">
      <w:pPr>
        <w:tabs>
          <w:tab w:val="left" w:pos="1418"/>
        </w:tabs>
        <w:snapToGrid w:val="0"/>
        <w:spacing w:line="360" w:lineRule="auto"/>
        <w:ind w:firstLine="360" w:firstLineChars="150"/>
        <w:rPr>
          <w:rFonts w:hint="eastAsia" w:ascii="宋体" w:hAnsi="宋体" w:cs="宋体"/>
          <w:color w:val="auto"/>
          <w:sz w:val="24"/>
        </w:rPr>
      </w:pPr>
      <w:r>
        <w:rPr>
          <w:rFonts w:hint="eastAsia" w:ascii="宋体" w:hAnsi="宋体" w:cs="宋体"/>
          <w:color w:val="auto"/>
          <w:sz w:val="24"/>
        </w:rPr>
        <w:t>(6)如果供应商不接受按上述方法对响应文件中的算术错误进行更正，将被认定为报价无效并不予退还其磋商保证金。</w:t>
      </w:r>
    </w:p>
    <w:p w14:paraId="129E0171">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 xml:space="preserve">17.3资格性检查和符合性检查 </w:t>
      </w:r>
    </w:p>
    <w:p w14:paraId="0D53AB52">
      <w:pPr>
        <w:snapToGrid w:val="0"/>
        <w:spacing w:line="360" w:lineRule="auto"/>
        <w:ind w:firstLine="480"/>
        <w:rPr>
          <w:rFonts w:hint="eastAsia" w:ascii="宋体" w:hAnsi="宋体" w:cs="宋体"/>
          <w:color w:val="auto"/>
          <w:sz w:val="24"/>
        </w:rPr>
      </w:pPr>
      <w:r>
        <w:rPr>
          <w:rFonts w:hint="eastAsia" w:ascii="宋体" w:hAnsi="宋体" w:cs="宋体"/>
          <w:color w:val="auto"/>
          <w:sz w:val="24"/>
        </w:rPr>
        <w:t>17.3.1资格性检查。依据法律法规和竞争性磋商文件的规定，在对响应文件详细评估之前，磋商小组将依据供应商提交的响应文件按供应商须知前附表第2项所述的资格标准对供应商进行资格审查，以确定其是否具备报价资格。如果供应商不具备报价资格，不满足竞争性磋商文件所规定的资格标准或提供资格证明文件不全的，其报价将被视为未实质性响应竞争性磋商文件要求，其响应及报价将被拒绝。</w:t>
      </w:r>
    </w:p>
    <w:p w14:paraId="31D8FBFC">
      <w:pPr>
        <w:snapToGrid w:val="0"/>
        <w:spacing w:line="360" w:lineRule="auto"/>
        <w:ind w:firstLine="480"/>
        <w:rPr>
          <w:rFonts w:hint="eastAsia" w:ascii="宋体" w:hAnsi="宋体" w:cs="宋体"/>
          <w:color w:val="auto"/>
          <w:sz w:val="24"/>
        </w:rPr>
      </w:pPr>
      <w:r>
        <w:rPr>
          <w:rFonts w:hint="eastAsia" w:ascii="宋体" w:hAnsi="宋体" w:cs="宋体"/>
          <w:color w:val="auto"/>
          <w:sz w:val="24"/>
        </w:rPr>
        <w:t>17.3.2符合性和重大偏差检查。依据竞争性磋商文件的规定，磋商小组还将从响应文件的有效性、完整性和对竞争性磋商文件的响应程度进行审查，以确定是否符合对竞争性磋商文件的实质性要求作出响应。实质性偏离是指：（一）实质性影响合同的范围、质量和履行；（二）实质性违背竞争性磋商文件，限制了</w:t>
      </w:r>
      <w:r>
        <w:rPr>
          <w:rFonts w:hint="eastAsia" w:ascii="宋体" w:hAnsi="宋体" w:cs="宋体"/>
          <w:color w:val="auto"/>
          <w:sz w:val="24"/>
          <w:lang w:eastAsia="zh-CN"/>
        </w:rPr>
        <w:t>采购人</w:t>
      </w:r>
      <w:r>
        <w:rPr>
          <w:rFonts w:hint="eastAsia" w:ascii="宋体" w:hAnsi="宋体" w:cs="宋体"/>
          <w:color w:val="auto"/>
          <w:sz w:val="24"/>
        </w:rPr>
        <w:t>的权利和成交人合同项下的义务；（三）不公正地影响了其他作出实质性响应的供应商的竞争地位。对没有实质性响应的响应文件将不进行评估，其报价无效。</w:t>
      </w:r>
      <w:r>
        <w:rPr>
          <w:rFonts w:hint="eastAsia" w:ascii="宋体" w:hAnsi="宋体" w:cs="宋体"/>
          <w:b/>
          <w:color w:val="auto"/>
          <w:sz w:val="24"/>
        </w:rPr>
        <w:t>凡有下列情况之一者，属于重大偏差，响应文件也将被视为未实质性响应竞争性磋商文件要求</w:t>
      </w:r>
      <w:r>
        <w:rPr>
          <w:rFonts w:hint="eastAsia" w:ascii="宋体" w:hAnsi="宋体" w:cs="宋体"/>
          <w:color w:val="auto"/>
          <w:sz w:val="24"/>
        </w:rPr>
        <w:t>：</w:t>
      </w:r>
    </w:p>
    <w:p w14:paraId="14D5B19D">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响应文件未按照本须知第14条的规定进行密封、标记的；</w:t>
      </w:r>
    </w:p>
    <w:p w14:paraId="09F21B5E">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未按规定由供应商的法定代表人或其授权代表签字，或未加盖供应商公章；或签字人未经法定代表人有效授权委托的，或响应文件中有代签名、虚假签名、加盖虚假印章、盖章不符合要求等情况；</w:t>
      </w:r>
    </w:p>
    <w:p w14:paraId="7A2282F6">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不满足竞争性磋商文件所规定的合格性标准或提供资格证明文件不全的；</w:t>
      </w:r>
    </w:p>
    <w:p w14:paraId="55E42933">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未按规定提交磋商保证金的；</w:t>
      </w:r>
    </w:p>
    <w:p w14:paraId="3E1751BD">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报价有效期不满足竞争性磋商文件要求的；</w:t>
      </w:r>
    </w:p>
    <w:p w14:paraId="41532CEC">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报价内容与采购内容及要求有重大偏离或保留的；</w:t>
      </w:r>
    </w:p>
    <w:p w14:paraId="4BC87F9A">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供应商提交的是可选择的报价；</w:t>
      </w:r>
    </w:p>
    <w:p w14:paraId="29FBB036">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响应文件中提供虚假或失实资料的；</w:t>
      </w:r>
    </w:p>
    <w:p w14:paraId="400FC3DA">
      <w:pPr>
        <w:numPr>
          <w:ilvl w:val="0"/>
          <w:numId w:val="2"/>
        </w:numPr>
        <w:snapToGrid w:val="0"/>
        <w:spacing w:line="360" w:lineRule="auto"/>
        <w:rPr>
          <w:rFonts w:hint="eastAsia" w:ascii="宋体" w:hAnsi="宋体" w:cs="宋体"/>
          <w:color w:val="auto"/>
          <w:sz w:val="24"/>
        </w:rPr>
      </w:pPr>
      <w:r>
        <w:rPr>
          <w:rFonts w:hint="eastAsia" w:ascii="宋体" w:hAnsi="宋体" w:cs="宋体"/>
          <w:color w:val="auto"/>
          <w:sz w:val="24"/>
        </w:rPr>
        <w:t>项目完成期限超过竞争性磋商文件规定</w:t>
      </w:r>
    </w:p>
    <w:p w14:paraId="26481E5E">
      <w:pPr>
        <w:numPr>
          <w:ilvl w:val="0"/>
          <w:numId w:val="2"/>
        </w:numPr>
        <w:tabs>
          <w:tab w:val="left" w:pos="567"/>
        </w:tabs>
        <w:snapToGrid w:val="0"/>
        <w:spacing w:line="360" w:lineRule="auto"/>
        <w:rPr>
          <w:rFonts w:hint="eastAsia" w:ascii="宋体" w:hAnsi="宋体" w:cs="宋体"/>
          <w:color w:val="auto"/>
          <w:sz w:val="24"/>
        </w:rPr>
      </w:pPr>
      <w:r>
        <w:rPr>
          <w:rFonts w:hint="eastAsia" w:ascii="宋体" w:hAnsi="宋体" w:cs="宋体"/>
          <w:color w:val="auto"/>
          <w:sz w:val="24"/>
        </w:rPr>
        <w:t>明显不符合技术规格、技术标准的要求；</w:t>
      </w:r>
    </w:p>
    <w:p w14:paraId="7B449C98">
      <w:pPr>
        <w:numPr>
          <w:ilvl w:val="0"/>
          <w:numId w:val="2"/>
        </w:numPr>
        <w:tabs>
          <w:tab w:val="left" w:pos="567"/>
        </w:tabs>
        <w:snapToGrid w:val="0"/>
        <w:spacing w:line="360" w:lineRule="auto"/>
        <w:rPr>
          <w:rFonts w:hint="eastAsia" w:ascii="宋体" w:hAnsi="宋体" w:cs="宋体"/>
          <w:color w:val="auto"/>
          <w:sz w:val="24"/>
        </w:rPr>
      </w:pPr>
      <w:r>
        <w:rPr>
          <w:rFonts w:hint="eastAsia" w:ascii="宋体" w:hAnsi="宋体" w:cs="宋体"/>
          <w:color w:val="auto"/>
          <w:sz w:val="24"/>
        </w:rPr>
        <w:t>响应文件载明的货物包装方式、检验标准和方法等不符合竞争性磋商文件的要求；</w:t>
      </w:r>
    </w:p>
    <w:p w14:paraId="2CA1A6A4">
      <w:pPr>
        <w:numPr>
          <w:ilvl w:val="0"/>
          <w:numId w:val="2"/>
        </w:numPr>
        <w:tabs>
          <w:tab w:val="left" w:pos="567"/>
        </w:tabs>
        <w:snapToGrid w:val="0"/>
        <w:spacing w:line="360" w:lineRule="auto"/>
        <w:rPr>
          <w:rFonts w:hint="eastAsia" w:ascii="宋体" w:hAnsi="宋体" w:cs="宋体"/>
          <w:color w:val="auto"/>
          <w:sz w:val="24"/>
        </w:rPr>
      </w:pPr>
      <w:r>
        <w:rPr>
          <w:rFonts w:hint="eastAsia" w:ascii="宋体" w:hAnsi="宋体" w:cs="宋体"/>
          <w:color w:val="auto"/>
          <w:sz w:val="24"/>
        </w:rPr>
        <w:t>供应商附有</w:t>
      </w:r>
      <w:r>
        <w:rPr>
          <w:rFonts w:hint="eastAsia" w:ascii="宋体" w:hAnsi="宋体" w:cs="宋体"/>
          <w:color w:val="auto"/>
          <w:sz w:val="24"/>
          <w:lang w:eastAsia="zh-CN"/>
        </w:rPr>
        <w:t>采购人</w:t>
      </w:r>
      <w:r>
        <w:rPr>
          <w:rFonts w:hint="eastAsia" w:ascii="宋体" w:hAnsi="宋体" w:cs="宋体"/>
          <w:color w:val="auto"/>
          <w:sz w:val="24"/>
        </w:rPr>
        <w:t>不能接受的条件；</w:t>
      </w:r>
    </w:p>
    <w:p w14:paraId="0066FF8A">
      <w:pPr>
        <w:numPr>
          <w:ilvl w:val="0"/>
          <w:numId w:val="2"/>
        </w:numPr>
        <w:tabs>
          <w:tab w:val="left" w:pos="567"/>
        </w:tabs>
        <w:snapToGrid w:val="0"/>
        <w:spacing w:line="360" w:lineRule="auto"/>
        <w:rPr>
          <w:rFonts w:hint="eastAsia" w:ascii="宋体" w:hAnsi="宋体" w:cs="宋体"/>
          <w:color w:val="auto"/>
          <w:sz w:val="24"/>
        </w:rPr>
      </w:pPr>
      <w:r>
        <w:rPr>
          <w:rFonts w:hint="eastAsia" w:ascii="宋体" w:hAnsi="宋体" w:cs="宋体"/>
          <w:color w:val="auto"/>
          <w:sz w:val="24"/>
        </w:rPr>
        <w:t>一个供应商不止提交一个响应文件；</w:t>
      </w:r>
    </w:p>
    <w:p w14:paraId="44158385">
      <w:pPr>
        <w:numPr>
          <w:ilvl w:val="0"/>
          <w:numId w:val="2"/>
        </w:numPr>
        <w:tabs>
          <w:tab w:val="left" w:pos="567"/>
        </w:tabs>
        <w:snapToGrid w:val="0"/>
        <w:spacing w:line="360" w:lineRule="auto"/>
        <w:rPr>
          <w:rFonts w:hint="eastAsia" w:ascii="宋体" w:hAnsi="宋体" w:cs="宋体"/>
          <w:color w:val="auto"/>
          <w:sz w:val="24"/>
        </w:rPr>
      </w:pPr>
      <w:r>
        <w:rPr>
          <w:rFonts w:hint="eastAsia" w:ascii="宋体" w:hAnsi="宋体" w:cs="宋体"/>
          <w:color w:val="auto"/>
          <w:sz w:val="24"/>
        </w:rPr>
        <w:t>响应文件组成不符合竞争性磋商文件要求的；</w:t>
      </w:r>
    </w:p>
    <w:p w14:paraId="79C192F0">
      <w:pPr>
        <w:numPr>
          <w:ilvl w:val="0"/>
          <w:numId w:val="2"/>
        </w:numPr>
        <w:tabs>
          <w:tab w:val="left" w:pos="567"/>
        </w:tabs>
        <w:snapToGrid w:val="0"/>
        <w:spacing w:line="360" w:lineRule="auto"/>
        <w:rPr>
          <w:rFonts w:hint="eastAsia" w:ascii="宋体" w:hAnsi="宋体" w:cs="宋体"/>
          <w:color w:val="auto"/>
          <w:sz w:val="24"/>
        </w:rPr>
      </w:pPr>
      <w:r>
        <w:rPr>
          <w:rFonts w:hint="eastAsia" w:ascii="宋体" w:hAnsi="宋体" w:cs="宋体"/>
          <w:color w:val="auto"/>
          <w:sz w:val="24"/>
        </w:rPr>
        <w:t>不符合竞争性磋商文件中规定的其他实质性要求的条款。其他实质性要求的条款可由磋商小组一致讨论确定。</w:t>
      </w:r>
    </w:p>
    <w:p w14:paraId="37208734">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磋商小组决定报价的响应性只根据响应文件本身的内容，而不寻求其他的外部证据。</w:t>
      </w:r>
    </w:p>
    <w:p w14:paraId="0F93FC58">
      <w:pPr>
        <w:snapToGrid w:val="0"/>
        <w:spacing w:line="360" w:lineRule="auto"/>
        <w:rPr>
          <w:rFonts w:hint="eastAsia" w:ascii="宋体" w:hAnsi="宋体" w:cs="宋体"/>
          <w:b/>
          <w:color w:val="auto"/>
          <w:sz w:val="24"/>
        </w:rPr>
      </w:pPr>
      <w:bookmarkStart w:id="110" w:name="_Toc6848_WPSOffice_Level3"/>
      <w:bookmarkStart w:id="111" w:name="_Toc3925_WPSOffice_Level3"/>
      <w:r>
        <w:rPr>
          <w:rFonts w:hint="eastAsia" w:ascii="宋体" w:hAnsi="宋体" w:cs="宋体"/>
          <w:b/>
          <w:color w:val="auto"/>
          <w:sz w:val="24"/>
        </w:rPr>
        <w:t>18.响应文件的澄清</w:t>
      </w:r>
      <w:bookmarkEnd w:id="110"/>
      <w:bookmarkEnd w:id="111"/>
    </w:p>
    <w:p w14:paraId="391E8AB2">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18.1 对响应文件中含义不明确、同类问题表述不一致或者有明显文字和计算错误的内容，磋商小组可以要求供应商作出必要的澄清、说明或者纠正。供应商的澄清、说明或者纠正应当在磋商小组规定的时间内以书面形式作出，由其法定代表人或者授权代表签字，并不得超出响应文件的范围或者改变响应文件的实质性内容。</w:t>
      </w:r>
    </w:p>
    <w:p w14:paraId="47F0E779">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18.2细微偏差澄清：响应文件实质上响应竞争性磋商文件要求，但在个别地方存在漏项或者提供了不完整的技术信息和数据等情况，且补正这些遗漏或者不完整不会对其他供应商造成不公平的结果。磋商小组可以书面要求供应商在评审结束前予以补正。补正的程序和方法按法定的澄清程序执行。无法补正或不允许补正的，可在评审时对细微偏差作不利于该供应商的认定。对细微偏差的不利认定标准将在本章供应商须知前附表第6项所述“评审标准与方法”中做出规定。</w:t>
      </w:r>
    </w:p>
    <w:p w14:paraId="5B2D5279">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18.3其他澄清：竞争性磋商文件规定的其他须澄清情况。</w:t>
      </w:r>
    </w:p>
    <w:p w14:paraId="30DBDC95">
      <w:pPr>
        <w:snapToGrid w:val="0"/>
        <w:spacing w:line="360" w:lineRule="auto"/>
        <w:rPr>
          <w:rFonts w:hint="eastAsia" w:ascii="宋体" w:hAnsi="宋体" w:cs="宋体"/>
          <w:b/>
          <w:color w:val="auto"/>
          <w:sz w:val="24"/>
        </w:rPr>
      </w:pPr>
      <w:r>
        <w:rPr>
          <w:rFonts w:hint="eastAsia" w:ascii="宋体" w:hAnsi="宋体" w:cs="宋体"/>
          <w:b/>
          <w:color w:val="auto"/>
          <w:sz w:val="24"/>
        </w:rPr>
        <w:t xml:space="preserve"> </w:t>
      </w:r>
      <w:bookmarkStart w:id="112" w:name="_Toc30683_WPSOffice_Level3"/>
      <w:bookmarkStart w:id="113" w:name="_Toc10794_WPSOffice_Level3"/>
      <w:r>
        <w:rPr>
          <w:rFonts w:hint="eastAsia" w:ascii="宋体" w:hAnsi="宋体" w:cs="宋体"/>
          <w:b/>
          <w:color w:val="auto"/>
          <w:sz w:val="24"/>
        </w:rPr>
        <w:t xml:space="preserve">19. </w:t>
      </w:r>
      <w:bookmarkStart w:id="114" w:name="比较与评价"/>
      <w:r>
        <w:rPr>
          <w:rFonts w:hint="eastAsia" w:ascii="宋体" w:hAnsi="宋体" w:cs="宋体"/>
          <w:b/>
          <w:color w:val="auto"/>
          <w:sz w:val="24"/>
        </w:rPr>
        <w:t>比较与评价</w:t>
      </w:r>
      <w:bookmarkEnd w:id="112"/>
      <w:bookmarkEnd w:id="113"/>
      <w:bookmarkEnd w:id="114"/>
    </w:p>
    <w:p w14:paraId="05AB5945">
      <w:pPr>
        <w:snapToGrid w:val="0"/>
        <w:spacing w:line="360" w:lineRule="auto"/>
        <w:rPr>
          <w:rFonts w:hint="eastAsia" w:ascii="宋体" w:hAnsi="宋体" w:cs="宋体"/>
          <w:color w:val="auto"/>
          <w:sz w:val="24"/>
        </w:rPr>
      </w:pPr>
      <w:r>
        <w:rPr>
          <w:rFonts w:hint="eastAsia" w:ascii="宋体" w:hAnsi="宋体" w:cs="宋体"/>
          <w:color w:val="auto"/>
          <w:sz w:val="24"/>
        </w:rPr>
        <w:t xml:space="preserve">    19.1磋商小组将对资格性检查和符合性检查合格的响应文件进行商务和技术评估，综合比较与评价。</w:t>
      </w:r>
    </w:p>
    <w:p w14:paraId="2FF087C5">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19.2对漏（缺）报项的处理：竞争性磋商文件中要求列入报价的费用（含配置、功能等），漏（缺）报的视同已含在报价中。但在评审时取有效供应商该项最高报价加入评审价进行评审。对多报项及赠送项的价格评审时不予核减，全部进入评审价评议。</w:t>
      </w:r>
    </w:p>
    <w:p w14:paraId="0771756B">
      <w:pPr>
        <w:snapToGrid w:val="0"/>
        <w:spacing w:line="360" w:lineRule="auto"/>
        <w:ind w:firstLine="480"/>
        <w:rPr>
          <w:rFonts w:hint="eastAsia" w:ascii="宋体" w:hAnsi="宋体" w:cs="宋体"/>
          <w:color w:val="auto"/>
          <w:sz w:val="24"/>
        </w:rPr>
      </w:pPr>
      <w:r>
        <w:rPr>
          <w:rFonts w:hint="eastAsia" w:ascii="宋体" w:hAnsi="宋体" w:cs="宋体"/>
          <w:color w:val="auto"/>
          <w:sz w:val="24"/>
        </w:rPr>
        <w:t>19.3若供应商的报价明显低于其他报价，使得其报价可能低于其个别成本的，有可能影响商品质量或不能诚信履约的，供应商应按磋商小组要求作出书面说明并提供相关证明材料，不能合理说明或不能提供相关证明材料的，可作无效报价处理。</w:t>
      </w:r>
    </w:p>
    <w:p w14:paraId="42D363B9">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19.4磋商小组在评审过程中发现供应商存在下列情形之一的，可认定其有串通报价行为，并做出其报价无效的决定：</w:t>
      </w:r>
    </w:p>
    <w:p w14:paraId="69A5925F">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⑴不同供应商的响应文件错、漏之处一致或雷同，且不能合理解释的；</w:t>
      </w:r>
    </w:p>
    <w:p w14:paraId="2DAAF609">
      <w:pPr>
        <w:snapToGrid w:val="0"/>
        <w:spacing w:line="360" w:lineRule="auto"/>
        <w:ind w:right="-210" w:rightChars="-100" w:firstLine="480" w:firstLineChars="200"/>
        <w:rPr>
          <w:rFonts w:hint="eastAsia" w:ascii="宋体" w:hAnsi="宋体" w:cs="宋体"/>
          <w:color w:val="auto"/>
          <w:sz w:val="24"/>
        </w:rPr>
      </w:pPr>
      <w:r>
        <w:rPr>
          <w:rFonts w:hint="eastAsia" w:ascii="宋体" w:hAnsi="宋体" w:cs="宋体"/>
          <w:color w:val="auto"/>
          <w:sz w:val="24"/>
        </w:rPr>
        <w:t>⑵不同的供应商的法定代表人、委托代理人等由同一个单位缴纳社会保险的；</w:t>
      </w:r>
    </w:p>
    <w:p w14:paraId="19BE12E0">
      <w:pPr>
        <w:tabs>
          <w:tab w:val="left" w:pos="3261"/>
        </w:tabs>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⑶由同一人或分别由几个有利害关系人携带两个以上（含两个）供应商的企业资料参与资格审查、领取采购文件资料，或代表两个以上（含两个）供应商参加采购答疑会、缴纳或退还磋商保证金的；</w:t>
      </w:r>
    </w:p>
    <w:p w14:paraId="00E7F2CE">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⑷有关法律、法规或规章规定的其他串通报价行为。</w:t>
      </w:r>
    </w:p>
    <w:p w14:paraId="25117FB8">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19.5磋商小组将按比较与评价最优在先原则，排列评价顺序，根据在供应商须知前附表中确定的成交候选人数量推荐出成交候选人。</w:t>
      </w:r>
    </w:p>
    <w:p w14:paraId="28C6ED68">
      <w:pPr>
        <w:snapToGrid w:val="0"/>
        <w:spacing w:line="360" w:lineRule="auto"/>
        <w:ind w:firstLine="480" w:firstLineChars="200"/>
        <w:rPr>
          <w:rFonts w:hint="eastAsia" w:ascii="宋体" w:hAnsi="宋体" w:cs="宋体"/>
          <w:color w:val="auto"/>
          <w:sz w:val="24"/>
          <w:szCs w:val="24"/>
          <w:highlight w:val="yellow"/>
        </w:rPr>
      </w:pPr>
      <w:r>
        <w:rPr>
          <w:rFonts w:hint="eastAsia" w:ascii="宋体" w:hAnsi="宋体" w:cs="宋体"/>
          <w:color w:val="auto"/>
          <w:sz w:val="24"/>
          <w:szCs w:val="24"/>
        </w:rPr>
        <w:t>19.6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政府采购竞争性磋商采购方式管理暂行办法》等相关法律法规及财政部门颁布的规范性文件允许的两家供应商进行竞争性磋商采购情形，则提交最后报价的供应商可以为两家。</w:t>
      </w:r>
    </w:p>
    <w:p w14:paraId="137A4478">
      <w:pPr>
        <w:snapToGrid w:val="0"/>
        <w:spacing w:line="360" w:lineRule="auto"/>
        <w:rPr>
          <w:rFonts w:hint="eastAsia" w:ascii="宋体" w:hAnsi="宋体" w:cs="宋体"/>
          <w:color w:val="auto"/>
          <w:sz w:val="24"/>
          <w:szCs w:val="24"/>
        </w:rPr>
      </w:pPr>
    </w:p>
    <w:p w14:paraId="1F78F0E5">
      <w:pPr>
        <w:pStyle w:val="27"/>
        <w:snapToGrid w:val="0"/>
        <w:spacing w:line="360" w:lineRule="auto"/>
        <w:jc w:val="center"/>
        <w:outlineLvl w:val="1"/>
        <w:rPr>
          <w:rFonts w:hint="eastAsia" w:hAnsi="宋体" w:cs="宋体"/>
          <w:b/>
          <w:color w:val="auto"/>
          <w:sz w:val="28"/>
        </w:rPr>
      </w:pPr>
      <w:bookmarkStart w:id="115" w:name="_Toc12744_WPSOffice_Level2"/>
      <w:bookmarkStart w:id="116" w:name="_Toc29718_WPSOffice_Level2"/>
      <w:bookmarkStart w:id="117" w:name="_Toc2591"/>
      <w:r>
        <w:rPr>
          <w:rFonts w:hint="eastAsia" w:hAnsi="宋体" w:cs="宋体"/>
          <w:b/>
          <w:color w:val="auto"/>
          <w:sz w:val="28"/>
        </w:rPr>
        <w:t xml:space="preserve">六、  </w:t>
      </w:r>
      <w:bookmarkStart w:id="118" w:name="定标与签订合同"/>
      <w:r>
        <w:rPr>
          <w:rFonts w:hint="eastAsia" w:hAnsi="宋体" w:cs="宋体"/>
          <w:b/>
          <w:color w:val="auto"/>
          <w:sz w:val="28"/>
        </w:rPr>
        <w:t>定标与签订合同</w:t>
      </w:r>
      <w:bookmarkEnd w:id="115"/>
      <w:bookmarkEnd w:id="116"/>
      <w:bookmarkEnd w:id="117"/>
      <w:bookmarkEnd w:id="118"/>
    </w:p>
    <w:p w14:paraId="399BC335">
      <w:pPr>
        <w:snapToGrid w:val="0"/>
        <w:spacing w:line="360" w:lineRule="auto"/>
        <w:rPr>
          <w:rFonts w:hint="eastAsia" w:ascii="宋体" w:hAnsi="宋体" w:cs="宋体"/>
          <w:b/>
          <w:color w:val="auto"/>
          <w:sz w:val="24"/>
        </w:rPr>
      </w:pPr>
      <w:bookmarkStart w:id="119" w:name="_Toc20334_WPSOffice_Level3"/>
      <w:bookmarkStart w:id="120" w:name="_Toc24971_WPSOffice_Level3"/>
      <w:r>
        <w:rPr>
          <w:rFonts w:hint="eastAsia" w:ascii="宋体" w:hAnsi="宋体" w:cs="宋体"/>
          <w:b/>
          <w:color w:val="auto"/>
          <w:sz w:val="24"/>
        </w:rPr>
        <w:t>20.</w:t>
      </w:r>
      <w:bookmarkStart w:id="121" w:name="定标准则"/>
      <w:r>
        <w:rPr>
          <w:rFonts w:hint="eastAsia" w:ascii="宋体" w:hAnsi="宋体" w:cs="宋体"/>
          <w:b/>
          <w:color w:val="auto"/>
          <w:sz w:val="24"/>
        </w:rPr>
        <w:t>定标准则</w:t>
      </w:r>
      <w:bookmarkEnd w:id="119"/>
      <w:bookmarkEnd w:id="120"/>
      <w:bookmarkEnd w:id="121"/>
    </w:p>
    <w:p w14:paraId="43110076">
      <w:pPr>
        <w:snapToGrid w:val="0"/>
        <w:spacing w:line="360" w:lineRule="auto"/>
        <w:ind w:firstLine="482"/>
        <w:rPr>
          <w:rFonts w:hint="eastAsia" w:ascii="宋体" w:hAnsi="宋体" w:cs="宋体"/>
          <w:color w:val="auto"/>
          <w:sz w:val="24"/>
        </w:rPr>
      </w:pPr>
      <w:r>
        <w:rPr>
          <w:rFonts w:hint="eastAsia" w:ascii="宋体" w:hAnsi="宋体" w:cs="宋体"/>
          <w:color w:val="auto"/>
          <w:sz w:val="24"/>
        </w:rPr>
        <w:t>20.1最低报价不作为成交的保证。</w:t>
      </w:r>
    </w:p>
    <w:p w14:paraId="234A5C61">
      <w:pPr>
        <w:snapToGrid w:val="0"/>
        <w:spacing w:line="360" w:lineRule="auto"/>
        <w:ind w:firstLine="482"/>
        <w:rPr>
          <w:rFonts w:hint="eastAsia" w:ascii="宋体" w:hAnsi="宋体" w:cs="宋体"/>
          <w:color w:val="auto"/>
          <w:sz w:val="24"/>
        </w:rPr>
      </w:pPr>
      <w:r>
        <w:rPr>
          <w:rFonts w:hint="eastAsia" w:ascii="宋体" w:hAnsi="宋体" w:cs="宋体"/>
          <w:color w:val="auto"/>
          <w:sz w:val="24"/>
        </w:rPr>
        <w:t>20.2供应商的响应文件符合竞争性磋商文件要求，按竞争性磋商文件确定评审标准、方法，经磋商小组评审并推荐成交候选人。</w:t>
      </w:r>
    </w:p>
    <w:p w14:paraId="76897651">
      <w:pPr>
        <w:snapToGrid w:val="0"/>
        <w:spacing w:line="360" w:lineRule="auto"/>
        <w:rPr>
          <w:rFonts w:hint="eastAsia" w:ascii="宋体" w:hAnsi="宋体" w:cs="宋体"/>
          <w:b/>
          <w:color w:val="auto"/>
          <w:sz w:val="24"/>
        </w:rPr>
      </w:pPr>
      <w:bookmarkStart w:id="122" w:name="_Toc14590_WPSOffice_Level3"/>
      <w:bookmarkStart w:id="123" w:name="_Toc1504_WPSOffice_Level3"/>
      <w:r>
        <w:rPr>
          <w:rFonts w:hint="eastAsia" w:ascii="宋体" w:hAnsi="宋体" w:cs="宋体"/>
          <w:b/>
          <w:color w:val="auto"/>
          <w:sz w:val="24"/>
        </w:rPr>
        <w:t xml:space="preserve">21. </w:t>
      </w:r>
      <w:bookmarkStart w:id="124" w:name="中标通知"/>
      <w:r>
        <w:rPr>
          <w:rFonts w:hint="eastAsia" w:ascii="宋体" w:hAnsi="宋体" w:cs="宋体"/>
          <w:b/>
          <w:color w:val="auto"/>
          <w:sz w:val="24"/>
        </w:rPr>
        <w:t>成交通知</w:t>
      </w:r>
      <w:bookmarkEnd w:id="122"/>
      <w:bookmarkEnd w:id="123"/>
      <w:bookmarkEnd w:id="124"/>
    </w:p>
    <w:p w14:paraId="34242CE3">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21.1评审结束后，评审结果经</w:t>
      </w:r>
      <w:r>
        <w:rPr>
          <w:rFonts w:hint="eastAsia" w:ascii="宋体" w:hAnsi="宋体" w:cs="宋体"/>
          <w:color w:val="auto"/>
          <w:sz w:val="24"/>
          <w:lang w:eastAsia="zh-CN"/>
        </w:rPr>
        <w:t>采购人</w:t>
      </w:r>
      <w:r>
        <w:rPr>
          <w:rFonts w:hint="eastAsia" w:ascii="宋体" w:hAnsi="宋体" w:cs="宋体"/>
          <w:color w:val="auto"/>
          <w:sz w:val="24"/>
        </w:rPr>
        <w:t>确认后，采购代理机构方将在发布本采购项目采购公告的媒介上对成交结果进行公告，同时采购代理机构将向成交供应商发出成交通知书。成交通知书对</w:t>
      </w:r>
      <w:r>
        <w:rPr>
          <w:rFonts w:hint="eastAsia" w:ascii="宋体" w:hAnsi="宋体" w:cs="宋体"/>
          <w:color w:val="auto"/>
          <w:sz w:val="24"/>
          <w:lang w:eastAsia="zh-CN"/>
        </w:rPr>
        <w:t>采购人</w:t>
      </w:r>
      <w:r>
        <w:rPr>
          <w:rFonts w:hint="eastAsia" w:ascii="宋体" w:hAnsi="宋体" w:cs="宋体"/>
          <w:color w:val="auto"/>
          <w:sz w:val="24"/>
        </w:rPr>
        <w:t>和成交供应商具有同等法律效力。成交通知书发出后，</w:t>
      </w:r>
      <w:r>
        <w:rPr>
          <w:rFonts w:hint="eastAsia" w:ascii="宋体" w:hAnsi="宋体" w:cs="宋体"/>
          <w:color w:val="auto"/>
          <w:sz w:val="24"/>
          <w:lang w:eastAsia="zh-CN"/>
        </w:rPr>
        <w:t>采购人</w:t>
      </w:r>
      <w:r>
        <w:rPr>
          <w:rFonts w:hint="eastAsia" w:ascii="宋体" w:hAnsi="宋体" w:cs="宋体"/>
          <w:color w:val="auto"/>
          <w:sz w:val="24"/>
        </w:rPr>
        <w:t>改变成交结果，或者成交供应商放弃成交，应按相关法律、规章、规范性文件的要求承担相应的法律责任。供应商对成交公告有异议的，应当在知道或应当知道其权益受到损害之日起7个工作日内，提交由法定代表人或授权代表（提供授权函）签署的书面原件并携带相关证明材料及企业营业执照副本、税务登记证、组织机构代码证复印件并加盖供应商公章（原件备查，若无法提供原件或与原件不符，视为虚假质疑）送达采购代理机构。</w:t>
      </w:r>
    </w:p>
    <w:p w14:paraId="535A880F">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21.2《成交通知书》发出同时将落标通知没有成交的其他供应商。</w:t>
      </w:r>
    </w:p>
    <w:p w14:paraId="5DA97045">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21.3《成交通知书》将作为签订合同的依据。《合同》签订后，《成交通知书》成为《合同》的一部分。</w:t>
      </w:r>
    </w:p>
    <w:p w14:paraId="7E651428">
      <w:pPr>
        <w:pStyle w:val="84"/>
        <w:snapToGrid w:val="0"/>
        <w:spacing w:line="360" w:lineRule="auto"/>
        <w:rPr>
          <w:rFonts w:hint="eastAsia" w:hAnsi="宋体" w:cs="宋体"/>
          <w:b/>
          <w:color w:val="auto"/>
        </w:rPr>
      </w:pPr>
      <w:bookmarkStart w:id="125" w:name="_Toc10164_WPSOffice_Level3"/>
      <w:bookmarkStart w:id="126" w:name="_Toc1647_WPSOffice_Level3"/>
      <w:r>
        <w:rPr>
          <w:rFonts w:hint="eastAsia" w:hAnsi="宋体" w:cs="宋体"/>
          <w:b/>
          <w:color w:val="auto"/>
        </w:rPr>
        <w:t>22.</w:t>
      </w:r>
      <w:bookmarkStart w:id="127" w:name="签订合同"/>
      <w:r>
        <w:rPr>
          <w:rFonts w:hint="eastAsia" w:hAnsi="宋体" w:cs="宋体"/>
          <w:b/>
          <w:color w:val="auto"/>
        </w:rPr>
        <w:t>签订合同</w:t>
      </w:r>
      <w:bookmarkEnd w:id="125"/>
      <w:bookmarkEnd w:id="126"/>
      <w:bookmarkEnd w:id="127"/>
    </w:p>
    <w:p w14:paraId="7799BEAC">
      <w:pPr>
        <w:pStyle w:val="84"/>
        <w:snapToGrid w:val="0"/>
        <w:spacing w:line="360" w:lineRule="auto"/>
        <w:ind w:firstLine="468" w:firstLineChars="195"/>
        <w:rPr>
          <w:rFonts w:hint="eastAsia" w:hAnsi="宋体" w:cs="宋体"/>
          <w:color w:val="auto"/>
        </w:rPr>
      </w:pPr>
      <w:r>
        <w:rPr>
          <w:rFonts w:hint="eastAsia" w:hAnsi="宋体" w:cs="宋体"/>
          <w:color w:val="auto"/>
        </w:rPr>
        <w:t>22.1</w:t>
      </w:r>
      <w:r>
        <w:rPr>
          <w:rFonts w:hint="eastAsia" w:hAnsi="宋体" w:cs="宋体"/>
          <w:color w:val="auto"/>
          <w:lang w:eastAsia="zh-CN"/>
        </w:rPr>
        <w:t>采购人</w:t>
      </w:r>
      <w:r>
        <w:rPr>
          <w:rFonts w:hint="eastAsia" w:hAnsi="宋体" w:cs="宋体"/>
          <w:color w:val="auto"/>
        </w:rPr>
        <w:t>、成交供应商在《成交通知书》规定时间内，根据竞争性磋商文件确定的事项和成交供应商响应文件签订合同。双方所签订的合同不得对竞争性磋商文件和成交供应商响应文件作实质性修改。逾期未签订合同，按照有关法律法规规定承担相应的法律责任。</w:t>
      </w:r>
    </w:p>
    <w:p w14:paraId="0D0E40AC">
      <w:pPr>
        <w:pStyle w:val="84"/>
        <w:snapToGrid w:val="0"/>
        <w:spacing w:line="360" w:lineRule="auto"/>
        <w:ind w:firstLine="468" w:firstLineChars="195"/>
        <w:rPr>
          <w:rFonts w:hint="eastAsia" w:hAnsi="宋体" w:cs="宋体"/>
          <w:color w:val="auto"/>
        </w:rPr>
      </w:pPr>
      <w:r>
        <w:rPr>
          <w:rFonts w:hint="eastAsia" w:hAnsi="宋体" w:cs="宋体"/>
          <w:color w:val="auto"/>
        </w:rPr>
        <w:t>22.2竞争性磋商文件、竞争性磋商文件的修改文件、成交供应商的响应文件、补充或修改的文件及澄清或承诺文件等，均为双方签订《合同》的组成部分，并与《合同》一并作为本竞争性磋商文件所列采购项目的互补性法律文件，与《合同》具有同等法律效力。</w:t>
      </w:r>
    </w:p>
    <w:p w14:paraId="019AC01D">
      <w:pPr>
        <w:pStyle w:val="84"/>
        <w:snapToGrid w:val="0"/>
        <w:spacing w:line="360" w:lineRule="auto"/>
        <w:ind w:firstLine="468" w:firstLineChars="195"/>
        <w:rPr>
          <w:rFonts w:hint="eastAsia" w:hAnsi="宋体" w:cs="宋体"/>
          <w:color w:val="auto"/>
        </w:rPr>
      </w:pPr>
      <w:r>
        <w:rPr>
          <w:rFonts w:hint="eastAsia" w:hAnsi="宋体" w:cs="宋体"/>
          <w:color w:val="auto"/>
        </w:rPr>
        <w:t>22.3成交供应商因不可抗力或者自身原因不能履行采购合同的，</w:t>
      </w:r>
      <w:r>
        <w:rPr>
          <w:rFonts w:hint="eastAsia" w:hAnsi="宋体" w:cs="宋体"/>
          <w:color w:val="auto"/>
          <w:lang w:eastAsia="zh-CN"/>
        </w:rPr>
        <w:t>采购人</w:t>
      </w:r>
      <w:r>
        <w:rPr>
          <w:rFonts w:hint="eastAsia" w:hAnsi="宋体" w:cs="宋体"/>
          <w:color w:val="auto"/>
        </w:rPr>
        <w:t>可以与排位在成交供应商之后第一位的成交候选供应商签订采购合同，以此类推。</w:t>
      </w:r>
    </w:p>
    <w:p w14:paraId="24704E25">
      <w:pPr>
        <w:pStyle w:val="27"/>
        <w:keepNext w:val="0"/>
        <w:keepLines w:val="0"/>
        <w:pageBreakBefore w:val="0"/>
        <w:widowControl w:val="0"/>
        <w:kinsoku/>
        <w:wordWrap/>
        <w:overflowPunct/>
        <w:topLinePunct w:val="0"/>
        <w:bidi w:val="0"/>
        <w:snapToGrid w:val="0"/>
        <w:spacing w:line="400" w:lineRule="exact"/>
        <w:jc w:val="center"/>
        <w:textAlignment w:val="auto"/>
        <w:outlineLvl w:val="1"/>
        <w:rPr>
          <w:rFonts w:hint="eastAsia" w:hAnsi="宋体" w:cs="宋体"/>
          <w:b/>
          <w:color w:val="auto"/>
          <w:sz w:val="28"/>
          <w:highlight w:val="none"/>
        </w:rPr>
      </w:pPr>
      <w:bookmarkStart w:id="128" w:name="_Toc3698"/>
      <w:r>
        <w:rPr>
          <w:rFonts w:hint="eastAsia" w:hAnsi="宋体" w:cs="宋体"/>
          <w:b/>
          <w:color w:val="auto"/>
          <w:sz w:val="28"/>
          <w:highlight w:val="none"/>
          <w:lang w:val="en-US" w:eastAsia="zh-CN"/>
        </w:rPr>
        <w:t>七</w:t>
      </w:r>
      <w:r>
        <w:rPr>
          <w:rFonts w:hint="eastAsia" w:hAnsi="宋体" w:cs="宋体"/>
          <w:b/>
          <w:color w:val="auto"/>
          <w:sz w:val="28"/>
          <w:highlight w:val="none"/>
        </w:rPr>
        <w:t>、有关信息公告和监督部门</w:t>
      </w:r>
      <w:bookmarkEnd w:id="128"/>
    </w:p>
    <w:p w14:paraId="2B3561E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4"/>
          <w:szCs w:val="32"/>
          <w:highlight w:val="none"/>
        </w:rPr>
      </w:pPr>
      <w:r>
        <w:rPr>
          <w:rFonts w:hint="eastAsia" w:ascii="宋体" w:hAnsi="宋体" w:eastAsia="宋体" w:cs="宋体"/>
          <w:b/>
          <w:bCs/>
          <w:color w:val="auto"/>
          <w:sz w:val="24"/>
          <w:szCs w:val="32"/>
          <w:highlight w:val="none"/>
        </w:rPr>
        <w:t>2</w:t>
      </w:r>
      <w:r>
        <w:rPr>
          <w:rFonts w:hint="eastAsia" w:ascii="宋体" w:hAnsi="宋体" w:eastAsia="宋体" w:cs="宋体"/>
          <w:b/>
          <w:bCs/>
          <w:color w:val="auto"/>
          <w:sz w:val="24"/>
          <w:szCs w:val="32"/>
          <w:highlight w:val="none"/>
          <w:lang w:val="en-US" w:eastAsia="zh-CN"/>
        </w:rPr>
        <w:t>3</w:t>
      </w:r>
      <w:r>
        <w:rPr>
          <w:rFonts w:hint="eastAsia" w:ascii="宋体" w:hAnsi="宋体" w:eastAsia="宋体" w:cs="宋体"/>
          <w:b/>
          <w:bCs/>
          <w:color w:val="auto"/>
          <w:sz w:val="24"/>
          <w:szCs w:val="32"/>
          <w:highlight w:val="none"/>
        </w:rPr>
        <w:t>.采购信息公告媒体</w:t>
      </w:r>
    </w:p>
    <w:p w14:paraId="4B25457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rPr>
        <w:t>2</w:t>
      </w:r>
      <w:r>
        <w:rPr>
          <w:rFonts w:hint="eastAsia" w:ascii="宋体" w:hAnsi="宋体" w:eastAsia="宋体" w:cs="宋体"/>
          <w:color w:val="auto"/>
          <w:sz w:val="24"/>
          <w:szCs w:val="32"/>
          <w:highlight w:val="none"/>
          <w:lang w:val="en-US" w:eastAsia="zh-CN"/>
        </w:rPr>
        <w:t>3</w:t>
      </w:r>
      <w:r>
        <w:rPr>
          <w:rFonts w:hint="eastAsia" w:ascii="宋体" w:hAnsi="宋体" w:eastAsia="宋体" w:cs="宋体"/>
          <w:color w:val="auto"/>
          <w:sz w:val="24"/>
          <w:szCs w:val="32"/>
          <w:highlight w:val="none"/>
        </w:rPr>
        <w:t>.1本项目的有关信息，包括但不限于采购公告、更正公告（若有）、竞争性磋商文件、竞争性磋商文件的澄清或修改（若有）、成交公告、终止公告（若有）、废标公告（若有）等都将在竞争性磋商文件载明的指定媒体发布。潜在供应商或供应商务必随时关注，以免遗漏。</w:t>
      </w:r>
    </w:p>
    <w:p w14:paraId="5F43F99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rPr>
        <w:t>2</w:t>
      </w:r>
      <w:r>
        <w:rPr>
          <w:rFonts w:hint="eastAsia" w:ascii="宋体" w:hAnsi="宋体" w:eastAsia="宋体" w:cs="宋体"/>
          <w:color w:val="auto"/>
          <w:sz w:val="24"/>
          <w:szCs w:val="32"/>
          <w:highlight w:val="none"/>
          <w:lang w:val="en-US" w:eastAsia="zh-CN"/>
        </w:rPr>
        <w:t>3</w:t>
      </w:r>
      <w:r>
        <w:rPr>
          <w:rFonts w:hint="eastAsia" w:ascii="宋体" w:hAnsi="宋体" w:eastAsia="宋体" w:cs="宋体"/>
          <w:color w:val="auto"/>
          <w:sz w:val="24"/>
          <w:szCs w:val="32"/>
          <w:highlight w:val="none"/>
        </w:rPr>
        <w:t>.2信息公告指定媒体：详见</w:t>
      </w:r>
      <w:r>
        <w:rPr>
          <w:rFonts w:hint="eastAsia" w:ascii="宋体" w:hAnsi="宋体" w:eastAsia="宋体" w:cs="宋体"/>
          <w:color w:val="auto"/>
          <w:sz w:val="24"/>
          <w:szCs w:val="32"/>
          <w:highlight w:val="none"/>
          <w:lang w:eastAsia="zh-CN"/>
        </w:rPr>
        <w:t>第一章</w:t>
      </w:r>
      <w:r>
        <w:rPr>
          <w:rFonts w:hint="eastAsia" w:ascii="宋体" w:hAnsi="宋体" w:eastAsia="宋体" w:cs="宋体"/>
          <w:color w:val="auto"/>
          <w:sz w:val="24"/>
          <w:szCs w:val="32"/>
          <w:highlight w:val="none"/>
        </w:rPr>
        <w:t>第10</w:t>
      </w:r>
      <w:r>
        <w:rPr>
          <w:rFonts w:hint="eastAsia" w:ascii="宋体" w:hAnsi="宋体" w:eastAsia="宋体" w:cs="宋体"/>
          <w:color w:val="auto"/>
          <w:sz w:val="24"/>
          <w:szCs w:val="32"/>
          <w:highlight w:val="none"/>
          <w:lang w:eastAsia="zh-CN"/>
        </w:rPr>
        <w:t>点</w:t>
      </w:r>
      <w:r>
        <w:rPr>
          <w:rFonts w:hint="eastAsia" w:ascii="宋体" w:hAnsi="宋体" w:eastAsia="宋体" w:cs="宋体"/>
          <w:color w:val="auto"/>
          <w:sz w:val="24"/>
          <w:szCs w:val="32"/>
          <w:highlight w:val="none"/>
        </w:rPr>
        <w:t>。</w:t>
      </w:r>
    </w:p>
    <w:p w14:paraId="1F0BC5B2">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.投诉</w:t>
      </w:r>
    </w:p>
    <w:p w14:paraId="5523101C">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.1若对质疑答复不满意或质疑答复未在答复期限内作出，质疑人可在答复期限届满之日起15个工作日内向竞争性磋商文件中载明的监督管理部门投诉。</w:t>
      </w:r>
    </w:p>
    <w:p w14:paraId="61FAAB0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bCs/>
          <w:color w:val="auto"/>
          <w:sz w:val="24"/>
          <w:szCs w:val="32"/>
          <w:highlight w:val="none"/>
        </w:rPr>
      </w:pPr>
      <w:bookmarkStart w:id="129" w:name="_Toc11677"/>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.2投诉应有明确的请求和必要的证明材料，投诉的事项不得超出已质疑事项的范围。</w:t>
      </w:r>
      <w:bookmarkEnd w:id="129"/>
    </w:p>
    <w:p w14:paraId="1C8F2CE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4"/>
          <w:szCs w:val="32"/>
          <w:highlight w:val="none"/>
        </w:rPr>
      </w:pPr>
      <w:r>
        <w:rPr>
          <w:rFonts w:hint="eastAsia" w:ascii="宋体" w:hAnsi="宋体" w:eastAsia="宋体" w:cs="宋体"/>
          <w:b/>
          <w:bCs/>
          <w:color w:val="auto"/>
          <w:sz w:val="24"/>
          <w:szCs w:val="32"/>
          <w:highlight w:val="none"/>
        </w:rPr>
        <w:t>2</w:t>
      </w:r>
      <w:r>
        <w:rPr>
          <w:rFonts w:hint="eastAsia" w:ascii="宋体" w:hAnsi="宋体" w:eastAsia="宋体" w:cs="宋体"/>
          <w:b/>
          <w:bCs/>
          <w:color w:val="auto"/>
          <w:sz w:val="24"/>
          <w:szCs w:val="32"/>
          <w:highlight w:val="none"/>
          <w:lang w:val="en-US" w:eastAsia="zh-CN"/>
        </w:rPr>
        <w:t>5</w:t>
      </w:r>
      <w:r>
        <w:rPr>
          <w:rFonts w:hint="eastAsia" w:ascii="宋体" w:hAnsi="宋体" w:eastAsia="宋体" w:cs="宋体"/>
          <w:b/>
          <w:bCs/>
          <w:color w:val="auto"/>
          <w:sz w:val="24"/>
          <w:szCs w:val="32"/>
          <w:highlight w:val="none"/>
        </w:rPr>
        <w:t>.监督管理部门</w:t>
      </w:r>
    </w:p>
    <w:p w14:paraId="16F2E2DB">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b/>
          <w:bCs/>
          <w:color w:val="0000FF"/>
          <w:sz w:val="24"/>
          <w:szCs w:val="24"/>
          <w:highlight w:val="none"/>
        </w:rPr>
      </w:pPr>
      <w:r>
        <w:rPr>
          <w:rFonts w:hint="eastAsia" w:ascii="宋体" w:hAnsi="宋体" w:eastAsia="宋体" w:cs="宋体"/>
          <w:color w:val="auto"/>
          <w:sz w:val="24"/>
          <w:szCs w:val="32"/>
          <w:highlight w:val="none"/>
          <w:lang w:val="en-US" w:eastAsia="zh-CN"/>
        </w:rPr>
        <w:t>25</w:t>
      </w:r>
      <w:r>
        <w:rPr>
          <w:rFonts w:hint="eastAsia" w:ascii="宋体" w:hAnsi="宋体" w:eastAsia="宋体" w:cs="宋体"/>
          <w:color w:val="auto"/>
          <w:sz w:val="24"/>
          <w:szCs w:val="32"/>
          <w:highlight w:val="none"/>
        </w:rPr>
        <w:t>.1磋商采购活动的监督管理部门详见</w:t>
      </w:r>
      <w:r>
        <w:rPr>
          <w:rFonts w:hint="eastAsia" w:ascii="宋体" w:hAnsi="宋体" w:eastAsia="宋体" w:cs="宋体"/>
          <w:color w:val="auto"/>
          <w:sz w:val="24"/>
          <w:szCs w:val="32"/>
          <w:highlight w:val="none"/>
          <w:lang w:eastAsia="zh-CN"/>
        </w:rPr>
        <w:t>供应商须知</w:t>
      </w:r>
      <w:r>
        <w:rPr>
          <w:rFonts w:hint="eastAsia" w:ascii="宋体" w:hAnsi="宋体" w:eastAsia="宋体" w:cs="宋体"/>
          <w:color w:val="auto"/>
          <w:sz w:val="24"/>
          <w:szCs w:val="32"/>
          <w:highlight w:val="none"/>
        </w:rPr>
        <w:t>前附表第</w:t>
      </w:r>
      <w:r>
        <w:rPr>
          <w:rFonts w:hint="eastAsia" w:ascii="宋体" w:hAnsi="宋体" w:eastAsia="宋体" w:cs="宋体"/>
          <w:color w:val="auto"/>
          <w:sz w:val="24"/>
          <w:szCs w:val="32"/>
          <w:highlight w:val="none"/>
          <w:lang w:val="en-US" w:eastAsia="zh-CN"/>
        </w:rPr>
        <w:t>7</w:t>
      </w:r>
      <w:r>
        <w:rPr>
          <w:rFonts w:hint="eastAsia" w:ascii="宋体" w:hAnsi="宋体" w:eastAsia="宋体" w:cs="宋体"/>
          <w:color w:val="auto"/>
          <w:sz w:val="24"/>
          <w:szCs w:val="32"/>
          <w:highlight w:val="none"/>
        </w:rPr>
        <w:t>项。</w:t>
      </w:r>
    </w:p>
    <w:p w14:paraId="40E5D82A">
      <w:pPr>
        <w:pStyle w:val="27"/>
        <w:keepNext w:val="0"/>
        <w:keepLines w:val="0"/>
        <w:pageBreakBefore w:val="0"/>
        <w:widowControl w:val="0"/>
        <w:kinsoku/>
        <w:wordWrap/>
        <w:overflowPunct/>
        <w:topLinePunct w:val="0"/>
        <w:autoSpaceDE/>
        <w:autoSpaceDN/>
        <w:bidi w:val="0"/>
        <w:adjustRightInd/>
        <w:snapToGrid w:val="0"/>
        <w:spacing w:line="400" w:lineRule="exact"/>
        <w:ind w:firstLine="482" w:firstLineChars="200"/>
        <w:jc w:val="center"/>
        <w:textAlignment w:val="auto"/>
        <w:outlineLvl w:val="1"/>
        <w:rPr>
          <w:rFonts w:hint="eastAsia" w:ascii="宋体" w:hAnsi="宋体" w:eastAsia="宋体" w:cs="宋体"/>
          <w:b/>
          <w:color w:val="auto"/>
          <w:sz w:val="24"/>
          <w:szCs w:val="24"/>
          <w:highlight w:val="none"/>
          <w:lang w:eastAsia="zh-CN"/>
        </w:rPr>
      </w:pPr>
    </w:p>
    <w:p w14:paraId="4C433D72">
      <w:pPr>
        <w:pStyle w:val="84"/>
        <w:snapToGrid w:val="0"/>
        <w:spacing w:line="360" w:lineRule="auto"/>
        <w:ind w:firstLine="468" w:firstLineChars="195"/>
        <w:rPr>
          <w:rFonts w:hint="eastAsia" w:hAnsi="宋体" w:cs="宋体"/>
          <w:color w:val="auto"/>
        </w:rPr>
      </w:pPr>
    </w:p>
    <w:p w14:paraId="7B6390F1">
      <w:pPr>
        <w:rPr>
          <w:rFonts w:hint="eastAsia" w:ascii="宋体" w:hAnsi="宋体" w:cs="宋体"/>
          <w:color w:val="auto"/>
        </w:rPr>
      </w:pPr>
    </w:p>
    <w:p w14:paraId="04FD77F8">
      <w:pPr>
        <w:pStyle w:val="27"/>
        <w:numPr>
          <w:ilvl w:val="0"/>
          <w:numId w:val="19"/>
        </w:numPr>
        <w:snapToGrid w:val="0"/>
        <w:spacing w:line="360" w:lineRule="auto"/>
        <w:jc w:val="center"/>
        <w:outlineLvl w:val="0"/>
        <w:rPr>
          <w:rFonts w:hint="eastAsia" w:hAnsi="宋体" w:cs="宋体"/>
          <w:b/>
          <w:color w:val="auto"/>
          <w:sz w:val="36"/>
        </w:rPr>
      </w:pPr>
      <w:r>
        <w:rPr>
          <w:rFonts w:hint="eastAsia" w:hAnsi="宋体" w:cs="宋体"/>
          <w:b/>
          <w:color w:val="auto"/>
          <w:sz w:val="36"/>
        </w:rPr>
        <w:br w:type="page"/>
      </w:r>
      <w:bookmarkStart w:id="130" w:name="_Toc18668_WPSOffice_Level1"/>
      <w:bookmarkStart w:id="131" w:name="_Toc22700_WPSOffice_Level1"/>
      <w:bookmarkStart w:id="132" w:name="_Toc32038_WPSOffice_Level1"/>
      <w:r>
        <w:rPr>
          <w:rFonts w:hint="eastAsia" w:hAnsi="宋体" w:cs="宋体"/>
          <w:b/>
          <w:color w:val="auto"/>
          <w:sz w:val="36"/>
        </w:rPr>
        <w:t xml:space="preserve"> </w:t>
      </w:r>
      <w:bookmarkStart w:id="133" w:name="招标内容及要求"/>
      <w:bookmarkStart w:id="134" w:name="_Toc15035"/>
      <w:r>
        <w:rPr>
          <w:rFonts w:hint="eastAsia" w:hAnsi="宋体" w:cs="宋体"/>
          <w:b/>
          <w:color w:val="auto"/>
          <w:sz w:val="36"/>
        </w:rPr>
        <w:t>采购内容及要求</w:t>
      </w:r>
      <w:bookmarkEnd w:id="130"/>
      <w:bookmarkEnd w:id="131"/>
      <w:bookmarkEnd w:id="132"/>
      <w:bookmarkEnd w:id="133"/>
      <w:bookmarkEnd w:id="134"/>
    </w:p>
    <w:p w14:paraId="748BF063">
      <w:pPr>
        <w:keepNext w:val="0"/>
        <w:keepLines w:val="0"/>
        <w:pageBreakBefore w:val="0"/>
        <w:widowControl w:val="0"/>
        <w:numPr>
          <w:ilvl w:val="0"/>
          <w:numId w:val="20"/>
        </w:numPr>
        <w:kinsoku/>
        <w:wordWrap/>
        <w:overflowPunct/>
        <w:topLinePunct w:val="0"/>
        <w:autoSpaceDE/>
        <w:autoSpaceDN/>
        <w:bidi w:val="0"/>
        <w:adjustRightInd/>
        <w:snapToGrid w:val="0"/>
        <w:spacing w:line="400" w:lineRule="exact"/>
        <w:textAlignment w:val="auto"/>
        <w:rPr>
          <w:rFonts w:hint="eastAsia" w:ascii="宋体" w:hAnsi="宋体" w:eastAsia="宋体" w:cs="宋体"/>
          <w:b/>
          <w:color w:val="auto"/>
          <w:sz w:val="24"/>
          <w:szCs w:val="24"/>
        </w:rPr>
      </w:pPr>
      <w:bookmarkStart w:id="135" w:name="_Toc359317661"/>
      <w:bookmarkStart w:id="136" w:name="_Toc358016816"/>
      <w:r>
        <w:rPr>
          <w:rFonts w:hint="eastAsia" w:ascii="宋体" w:hAnsi="宋体" w:eastAsia="宋体" w:cs="宋体"/>
          <w:b/>
          <w:color w:val="auto"/>
          <w:sz w:val="24"/>
          <w:szCs w:val="24"/>
        </w:rPr>
        <w:t>项目概述</w:t>
      </w:r>
    </w:p>
    <w:bookmarkEnd w:id="135"/>
    <w:bookmarkEnd w:id="136"/>
    <w:p w14:paraId="211A16D0">
      <w:pPr>
        <w:pStyle w:val="301"/>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default" w:hAnsi="宋体" w:cs="宋体"/>
          <w:b w:val="0"/>
          <w:bCs/>
          <w:color w:val="auto"/>
          <w:sz w:val="24"/>
          <w:szCs w:val="24"/>
          <w:lang w:val="en-US" w:eastAsia="zh-CN"/>
        </w:rPr>
      </w:pPr>
      <w:bookmarkStart w:id="137" w:name="_Toc2697_WPSOffice_Level2"/>
      <w:bookmarkStart w:id="138" w:name="_Toc18773_WPSOffice_Level2"/>
      <w:r>
        <w:rPr>
          <w:rFonts w:hint="eastAsia" w:ascii="宋体" w:hAnsi="宋体" w:cs="宋体"/>
          <w:b w:val="0"/>
          <w:bCs/>
          <w:color w:val="auto"/>
          <w:sz w:val="24"/>
          <w:szCs w:val="24"/>
          <w:highlight w:val="none"/>
          <w:lang w:val="en-US" w:eastAsia="zh-CN"/>
        </w:rPr>
        <w:t>本项目为福建省建阳兴欣织造有限责任公司</w:t>
      </w:r>
      <w:r>
        <w:rPr>
          <w:rFonts w:hint="eastAsia" w:hAnsi="宋体" w:cs="宋体"/>
          <w:b w:val="0"/>
          <w:bCs/>
          <w:color w:val="auto"/>
          <w:sz w:val="24"/>
          <w:szCs w:val="24"/>
          <w:lang w:eastAsia="zh-CN"/>
        </w:rPr>
        <w:t>建筑消防维护保养服务及相关消防设施配件配送服务采购项目（重新招标），合同期</w:t>
      </w:r>
      <w:r>
        <w:rPr>
          <w:rFonts w:hint="eastAsia" w:hAnsi="宋体" w:cs="宋体"/>
          <w:b w:val="0"/>
          <w:bCs/>
          <w:color w:val="auto"/>
          <w:sz w:val="24"/>
          <w:szCs w:val="24"/>
          <w:lang w:val="en-US" w:eastAsia="zh-CN"/>
        </w:rPr>
        <w:t>2年，</w:t>
      </w:r>
      <w:r>
        <w:rPr>
          <w:rFonts w:hint="eastAsia" w:ascii="宋体" w:hAnsi="宋体" w:eastAsia="宋体" w:cs="宋体"/>
          <w:color w:val="auto"/>
          <w:kern w:val="2"/>
          <w:sz w:val="24"/>
          <w:szCs w:val="24"/>
          <w:highlight w:val="none"/>
          <w:lang w:val="en-US" w:eastAsia="zh-CN" w:bidi="ar-SA"/>
        </w:rPr>
        <w:t>供应商提供的所有产品及服务必须通过合法渠道获得，</w:t>
      </w:r>
      <w:r>
        <w:rPr>
          <w:rFonts w:hint="eastAsia" w:ascii="宋体" w:hAnsi="宋体" w:cs="宋体"/>
          <w:color w:val="auto"/>
          <w:kern w:val="2"/>
          <w:sz w:val="24"/>
          <w:szCs w:val="24"/>
          <w:highlight w:val="none"/>
          <w:lang w:val="en-US" w:eastAsia="zh-CN" w:bidi="ar-SA"/>
        </w:rPr>
        <w:t>满足国家有关行业标准，</w:t>
      </w:r>
      <w:r>
        <w:rPr>
          <w:rFonts w:hint="eastAsia" w:ascii="宋体" w:hAnsi="宋体" w:eastAsia="宋体" w:cs="宋体"/>
          <w:color w:val="auto"/>
          <w:kern w:val="2"/>
          <w:sz w:val="24"/>
          <w:szCs w:val="24"/>
          <w:highlight w:val="none"/>
          <w:lang w:val="en-US" w:eastAsia="zh-CN" w:bidi="ar-SA"/>
        </w:rPr>
        <w:t>具有在中国境内的合法使用权，确保项目实施过程符合法律规定。</w:t>
      </w:r>
    </w:p>
    <w:p w14:paraId="280ACE3E">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1"/>
        <w:rPr>
          <w:rFonts w:hint="eastAsia" w:ascii="宋体" w:hAnsi="宋体" w:eastAsia="宋体" w:cs="宋体"/>
          <w:color w:val="auto"/>
          <w:kern w:val="2"/>
          <w:sz w:val="24"/>
          <w:szCs w:val="24"/>
          <w:highlight w:val="none"/>
          <w:lang w:val="en-US" w:eastAsia="zh-CN" w:bidi="ar-SA"/>
        </w:rPr>
      </w:pPr>
      <w:r>
        <w:rPr>
          <w:rFonts w:hint="eastAsia" w:hAnsi="宋体" w:cs="宋体"/>
          <w:b w:val="0"/>
          <w:bCs/>
          <w:color w:val="auto"/>
          <w:sz w:val="24"/>
          <w:szCs w:val="24"/>
          <w:lang w:val="en-US" w:eastAsia="zh-CN"/>
        </w:rPr>
        <w:t>本项目采用统一折扣报价（例如：打95折为95.00%，保留2位小数），未按要求进行报价的按无效标处理。品目号1-1：</w:t>
      </w:r>
      <w:r>
        <w:rPr>
          <w:rFonts w:hint="eastAsia" w:ascii="宋体" w:hAnsi="宋体" w:cs="宋体"/>
          <w:color w:val="auto"/>
          <w:kern w:val="0"/>
          <w:sz w:val="24"/>
          <w:szCs w:val="20"/>
          <w:lang w:eastAsia="zh-CN" w:bidi="ar"/>
        </w:rPr>
        <w:t>建筑消防维护保养服务按</w:t>
      </w:r>
      <w:r>
        <w:rPr>
          <w:rFonts w:hint="eastAsia" w:ascii="宋体" w:hAnsi="宋体" w:cs="宋体"/>
          <w:color w:val="auto"/>
          <w:kern w:val="0"/>
          <w:sz w:val="24"/>
          <w:szCs w:val="20"/>
          <w:lang w:val="en-US" w:eastAsia="zh-CN" w:bidi="ar"/>
        </w:rPr>
        <w:t>最高限价*折扣进行结算；</w:t>
      </w:r>
      <w:r>
        <w:rPr>
          <w:rFonts w:hint="eastAsia" w:hAnsi="宋体" w:cs="宋体"/>
          <w:b w:val="0"/>
          <w:bCs/>
          <w:color w:val="auto"/>
          <w:sz w:val="24"/>
          <w:szCs w:val="24"/>
          <w:lang w:val="en-US" w:eastAsia="zh-CN"/>
        </w:rPr>
        <w:t>品目号1-2</w:t>
      </w:r>
      <w:r>
        <w:rPr>
          <w:rFonts w:hint="eastAsia" w:ascii="宋体" w:hAnsi="宋体" w:cs="宋体"/>
          <w:color w:val="auto"/>
          <w:kern w:val="0"/>
          <w:sz w:val="24"/>
          <w:szCs w:val="20"/>
          <w:lang w:eastAsia="zh-CN" w:bidi="ar"/>
        </w:rPr>
        <w:t>相关消防设施配件配送服务按</w:t>
      </w:r>
      <w:r>
        <w:rPr>
          <w:rFonts w:hint="eastAsia" w:ascii="宋体" w:hAnsi="宋体" w:cs="宋体"/>
          <w:color w:val="auto"/>
          <w:kern w:val="0"/>
          <w:sz w:val="24"/>
          <w:szCs w:val="20"/>
          <w:lang w:val="en-US" w:eastAsia="zh-CN" w:bidi="ar"/>
        </w:rPr>
        <w:t>最高单价限价*折扣*数量按实结算</w:t>
      </w:r>
      <w:r>
        <w:rPr>
          <w:rFonts w:hint="eastAsia" w:hAnsi="宋体" w:cs="宋体"/>
          <w:b w:val="0"/>
          <w:bCs/>
          <w:color w:val="auto"/>
          <w:sz w:val="24"/>
          <w:szCs w:val="24"/>
          <w:lang w:val="en-US" w:eastAsia="zh-CN"/>
        </w:rPr>
        <w:t>。</w:t>
      </w:r>
      <w:r>
        <w:rPr>
          <w:rFonts w:hint="eastAsia" w:ascii="宋体" w:hAnsi="宋体" w:eastAsia="宋体" w:cs="宋体"/>
          <w:color w:val="auto"/>
          <w:kern w:val="2"/>
          <w:sz w:val="24"/>
          <w:szCs w:val="24"/>
          <w:highlight w:val="none"/>
          <w:lang w:val="en-US" w:eastAsia="zh-CN" w:bidi="ar-SA"/>
        </w:rPr>
        <w:t>该投标报价仅作为本项目的评标价，不作为签订合同的实际采购金额，履行合同过程中的实际采购金额以投标折扣据实计算，但不得超过项目总预算。</w:t>
      </w:r>
    </w:p>
    <w:p w14:paraId="7B0F61BE">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1"/>
        <w:rPr>
          <w:rFonts w:hint="eastAsia" w:ascii="宋体" w:hAnsi="宋体" w:eastAsia="宋体" w:cs="宋体"/>
          <w:color w:val="auto"/>
          <w:kern w:val="2"/>
          <w:sz w:val="32"/>
          <w:szCs w:val="32"/>
          <w:highlight w:val="none"/>
          <w:lang w:val="en-US" w:eastAsia="zh-CN" w:bidi="ar-SA"/>
        </w:rPr>
      </w:pPr>
      <w:r>
        <w:rPr>
          <w:rFonts w:hint="eastAsia" w:ascii="宋体" w:hAnsi="宋体" w:cs="宋体"/>
          <w:bCs/>
          <w:color w:val="auto"/>
          <w:sz w:val="24"/>
          <w:szCs w:val="22"/>
          <w:highlight w:val="none"/>
          <w:lang w:bidi="ar"/>
        </w:rPr>
        <w:t>投标人应以包括项目所涉及的所有费用进行报价，报价包括：本项工作所需的</w:t>
      </w:r>
      <w:r>
        <w:rPr>
          <w:rFonts w:hint="eastAsia" w:ascii="宋体" w:hAnsi="宋体" w:cs="宋体"/>
          <w:bCs/>
          <w:color w:val="auto"/>
          <w:sz w:val="24"/>
          <w:szCs w:val="22"/>
          <w:highlight w:val="none"/>
          <w:lang w:eastAsia="zh-CN" w:bidi="ar"/>
        </w:rPr>
        <w:t>货物</w:t>
      </w:r>
      <w:r>
        <w:rPr>
          <w:rFonts w:hint="eastAsia" w:ascii="宋体" w:hAnsi="宋体" w:cs="宋体"/>
          <w:bCs/>
          <w:color w:val="auto"/>
          <w:sz w:val="24"/>
          <w:szCs w:val="22"/>
          <w:highlight w:val="none"/>
          <w:lang w:bidi="ar"/>
        </w:rPr>
        <w:t>、</w:t>
      </w:r>
      <w:r>
        <w:rPr>
          <w:rFonts w:hint="eastAsia" w:ascii="宋体" w:hAnsi="宋体" w:cs="宋体"/>
          <w:bCs/>
          <w:color w:val="auto"/>
          <w:sz w:val="24"/>
          <w:szCs w:val="22"/>
          <w:highlight w:val="none"/>
          <w:lang w:eastAsia="zh-CN" w:bidi="ar"/>
        </w:rPr>
        <w:t>配送、包装、</w:t>
      </w:r>
      <w:r>
        <w:rPr>
          <w:rFonts w:hint="eastAsia" w:ascii="宋体" w:hAnsi="宋体" w:cs="宋体"/>
          <w:bCs/>
          <w:color w:val="auto"/>
          <w:sz w:val="24"/>
          <w:szCs w:val="22"/>
          <w:highlight w:val="none"/>
          <w:lang w:bidi="ar"/>
        </w:rPr>
        <w:t>保险、税金、员工薪资等政策性文件规定及合同包含的所有风险、不可预见费、</w:t>
      </w:r>
      <w:r>
        <w:rPr>
          <w:rFonts w:hint="eastAsia" w:ascii="宋体" w:hAnsi="宋体" w:cs="宋体"/>
          <w:bCs/>
          <w:color w:val="auto"/>
          <w:sz w:val="24"/>
          <w:szCs w:val="22"/>
          <w:highlight w:val="none"/>
          <w:lang w:val="en-US" w:eastAsia="zh-CN" w:bidi="ar"/>
        </w:rPr>
        <w:t>管理费</w:t>
      </w:r>
      <w:r>
        <w:rPr>
          <w:rFonts w:hint="eastAsia" w:ascii="宋体" w:hAnsi="宋体" w:cs="宋体"/>
          <w:bCs/>
          <w:color w:val="auto"/>
          <w:sz w:val="24"/>
          <w:szCs w:val="22"/>
          <w:highlight w:val="none"/>
          <w:lang w:bidi="ar"/>
        </w:rPr>
        <w:t>、税费、验收等一切服务所涉及的有关项目的所有费用，以及所有根据合同或其他原因应由投标人支付的税金和其他应缴的费用，以及可合理推断的责任和义务。</w:t>
      </w:r>
    </w:p>
    <w:p w14:paraId="782D97CA">
      <w:pPr>
        <w:spacing w:beforeLines="0" w:afterLines="0" w:line="460" w:lineRule="exact"/>
        <w:jc w:val="center"/>
        <w:rPr>
          <w:rFonts w:hint="eastAsia" w:ascii="宋体" w:hAnsi="宋体" w:cs="宋体"/>
          <w:sz w:val="24"/>
          <w:szCs w:val="24"/>
        </w:rPr>
      </w:pPr>
      <w:r>
        <w:rPr>
          <w:rFonts w:hint="eastAsia" w:ascii="宋体" w:hAnsi="宋体" w:cs="宋体"/>
          <w:sz w:val="24"/>
          <w:szCs w:val="24"/>
          <w:lang w:eastAsia="zh-CN"/>
        </w:rPr>
        <w:t>消防</w:t>
      </w:r>
      <w:r>
        <w:rPr>
          <w:rFonts w:hint="eastAsia" w:ascii="宋体" w:hAnsi="宋体" w:cs="宋体"/>
          <w:sz w:val="24"/>
          <w:szCs w:val="24"/>
        </w:rPr>
        <w:t>建筑项目一览表</w:t>
      </w:r>
    </w:p>
    <w:tbl>
      <w:tblPr>
        <w:tblStyle w:val="49"/>
        <w:tblW w:w="92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2423"/>
        <w:gridCol w:w="1950"/>
        <w:gridCol w:w="1454"/>
        <w:gridCol w:w="1927"/>
      </w:tblGrid>
      <w:tr w14:paraId="0FD0D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A0A53DB">
            <w:pPr>
              <w:keepNext w:val="0"/>
              <w:keepLines w:val="0"/>
              <w:widowControl/>
              <w:suppressLineNumbers w:val="0"/>
              <w:spacing w:before="0" w:beforeLines="0" w:beforeAutospacing="0" w:after="0" w:afterLines="0" w:afterAutospacing="0" w:line="460" w:lineRule="exact"/>
              <w:ind w:left="0" w:right="0"/>
              <w:jc w:val="left"/>
              <w:rPr>
                <w:rFonts w:hint="eastAsia" w:ascii="宋体" w:hAnsi="宋体" w:cs="宋体"/>
                <w:sz w:val="24"/>
                <w:szCs w:val="24"/>
              </w:rPr>
            </w:pPr>
            <w:r>
              <w:rPr>
                <w:rFonts w:hint="eastAsia" w:ascii="宋体" w:hAnsi="宋体" w:cs="宋体"/>
                <w:sz w:val="24"/>
                <w:szCs w:val="24"/>
              </w:rPr>
              <w:t>序号</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47F71E">
            <w:pPr>
              <w:keepNext w:val="0"/>
              <w:keepLines w:val="0"/>
              <w:widowControl/>
              <w:suppressLineNumbers w:val="0"/>
              <w:spacing w:before="0" w:beforeLines="0" w:beforeAutospacing="0" w:after="0" w:afterLines="0" w:afterAutospacing="0" w:line="460" w:lineRule="exact"/>
              <w:ind w:left="0" w:right="0"/>
              <w:jc w:val="left"/>
              <w:rPr>
                <w:rFonts w:hint="eastAsia" w:ascii="宋体" w:hAnsi="宋体" w:cs="宋体"/>
                <w:sz w:val="24"/>
                <w:szCs w:val="24"/>
              </w:rPr>
            </w:pPr>
            <w:r>
              <w:rPr>
                <w:rFonts w:hint="eastAsia" w:ascii="宋体" w:hAnsi="宋体" w:cs="宋体"/>
                <w:sz w:val="24"/>
                <w:szCs w:val="24"/>
              </w:rPr>
              <w:t>项目</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220AB149">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建筑面积（㎡）</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72100D6C">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层数</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13197AF">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sz w:val="24"/>
                <w:szCs w:val="24"/>
              </w:rPr>
              <w:t>备注</w:t>
            </w:r>
          </w:p>
        </w:tc>
      </w:tr>
      <w:tr w14:paraId="3DDA0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16B6DB16">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59B870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宿舍</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430336D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5945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5B6B66B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0A9BBF09">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sz w:val="24"/>
                <w:szCs w:val="24"/>
              </w:rPr>
              <w:t>六八分厂员工宿舍</w:t>
            </w:r>
          </w:p>
        </w:tc>
      </w:tr>
      <w:tr w14:paraId="5F999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14704B2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6E16298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值班室（二座）</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0242EB2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120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7AF5A51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3781C7A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28CDF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12B97CD">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3</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60DEBD9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教学楼A</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4A8CF0E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1550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6C93CB9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68B5585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72E38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279CC9C7">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4</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FAF75E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教学楼B</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656686F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1164</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15D88C8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C9F1C7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838F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1458856B">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5</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DFDDFE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宿舍1#</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7AEBB3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2865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025FD5F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29B12CB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2201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1D24D1BB">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6</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01E0936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宿舍2#</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77F85E6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2865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7308B84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44A684E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03633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3AC90DC4">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7</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62A2493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宿舍3#</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250BA92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2865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611224E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8BB5F2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11400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4F386622">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8</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690A0819">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宿舍4#</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07BEF2E9">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2865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72EA164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7C54040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48313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448ABD8F">
            <w:pPr>
              <w:keepNext w:val="0"/>
              <w:keepLines w:val="0"/>
              <w:suppressLineNumbers w:val="0"/>
              <w:spacing w:before="0" w:beforeLines="0" w:beforeAutospacing="0" w:after="0" w:afterLines="0" w:afterAutospacing="0" w:line="460" w:lineRule="exact"/>
              <w:ind w:left="0" w:right="0"/>
              <w:rPr>
                <w:rFonts w:hint="default" w:ascii="宋体" w:hAnsi="宋体" w:cs="宋体"/>
                <w:sz w:val="24"/>
                <w:szCs w:val="24"/>
              </w:rPr>
            </w:pPr>
            <w:r>
              <w:rPr>
                <w:rFonts w:hint="eastAsia" w:ascii="宋体" w:hAnsi="宋体" w:cs="宋体"/>
                <w:kern w:val="0"/>
                <w:sz w:val="24"/>
                <w:szCs w:val="24"/>
              </w:rPr>
              <w:t>9</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41A5843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宿舍5#</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095FBE8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2865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5EB6C30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6D403E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4BF3B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72B89A3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10</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1F07EBA6">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宿舍值班室（五座）</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1260985D">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300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32B8282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0F627DF6">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6C81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62FBDD6">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11</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1A3A732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宿舍</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FA02BD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1360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13094CA6">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7EFEF28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21F78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38E8014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12</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4949B4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九分厂辖区</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4C6ADB99">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8198.4</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541F10D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7850F86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0EE2C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4C8D678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13</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3E3CC80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发电机房</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91C7AE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48</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3258D9C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0B8063D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D3FB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787CCA1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14</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4F11845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伙房</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0D4FB36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1200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5D14D96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1-2</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5D87909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3DE19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29182E5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15</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BA0589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配电房1#</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00BB6DF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70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729AFCB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7D37EA5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14567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AB2DE9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16</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2A77364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消防总池</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34CE5E8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26E8152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619F746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8548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788296B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17</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05D4617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严管队</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19EF126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440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61DD80B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1-2</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49724DF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040EC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4EB81BE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18</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B56705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新训教育楼</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D76B5E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700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41E38A4D">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4E2108F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1E756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5750985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19</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093EF38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总仓</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F6FEB9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3600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4A76A60D">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F7CCA8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7F85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50945E4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20</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032D016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3#车间</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9F0926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3984</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631482C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624293E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760C9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14D0E6D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21</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4D5C477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4#车间</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7221C4ED">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5605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0BFE8EF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5</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70A479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20429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291D6B7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22</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203BB7C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5#车间</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4E56658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4830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3DFBB36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214CBC7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2C3B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705D66C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23</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1A0C9F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6#车间</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799EB44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4830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536A320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712D62B6">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01B55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5BF8F45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24</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1EA4A2F9">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7#车间</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2453366">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4830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37F74A2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406CA99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0AE2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1F9E892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25</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FFE09E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电教楼</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66B87C1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3952</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1EA9354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76CEB9D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527F5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54CBB5D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26</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4290A0D">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厂区办公室</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3C396C4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1652</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681D63D9">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69511A9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791B8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439F769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27</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0995AA7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会见综合楼</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C65AF0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1600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29E93A4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1-2</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2AE76FE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28137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8561EB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28</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3A5C909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配电房2#</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76A8C4A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127</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295F17F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6668958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044B8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2C81785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29</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E99326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武警营房</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126C140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2198</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27C6AD0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00F3C869">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233D1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C18BD0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30</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1AA2F86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员工备勤综合楼</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031069F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13169</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0E603BF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1-6</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2B46D0B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3C6B5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A58C9D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31</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544E5CB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办公指挥中心</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0859754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5985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701B82C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7</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4E360F9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6F835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5BFFB77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32</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4FCD88E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消防水池</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429E4D3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2E8ECC6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2868603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697F7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37FB14D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33</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30F519D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民警备勤综合楼</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0AC3AB5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1756</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69B0261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1-2</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6C18BCC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72657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7760BFA4">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34</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06F5B95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车库</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3504081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456</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1A77FDC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4F116F8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4E0A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375FC56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sz w:val="24"/>
                <w:szCs w:val="24"/>
              </w:rPr>
              <w:t>35</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4E62F123">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停车场</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36AF14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3AC1F89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435FAA4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3EAF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DBB8F1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36</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124119B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值班室</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1B51233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85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699CCD6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07D9376D">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25F92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18E7D87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sz w:val="24"/>
                <w:szCs w:val="24"/>
              </w:rPr>
              <w:t>37</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534C094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医院</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59E7713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1430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1559A1C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C69CD0E">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30DCD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71514CA6">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38</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361EBA59">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岗楼（八座）</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61A3ACD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160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4E9775CF">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2</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989842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6B272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6F59ED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39</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7E2B963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配电房3#</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3FDA40F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80</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02BFC765">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B80D97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r w14:paraId="0AD3C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29E8DC8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40</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61DC995B">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办公附属楼</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64CDB1BA">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1435</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476FEAA7">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3</w:t>
            </w: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61EF2322">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sz w:val="24"/>
                <w:szCs w:val="24"/>
              </w:rPr>
              <w:t>营区</w:t>
            </w:r>
          </w:p>
        </w:tc>
      </w:tr>
      <w:tr w14:paraId="47742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dxa"/>
            <w:tcBorders>
              <w:top w:val="single" w:color="auto" w:sz="4" w:space="0"/>
              <w:left w:val="single" w:color="auto" w:sz="4" w:space="0"/>
              <w:bottom w:val="single" w:color="auto" w:sz="4" w:space="0"/>
              <w:right w:val="single" w:color="auto" w:sz="4" w:space="0"/>
              <w:tl2br w:val="nil"/>
              <w:tr2bl w:val="nil"/>
            </w:tcBorders>
            <w:noWrap w:val="0"/>
            <w:vAlign w:val="top"/>
          </w:tcPr>
          <w:p w14:paraId="624F9108">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41</w:t>
            </w:r>
          </w:p>
        </w:tc>
        <w:tc>
          <w:tcPr>
            <w:tcW w:w="2423" w:type="dxa"/>
            <w:tcBorders>
              <w:top w:val="single" w:color="auto" w:sz="4" w:space="0"/>
              <w:left w:val="single" w:color="auto" w:sz="4" w:space="0"/>
              <w:bottom w:val="single" w:color="auto" w:sz="4" w:space="0"/>
              <w:right w:val="single" w:color="auto" w:sz="4" w:space="0"/>
              <w:tl2br w:val="nil"/>
              <w:tr2bl w:val="nil"/>
            </w:tcBorders>
            <w:noWrap w:val="0"/>
            <w:vAlign w:val="top"/>
          </w:tcPr>
          <w:p w14:paraId="3082A47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kern w:val="0"/>
                <w:sz w:val="24"/>
                <w:szCs w:val="24"/>
              </w:rPr>
              <w:t>合计</w:t>
            </w:r>
          </w:p>
        </w:tc>
        <w:tc>
          <w:tcPr>
            <w:tcW w:w="1950" w:type="dxa"/>
            <w:tcBorders>
              <w:top w:val="single" w:color="auto" w:sz="4" w:space="0"/>
              <w:left w:val="single" w:color="auto" w:sz="4" w:space="0"/>
              <w:bottom w:val="single" w:color="auto" w:sz="4" w:space="0"/>
              <w:right w:val="single" w:color="auto" w:sz="4" w:space="0"/>
              <w:tl2br w:val="nil"/>
              <w:tr2bl w:val="nil"/>
            </w:tcBorders>
            <w:noWrap w:val="0"/>
            <w:vAlign w:val="top"/>
          </w:tcPr>
          <w:p w14:paraId="3D54DFD0">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r>
              <w:rPr>
                <w:rFonts w:hint="eastAsia" w:ascii="宋体" w:hAnsi="宋体" w:cs="宋体"/>
                <w:sz w:val="24"/>
                <w:szCs w:val="24"/>
              </w:rPr>
              <w:t>97184.4</w:t>
            </w:r>
          </w:p>
        </w:tc>
        <w:tc>
          <w:tcPr>
            <w:tcW w:w="1454" w:type="dxa"/>
            <w:tcBorders>
              <w:top w:val="single" w:color="auto" w:sz="4" w:space="0"/>
              <w:left w:val="single" w:color="auto" w:sz="4" w:space="0"/>
              <w:bottom w:val="single" w:color="auto" w:sz="4" w:space="0"/>
              <w:right w:val="single" w:color="auto" w:sz="4" w:space="0"/>
              <w:tl2br w:val="nil"/>
              <w:tr2bl w:val="nil"/>
            </w:tcBorders>
            <w:noWrap w:val="0"/>
            <w:vAlign w:val="top"/>
          </w:tcPr>
          <w:p w14:paraId="6CF20331">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c>
          <w:tcPr>
            <w:tcW w:w="1927" w:type="dxa"/>
            <w:tcBorders>
              <w:top w:val="single" w:color="auto" w:sz="4" w:space="0"/>
              <w:left w:val="single" w:color="auto" w:sz="4" w:space="0"/>
              <w:bottom w:val="single" w:color="auto" w:sz="4" w:space="0"/>
              <w:right w:val="single" w:color="auto" w:sz="4" w:space="0"/>
              <w:tl2br w:val="nil"/>
              <w:tr2bl w:val="nil"/>
            </w:tcBorders>
            <w:noWrap w:val="0"/>
            <w:vAlign w:val="top"/>
          </w:tcPr>
          <w:p w14:paraId="1C9BF35C">
            <w:pPr>
              <w:keepNext w:val="0"/>
              <w:keepLines w:val="0"/>
              <w:suppressLineNumbers w:val="0"/>
              <w:spacing w:before="0" w:beforeLines="0" w:beforeAutospacing="0" w:after="0" w:afterLines="0" w:afterAutospacing="0" w:line="460" w:lineRule="exact"/>
              <w:ind w:left="0" w:right="0"/>
              <w:rPr>
                <w:rFonts w:hint="eastAsia" w:ascii="宋体" w:hAnsi="宋体" w:cs="宋体"/>
                <w:sz w:val="24"/>
                <w:szCs w:val="24"/>
              </w:rPr>
            </w:pPr>
          </w:p>
        </w:tc>
      </w:tr>
    </w:tbl>
    <w:p w14:paraId="2EDC5955">
      <w:pPr>
        <w:spacing w:beforeLines="0" w:afterLines="0" w:line="460" w:lineRule="exact"/>
        <w:rPr>
          <w:rFonts w:hint="eastAsia" w:ascii="宋体" w:hAnsi="宋体" w:cs="宋体"/>
          <w:sz w:val="24"/>
          <w:szCs w:val="24"/>
        </w:rPr>
      </w:pPr>
      <w:r>
        <w:rPr>
          <w:rFonts w:hint="eastAsia" w:ascii="宋体" w:hAnsi="宋体" w:cs="宋体"/>
          <w:sz w:val="24"/>
          <w:szCs w:val="24"/>
        </w:rPr>
        <w:t xml:space="preserve"> </w:t>
      </w:r>
    </w:p>
    <w:p w14:paraId="40F3E652">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1"/>
        <w:rPr>
          <w:rFonts w:hint="default" w:hAnsi="宋体" w:cs="宋体"/>
          <w:b w:val="0"/>
          <w:bCs/>
          <w:color w:val="auto"/>
          <w:sz w:val="24"/>
          <w:szCs w:val="24"/>
          <w:lang w:val="en-US" w:eastAsia="zh-CN"/>
        </w:rPr>
      </w:pPr>
    </w:p>
    <w:p w14:paraId="4BD9DE71">
      <w:pPr>
        <w:keepNext w:val="0"/>
        <w:keepLines w:val="0"/>
        <w:pageBreakBefore w:val="0"/>
        <w:widowControl w:val="0"/>
        <w:numPr>
          <w:ilvl w:val="0"/>
          <w:numId w:val="20"/>
        </w:numPr>
        <w:kinsoku/>
        <w:wordWrap/>
        <w:overflowPunct/>
        <w:topLinePunct w:val="0"/>
        <w:autoSpaceDE/>
        <w:autoSpaceDN/>
        <w:bidi w:val="0"/>
        <w:adjustRightInd/>
        <w:snapToGrid w:val="0"/>
        <w:spacing w:line="400" w:lineRule="exact"/>
        <w:ind w:left="0" w:leftChars="0" w:firstLine="0" w:firstLineChars="0"/>
        <w:textAlignment w:val="auto"/>
        <w:outlineLvl w:val="1"/>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技术和服务要求</w:t>
      </w:r>
    </w:p>
    <w:p w14:paraId="1853E949">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leftChars="0"/>
        <w:textAlignment w:val="auto"/>
        <w:outlineLvl w:val="1"/>
        <w:rPr>
          <w:rFonts w:hint="eastAsia" w:asciiTheme="minorEastAsia" w:hAnsiTheme="minorEastAsia" w:eastAsiaTheme="minorEastAsia" w:cstheme="minorEastAsia"/>
          <w:b/>
          <w:bCs/>
          <w:color w:val="auto"/>
          <w:kern w:val="0"/>
          <w:sz w:val="24"/>
          <w:szCs w:val="24"/>
          <w:highlight w:val="none"/>
          <w:lang w:eastAsia="zh-CN"/>
        </w:rPr>
      </w:pPr>
      <w:r>
        <w:rPr>
          <w:rFonts w:hint="eastAsia" w:asciiTheme="minorEastAsia" w:hAnsiTheme="minorEastAsia" w:eastAsiaTheme="minorEastAsia" w:cstheme="minorEastAsia"/>
          <w:b/>
          <w:bCs/>
          <w:color w:val="auto"/>
          <w:kern w:val="0"/>
          <w:sz w:val="24"/>
          <w:szCs w:val="24"/>
          <w:lang w:val="en-US" w:eastAsia="zh-CN" w:bidi="ar"/>
        </w:rPr>
        <w:t>品目1-1</w:t>
      </w:r>
      <w:r>
        <w:rPr>
          <w:rFonts w:hint="eastAsia" w:asciiTheme="minorEastAsia" w:hAnsiTheme="minorEastAsia" w:eastAsiaTheme="minorEastAsia" w:cstheme="minorEastAsia"/>
          <w:b/>
          <w:bCs/>
          <w:color w:val="auto"/>
          <w:kern w:val="0"/>
          <w:sz w:val="24"/>
          <w:szCs w:val="24"/>
          <w:lang w:eastAsia="zh-CN" w:bidi="ar"/>
        </w:rPr>
        <w:t>建筑消防维护保养服务：</w:t>
      </w:r>
    </w:p>
    <w:p w14:paraId="0E70421A">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default" w:asciiTheme="minorEastAsia" w:hAnsiTheme="minorEastAsia" w:eastAsiaTheme="minorEastAsia" w:cstheme="minorEastAsia"/>
          <w:bCs/>
          <w:sz w:val="24"/>
          <w:szCs w:val="24"/>
          <w:highlight w:val="none"/>
          <w:lang w:val="en-US" w:eastAsia="zh-CN"/>
        </w:rPr>
      </w:pPr>
      <w:r>
        <w:rPr>
          <w:rFonts w:hint="eastAsia" w:asciiTheme="minorEastAsia" w:hAnsiTheme="minorEastAsia" w:eastAsiaTheme="minorEastAsia" w:cstheme="minorEastAsia"/>
          <w:b/>
          <w:sz w:val="24"/>
          <w:szCs w:val="24"/>
          <w:highlight w:val="none"/>
          <w:lang w:val="en-US" w:eastAsia="zh-CN"/>
        </w:rPr>
        <w:t>★</w:t>
      </w:r>
      <w:r>
        <w:rPr>
          <w:rFonts w:hint="eastAsia" w:asciiTheme="minorEastAsia" w:hAnsiTheme="minorEastAsia" w:eastAsiaTheme="minorEastAsia" w:cstheme="minorEastAsia"/>
          <w:bCs/>
          <w:sz w:val="24"/>
          <w:szCs w:val="24"/>
          <w:highlight w:val="none"/>
          <w:lang w:val="en-US" w:eastAsia="zh-CN"/>
        </w:rPr>
        <w:t>（一）</w:t>
      </w:r>
      <w:r>
        <w:rPr>
          <w:rFonts w:hint="eastAsia" w:asciiTheme="minorEastAsia" w:hAnsiTheme="minorEastAsia" w:eastAsiaTheme="minorEastAsia" w:cstheme="minorEastAsia"/>
          <w:bCs/>
          <w:sz w:val="24"/>
          <w:szCs w:val="24"/>
          <w:highlight w:val="none"/>
        </w:rPr>
        <w:t>维保服务内容包括但不限于：对火灾自动报警系统、火灾自动喷水灭火系统、气体自动灭火系统、消防供水系统(含稳压系统)、消防供配电系统(不含发电机)、室内消火栓系统、室外消火栓系统、水泵结合器、手动报警按钮、消火栓启泵按钮、消防电话、图形显示器、应急照明及疏散指示、灭火器等的故障维修、检测、定期保养、更换配件、设备调试等事项</w:t>
      </w:r>
      <w:r>
        <w:rPr>
          <w:rFonts w:hint="eastAsia" w:asciiTheme="minorEastAsia" w:hAnsiTheme="minorEastAsia" w:eastAsiaTheme="minorEastAsia" w:cstheme="minorEastAsia"/>
          <w:bCs/>
          <w:sz w:val="24"/>
          <w:szCs w:val="24"/>
          <w:highlight w:val="none"/>
          <w:lang w:eastAsia="zh-CN"/>
        </w:rPr>
        <w:t>、</w:t>
      </w:r>
      <w:r>
        <w:rPr>
          <w:rFonts w:hint="eastAsia" w:asciiTheme="minorEastAsia" w:hAnsiTheme="minorEastAsia" w:eastAsiaTheme="minorEastAsia" w:cstheme="minorEastAsia"/>
          <w:bCs/>
          <w:sz w:val="24"/>
          <w:szCs w:val="24"/>
          <w:highlight w:val="none"/>
          <w:lang w:val="en-US" w:eastAsia="zh-CN"/>
        </w:rPr>
        <w:t>以及本辖区范围内涉及用电安全检查排查故障维修服务等。</w:t>
      </w:r>
    </w:p>
    <w:p w14:paraId="090D41F8">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bCs/>
          <w:sz w:val="24"/>
          <w:szCs w:val="24"/>
          <w:highlight w:val="none"/>
          <w:lang w:val="en-US" w:eastAsia="zh-CN"/>
        </w:rPr>
      </w:pPr>
      <w:r>
        <w:rPr>
          <w:rFonts w:hint="eastAsia" w:asciiTheme="minorEastAsia" w:hAnsiTheme="minorEastAsia" w:eastAsiaTheme="minorEastAsia" w:cstheme="minorEastAsia"/>
          <w:b/>
          <w:sz w:val="24"/>
          <w:szCs w:val="24"/>
          <w:highlight w:val="none"/>
          <w:lang w:val="en-US" w:eastAsia="zh-CN"/>
        </w:rPr>
        <w:t>★</w:t>
      </w:r>
      <w:r>
        <w:rPr>
          <w:rFonts w:hint="eastAsia" w:asciiTheme="minorEastAsia" w:hAnsiTheme="minorEastAsia" w:eastAsiaTheme="minorEastAsia" w:cstheme="minorEastAsia"/>
          <w:bCs/>
          <w:sz w:val="24"/>
          <w:szCs w:val="24"/>
          <w:highlight w:val="none"/>
          <w:lang w:val="en-US" w:eastAsia="zh-CN"/>
        </w:rPr>
        <w:t>（二）消防设施器配件供应根据已核定的维修方案，据实结算，包括采购，运输配送及安装调试等在内的其他人工、机械及少量辅助材料，供应商在投标时应当考虑在内，采购方不在另行采购清单外器配件。</w:t>
      </w:r>
    </w:p>
    <w:p w14:paraId="1E4752FA">
      <w:pPr>
        <w:keepNext w:val="0"/>
        <w:keepLines w:val="0"/>
        <w:pageBreakBefore w:val="0"/>
        <w:kinsoku/>
        <w:wordWrap/>
        <w:overflowPunct/>
        <w:topLinePunct w:val="0"/>
        <w:autoSpaceDE/>
        <w:autoSpaceDN/>
        <w:bidi w:val="0"/>
        <w:adjustRightInd/>
        <w:spacing w:line="500" w:lineRule="exact"/>
        <w:rPr>
          <w:rFonts w:hint="eastAsia" w:asciiTheme="minorEastAsia" w:hAnsiTheme="minorEastAsia" w:eastAsiaTheme="minorEastAsia" w:cstheme="minorEastAsia"/>
          <w:vanish/>
          <w:sz w:val="24"/>
          <w:szCs w:val="24"/>
          <w:highlight w:val="none"/>
        </w:rPr>
      </w:pPr>
    </w:p>
    <w:p w14:paraId="279E7A12">
      <w:pPr>
        <w:keepNext w:val="0"/>
        <w:keepLines w:val="0"/>
        <w:pageBreakBefore w:val="0"/>
        <w:kinsoku/>
        <w:wordWrap/>
        <w:overflowPunct/>
        <w:topLinePunct w:val="0"/>
        <w:autoSpaceDE/>
        <w:autoSpaceDN/>
        <w:bidi w:val="0"/>
        <w:adjustRightInd/>
        <w:spacing w:line="500" w:lineRule="exact"/>
        <w:ind w:firstLine="482" w:firstLineChars="200"/>
        <w:jc w:val="left"/>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
          <w:sz w:val="24"/>
          <w:szCs w:val="24"/>
          <w:highlight w:val="none"/>
          <w:lang w:val="en-US" w:eastAsia="zh-CN"/>
        </w:rPr>
        <w:t xml:space="preserve">  </w:t>
      </w:r>
      <w:r>
        <w:rPr>
          <w:rFonts w:hint="eastAsia" w:asciiTheme="minorEastAsia" w:hAnsiTheme="minorEastAsia" w:eastAsiaTheme="minorEastAsia" w:cstheme="minorEastAsia"/>
          <w:bCs/>
          <w:sz w:val="24"/>
          <w:szCs w:val="24"/>
          <w:highlight w:val="none"/>
          <w:lang w:eastAsia="zh-CN"/>
        </w:rPr>
        <w:t>（</w:t>
      </w:r>
      <w:r>
        <w:rPr>
          <w:rFonts w:hint="eastAsia" w:asciiTheme="minorEastAsia" w:hAnsiTheme="minorEastAsia" w:eastAsiaTheme="minorEastAsia" w:cstheme="minorEastAsia"/>
          <w:bCs/>
          <w:sz w:val="24"/>
          <w:szCs w:val="24"/>
          <w:highlight w:val="none"/>
          <w:lang w:val="en-US" w:eastAsia="zh-CN"/>
        </w:rPr>
        <w:t>三</w:t>
      </w:r>
      <w:r>
        <w:rPr>
          <w:rFonts w:hint="eastAsia" w:asciiTheme="minorEastAsia" w:hAnsiTheme="minorEastAsia" w:eastAsiaTheme="minorEastAsia" w:cstheme="minorEastAsia"/>
          <w:bCs/>
          <w:sz w:val="24"/>
          <w:szCs w:val="24"/>
          <w:highlight w:val="none"/>
          <w:lang w:eastAsia="zh-CN"/>
        </w:rPr>
        <w:t>）</w:t>
      </w:r>
      <w:r>
        <w:rPr>
          <w:rFonts w:hint="eastAsia" w:asciiTheme="minorEastAsia" w:hAnsiTheme="minorEastAsia" w:eastAsiaTheme="minorEastAsia" w:cstheme="minorEastAsia"/>
          <w:bCs/>
          <w:sz w:val="24"/>
          <w:szCs w:val="24"/>
          <w:highlight w:val="none"/>
        </w:rPr>
        <w:t>质量要求和维保服务要求</w:t>
      </w:r>
    </w:p>
    <w:p w14:paraId="6EC6E7FD">
      <w:pPr>
        <w:keepNext w:val="0"/>
        <w:keepLines w:val="0"/>
        <w:pageBreakBefore w:val="0"/>
        <w:kinsoku/>
        <w:wordWrap/>
        <w:overflowPunct/>
        <w:topLinePunct w:val="0"/>
        <w:autoSpaceDE/>
        <w:autoSpaceDN/>
        <w:bidi w:val="0"/>
        <w:adjustRightInd/>
        <w:spacing w:line="500" w:lineRule="exact"/>
        <w:ind w:firstLine="482" w:firstLineChars="200"/>
        <w:jc w:val="left"/>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
          <w:sz w:val="24"/>
          <w:szCs w:val="24"/>
          <w:highlight w:val="none"/>
          <w:lang w:val="en-US" w:eastAsia="zh-CN"/>
        </w:rPr>
        <w:t>★</w:t>
      </w:r>
      <w:r>
        <w:rPr>
          <w:rFonts w:hint="eastAsia" w:asciiTheme="minorEastAsia" w:hAnsiTheme="minorEastAsia" w:eastAsiaTheme="minorEastAsia" w:cstheme="minorEastAsia"/>
          <w:bCs/>
          <w:sz w:val="24"/>
          <w:szCs w:val="24"/>
          <w:highlight w:val="none"/>
        </w:rPr>
        <w:t>1.维保服务不得低于下述任一个标准要求</w:t>
      </w:r>
    </w:p>
    <w:p w14:paraId="749968AD">
      <w:pPr>
        <w:keepNext w:val="0"/>
        <w:keepLines w:val="0"/>
        <w:pageBreakBefore w:val="0"/>
        <w:widowControl/>
        <w:numPr>
          <w:ilvl w:val="-1"/>
          <w:numId w:val="0"/>
        </w:numPr>
        <w:kinsoku/>
        <w:wordWrap/>
        <w:overflowPunct/>
        <w:topLinePunct w:val="0"/>
        <w:autoSpaceDE/>
        <w:autoSpaceDN/>
        <w:bidi w:val="0"/>
        <w:adjustRightInd/>
        <w:snapToGrid/>
        <w:spacing w:line="500" w:lineRule="exact"/>
        <w:ind w:right="0" w:rightChars="0" w:firstLine="0" w:firstLineChars="0"/>
        <w:textAlignment w:val="auto"/>
        <w:rPr>
          <w:rFonts w:hint="eastAsia" w:asciiTheme="minorEastAsia" w:hAnsiTheme="minorEastAsia" w:eastAsiaTheme="minorEastAsia" w:cstheme="minorEastAsia"/>
          <w:bCs/>
          <w:sz w:val="24"/>
          <w:szCs w:val="24"/>
          <w:highlight w:val="none"/>
          <w:lang w:val="en-US" w:eastAsia="zh-CN"/>
        </w:rPr>
      </w:pPr>
      <w:r>
        <w:rPr>
          <w:rFonts w:hint="eastAsia" w:asciiTheme="minorEastAsia" w:hAnsiTheme="minorEastAsia" w:eastAsiaTheme="minorEastAsia" w:cstheme="minorEastAsia"/>
          <w:bCs/>
          <w:sz w:val="24"/>
          <w:szCs w:val="24"/>
          <w:highlight w:val="none"/>
          <w:lang w:val="en-US" w:eastAsia="zh-CN"/>
        </w:rPr>
        <w:t>《中华人民共和国消防法》；</w:t>
      </w:r>
    </w:p>
    <w:p w14:paraId="5A981544">
      <w:pPr>
        <w:keepNext w:val="0"/>
        <w:keepLines w:val="0"/>
        <w:pageBreakBefore w:val="0"/>
        <w:widowControl/>
        <w:numPr>
          <w:ilvl w:val="-1"/>
          <w:numId w:val="0"/>
        </w:numPr>
        <w:kinsoku/>
        <w:wordWrap/>
        <w:overflowPunct/>
        <w:topLinePunct w:val="0"/>
        <w:autoSpaceDE/>
        <w:autoSpaceDN/>
        <w:bidi w:val="0"/>
        <w:adjustRightInd/>
        <w:snapToGrid/>
        <w:spacing w:line="500" w:lineRule="exact"/>
        <w:ind w:right="0" w:rightChars="0" w:firstLine="0" w:firstLineChars="0"/>
        <w:textAlignment w:val="auto"/>
        <w:rPr>
          <w:rFonts w:hint="eastAsia" w:asciiTheme="minorEastAsia" w:hAnsiTheme="minorEastAsia" w:eastAsiaTheme="minorEastAsia" w:cstheme="minorEastAsia"/>
          <w:bCs/>
          <w:sz w:val="24"/>
          <w:szCs w:val="24"/>
          <w:highlight w:val="none"/>
          <w:lang w:val="en-US" w:eastAsia="zh-CN"/>
        </w:rPr>
      </w:pPr>
      <w:r>
        <w:rPr>
          <w:rFonts w:hint="eastAsia" w:asciiTheme="minorEastAsia" w:hAnsiTheme="minorEastAsia" w:eastAsiaTheme="minorEastAsia" w:cstheme="minorEastAsia"/>
          <w:bCs/>
          <w:sz w:val="24"/>
          <w:szCs w:val="24"/>
          <w:highlight w:val="none"/>
          <w:lang w:val="en-US" w:eastAsia="zh-CN"/>
        </w:rPr>
        <w:t>《火灾自动报警系统施工及验收规范》GB50166-2019；</w:t>
      </w:r>
    </w:p>
    <w:p w14:paraId="6D71D850">
      <w:pPr>
        <w:keepNext w:val="0"/>
        <w:keepLines w:val="0"/>
        <w:pageBreakBefore w:val="0"/>
        <w:widowControl/>
        <w:numPr>
          <w:ilvl w:val="-1"/>
          <w:numId w:val="0"/>
        </w:numPr>
        <w:kinsoku/>
        <w:wordWrap/>
        <w:overflowPunct/>
        <w:topLinePunct w:val="0"/>
        <w:autoSpaceDE/>
        <w:autoSpaceDN/>
        <w:bidi w:val="0"/>
        <w:adjustRightInd/>
        <w:snapToGrid/>
        <w:spacing w:line="500" w:lineRule="exact"/>
        <w:ind w:right="0" w:rightChars="0" w:firstLine="0" w:firstLineChars="0"/>
        <w:textAlignment w:val="auto"/>
        <w:rPr>
          <w:rFonts w:hint="eastAsia" w:asciiTheme="minorEastAsia" w:hAnsiTheme="minorEastAsia" w:eastAsiaTheme="minorEastAsia" w:cstheme="minorEastAsia"/>
          <w:bCs/>
          <w:sz w:val="24"/>
          <w:szCs w:val="24"/>
          <w:highlight w:val="none"/>
          <w:lang w:val="en-US" w:eastAsia="zh-CN"/>
        </w:rPr>
      </w:pPr>
      <w:r>
        <w:rPr>
          <w:rFonts w:hint="eastAsia" w:asciiTheme="minorEastAsia" w:hAnsiTheme="minorEastAsia" w:eastAsiaTheme="minorEastAsia" w:cstheme="minorEastAsia"/>
          <w:bCs/>
          <w:sz w:val="24"/>
          <w:szCs w:val="24"/>
          <w:highlight w:val="none"/>
          <w:lang w:val="en-US" w:eastAsia="zh-CN"/>
        </w:rPr>
        <w:t>《自动喷水灭火系统施工与验收规范 》GB50261-2017；</w:t>
      </w:r>
    </w:p>
    <w:p w14:paraId="38B6B76F">
      <w:pPr>
        <w:keepNext w:val="0"/>
        <w:keepLines w:val="0"/>
        <w:pageBreakBefore w:val="0"/>
        <w:widowControl/>
        <w:numPr>
          <w:ilvl w:val="-1"/>
          <w:numId w:val="0"/>
        </w:numPr>
        <w:kinsoku/>
        <w:wordWrap/>
        <w:overflowPunct/>
        <w:topLinePunct w:val="0"/>
        <w:autoSpaceDE/>
        <w:autoSpaceDN/>
        <w:bidi w:val="0"/>
        <w:adjustRightInd/>
        <w:snapToGrid/>
        <w:spacing w:line="500" w:lineRule="exact"/>
        <w:ind w:right="0" w:rightChars="0" w:firstLine="0" w:firstLineChars="0"/>
        <w:textAlignment w:val="auto"/>
        <w:rPr>
          <w:rFonts w:hint="eastAsia" w:asciiTheme="minorEastAsia" w:hAnsiTheme="minorEastAsia" w:eastAsiaTheme="minorEastAsia" w:cstheme="minorEastAsia"/>
          <w:bCs/>
          <w:sz w:val="24"/>
          <w:szCs w:val="24"/>
          <w:highlight w:val="none"/>
          <w:lang w:val="en-US" w:eastAsia="zh-CN"/>
        </w:rPr>
      </w:pPr>
      <w:r>
        <w:rPr>
          <w:rFonts w:hint="eastAsia" w:asciiTheme="minorEastAsia" w:hAnsiTheme="minorEastAsia" w:eastAsiaTheme="minorEastAsia" w:cstheme="minorEastAsia"/>
          <w:bCs/>
          <w:sz w:val="24"/>
          <w:szCs w:val="24"/>
          <w:highlight w:val="none"/>
          <w:lang w:val="en-US" w:eastAsia="zh-CN"/>
        </w:rPr>
        <w:t>《消防给水及消火栓系统技术规范 》GB50974-2014；</w:t>
      </w:r>
    </w:p>
    <w:p w14:paraId="163D6448">
      <w:pPr>
        <w:keepNext w:val="0"/>
        <w:keepLines w:val="0"/>
        <w:pageBreakBefore w:val="0"/>
        <w:widowControl/>
        <w:numPr>
          <w:ilvl w:val="-1"/>
          <w:numId w:val="0"/>
        </w:numPr>
        <w:kinsoku/>
        <w:wordWrap/>
        <w:overflowPunct/>
        <w:topLinePunct w:val="0"/>
        <w:autoSpaceDE/>
        <w:autoSpaceDN/>
        <w:bidi w:val="0"/>
        <w:adjustRightInd/>
        <w:snapToGrid/>
        <w:spacing w:line="500" w:lineRule="exact"/>
        <w:ind w:right="0" w:rightChars="0" w:firstLine="0" w:firstLineChars="0"/>
        <w:textAlignment w:val="auto"/>
        <w:rPr>
          <w:rFonts w:hint="eastAsia" w:asciiTheme="minorEastAsia" w:hAnsiTheme="minorEastAsia" w:eastAsiaTheme="minorEastAsia" w:cstheme="minorEastAsia"/>
          <w:bCs/>
          <w:sz w:val="24"/>
          <w:szCs w:val="24"/>
          <w:highlight w:val="none"/>
          <w:lang w:val="en-US" w:eastAsia="zh-CN"/>
        </w:rPr>
      </w:pPr>
      <w:r>
        <w:rPr>
          <w:rFonts w:hint="eastAsia" w:asciiTheme="minorEastAsia" w:hAnsiTheme="minorEastAsia" w:eastAsiaTheme="minorEastAsia" w:cstheme="minorEastAsia"/>
          <w:bCs/>
          <w:sz w:val="24"/>
          <w:szCs w:val="24"/>
          <w:highlight w:val="none"/>
          <w:lang w:val="en-US" w:eastAsia="zh-CN"/>
        </w:rPr>
        <w:t>《建筑消防设施的维护管理》GB25201-2010；</w:t>
      </w:r>
    </w:p>
    <w:p w14:paraId="570B7135">
      <w:pPr>
        <w:keepNext w:val="0"/>
        <w:keepLines w:val="0"/>
        <w:pageBreakBefore w:val="0"/>
        <w:widowControl/>
        <w:numPr>
          <w:ilvl w:val="-1"/>
          <w:numId w:val="0"/>
        </w:numPr>
        <w:kinsoku/>
        <w:wordWrap/>
        <w:overflowPunct/>
        <w:topLinePunct w:val="0"/>
        <w:autoSpaceDE/>
        <w:autoSpaceDN/>
        <w:bidi w:val="0"/>
        <w:adjustRightInd/>
        <w:snapToGrid/>
        <w:spacing w:line="500" w:lineRule="exact"/>
        <w:ind w:right="0" w:rightChars="0" w:firstLine="0" w:firstLineChars="0"/>
        <w:textAlignment w:val="auto"/>
        <w:rPr>
          <w:rFonts w:hint="eastAsia" w:asciiTheme="minorEastAsia" w:hAnsiTheme="minorEastAsia" w:eastAsiaTheme="minorEastAsia" w:cstheme="minorEastAsia"/>
          <w:bCs/>
          <w:sz w:val="24"/>
          <w:szCs w:val="24"/>
          <w:highlight w:val="none"/>
          <w:lang w:val="en-US" w:eastAsia="zh-CN"/>
        </w:rPr>
      </w:pPr>
      <w:r>
        <w:rPr>
          <w:rFonts w:hint="eastAsia" w:asciiTheme="minorEastAsia" w:hAnsiTheme="minorEastAsia" w:eastAsiaTheme="minorEastAsia" w:cstheme="minorEastAsia"/>
          <w:bCs/>
          <w:sz w:val="24"/>
          <w:szCs w:val="24"/>
          <w:highlight w:val="none"/>
          <w:lang w:val="en-US" w:eastAsia="zh-CN"/>
        </w:rPr>
        <w:t>《建筑消防设施检测技术规程》(GB/T44481-2024)；</w:t>
      </w:r>
    </w:p>
    <w:p w14:paraId="407F8E79">
      <w:pPr>
        <w:keepNext w:val="0"/>
        <w:keepLines w:val="0"/>
        <w:pageBreakBefore w:val="0"/>
        <w:kinsoku/>
        <w:wordWrap/>
        <w:overflowPunct/>
        <w:topLinePunct w:val="0"/>
        <w:autoSpaceDE/>
        <w:autoSpaceDN/>
        <w:bidi w:val="0"/>
        <w:adjustRightInd/>
        <w:spacing w:line="500" w:lineRule="exact"/>
        <w:ind w:firstLine="0" w:firstLineChars="0"/>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lang w:val="en-US" w:eastAsia="zh-CN"/>
        </w:rPr>
        <w:t>《福建省消防条例》等。</w:t>
      </w:r>
    </w:p>
    <w:p w14:paraId="25DBAEAB">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b/>
          <w:kern w:val="0"/>
          <w:sz w:val="24"/>
          <w:szCs w:val="24"/>
          <w:highlight w:val="none"/>
        </w:rPr>
      </w:pPr>
      <w:bookmarkStart w:id="139" w:name="_Toc416013298"/>
      <w:r>
        <w:rPr>
          <w:rFonts w:hint="eastAsia" w:asciiTheme="minorEastAsia" w:hAnsiTheme="minorEastAsia" w:eastAsiaTheme="minorEastAsia" w:cstheme="minorEastAsia"/>
          <w:b/>
          <w:kern w:val="0"/>
          <w:sz w:val="24"/>
          <w:szCs w:val="24"/>
          <w:highlight w:val="none"/>
        </w:rPr>
        <w:t>2.维保服务内容及要求</w:t>
      </w:r>
    </w:p>
    <w:p w14:paraId="3E377D85">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sz w:val="24"/>
          <w:szCs w:val="24"/>
          <w:highlight w:val="none"/>
          <w:lang w:val="en-US" w:eastAsia="zh-CN"/>
        </w:rPr>
        <w:t>★</w:t>
      </w:r>
      <w:r>
        <w:rPr>
          <w:rFonts w:hint="eastAsia" w:asciiTheme="minorEastAsia" w:hAnsiTheme="minorEastAsia" w:eastAsiaTheme="minorEastAsia" w:cstheme="minorEastAsia"/>
          <w:kern w:val="0"/>
          <w:sz w:val="24"/>
          <w:szCs w:val="24"/>
          <w:highlight w:val="none"/>
          <w:lang w:val="en-US" w:eastAsia="zh-CN"/>
        </w:rPr>
        <w:t>2</w:t>
      </w:r>
      <w:r>
        <w:rPr>
          <w:rFonts w:hint="eastAsia" w:asciiTheme="minorEastAsia" w:hAnsiTheme="minorEastAsia" w:eastAsiaTheme="minorEastAsia" w:cstheme="minorEastAsia"/>
          <w:kern w:val="0"/>
          <w:sz w:val="24"/>
          <w:szCs w:val="24"/>
          <w:highlight w:val="none"/>
        </w:rPr>
        <w:t>.</w:t>
      </w:r>
      <w:r>
        <w:rPr>
          <w:rFonts w:hint="eastAsia" w:asciiTheme="minorEastAsia" w:hAnsiTheme="minorEastAsia" w:eastAsiaTheme="minorEastAsia" w:cstheme="minorEastAsia"/>
          <w:kern w:val="0"/>
          <w:sz w:val="24"/>
          <w:szCs w:val="24"/>
          <w:highlight w:val="none"/>
          <w:lang w:val="en-US" w:eastAsia="zh-CN"/>
        </w:rPr>
        <w:t>1</w:t>
      </w:r>
      <w:r>
        <w:rPr>
          <w:rFonts w:hint="eastAsia" w:asciiTheme="minorEastAsia" w:hAnsiTheme="minorEastAsia" w:eastAsiaTheme="minorEastAsia" w:cstheme="minorEastAsia"/>
          <w:kern w:val="0"/>
          <w:sz w:val="24"/>
          <w:szCs w:val="24"/>
          <w:highlight w:val="none"/>
          <w:lang w:eastAsia="zh-CN"/>
        </w:rPr>
        <w:t>成交供应商</w:t>
      </w:r>
      <w:r>
        <w:rPr>
          <w:rFonts w:hint="eastAsia" w:asciiTheme="minorEastAsia" w:hAnsiTheme="minorEastAsia" w:eastAsiaTheme="minorEastAsia" w:cstheme="minorEastAsia"/>
          <w:kern w:val="0"/>
          <w:sz w:val="24"/>
          <w:szCs w:val="24"/>
          <w:highlight w:val="none"/>
        </w:rPr>
        <w:t>必须保证其维保服务满足《</w:t>
      </w:r>
      <w:r>
        <w:rPr>
          <w:rFonts w:hint="eastAsia" w:asciiTheme="minorEastAsia" w:hAnsiTheme="minorEastAsia" w:eastAsiaTheme="minorEastAsia" w:cstheme="minorEastAsia"/>
          <w:kern w:val="0"/>
          <w:sz w:val="24"/>
          <w:szCs w:val="24"/>
          <w:highlight w:val="none"/>
          <w:lang w:eastAsia="zh-CN"/>
        </w:rPr>
        <w:t>福建省建阳兴欣织造有限责任</w:t>
      </w:r>
      <w:r>
        <w:rPr>
          <w:rFonts w:hint="eastAsia" w:asciiTheme="minorEastAsia" w:hAnsiTheme="minorEastAsia" w:eastAsiaTheme="minorEastAsia" w:cstheme="minorEastAsia"/>
          <w:kern w:val="0"/>
          <w:sz w:val="24"/>
          <w:szCs w:val="24"/>
          <w:highlight w:val="none"/>
        </w:rPr>
        <w:t>公司维保服务方案》的维保要求，并承担由此发生的一切费用。采购物资需符合国家有关标准。</w:t>
      </w:r>
    </w:p>
    <w:p w14:paraId="4B996373">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kern w:val="0"/>
          <w:sz w:val="24"/>
          <w:szCs w:val="24"/>
          <w:highlight w:val="none"/>
          <w:lang w:eastAsia="zh-CN"/>
        </w:rPr>
      </w:pPr>
      <w:r>
        <w:rPr>
          <w:rFonts w:hint="eastAsia" w:asciiTheme="minorEastAsia" w:hAnsiTheme="minorEastAsia" w:eastAsiaTheme="minorEastAsia" w:cstheme="minorEastAsia"/>
          <w:b/>
          <w:sz w:val="24"/>
          <w:szCs w:val="24"/>
          <w:highlight w:val="none"/>
          <w:lang w:val="en-US" w:eastAsia="zh-CN"/>
        </w:rPr>
        <w:t>（项号1）</w:t>
      </w:r>
      <w:r>
        <w:rPr>
          <w:rFonts w:hint="eastAsia" w:asciiTheme="minorEastAsia" w:hAnsiTheme="minorEastAsia" w:eastAsiaTheme="minorEastAsia" w:cstheme="minorEastAsia"/>
          <w:kern w:val="0"/>
          <w:sz w:val="24"/>
          <w:szCs w:val="24"/>
          <w:highlight w:val="none"/>
        </w:rPr>
        <w:t xml:space="preserve"> </w:t>
      </w:r>
      <w:r>
        <w:rPr>
          <w:rFonts w:hint="eastAsia" w:asciiTheme="minorEastAsia" w:hAnsiTheme="minorEastAsia" w:eastAsiaTheme="minorEastAsia" w:cstheme="minorEastAsia"/>
          <w:kern w:val="0"/>
          <w:sz w:val="24"/>
          <w:szCs w:val="24"/>
          <w:highlight w:val="none"/>
          <w:lang w:val="en-US" w:eastAsia="zh-CN"/>
        </w:rPr>
        <w:t>2</w:t>
      </w:r>
      <w:r>
        <w:rPr>
          <w:rFonts w:hint="eastAsia" w:asciiTheme="minorEastAsia" w:hAnsiTheme="minorEastAsia" w:eastAsiaTheme="minorEastAsia" w:cstheme="minorEastAsia"/>
          <w:kern w:val="0"/>
          <w:sz w:val="24"/>
          <w:szCs w:val="24"/>
          <w:highlight w:val="none"/>
        </w:rPr>
        <w:t>.2</w:t>
      </w:r>
      <w:r>
        <w:rPr>
          <w:rFonts w:hint="eastAsia" w:asciiTheme="minorEastAsia" w:hAnsiTheme="minorEastAsia" w:eastAsiaTheme="minorEastAsia" w:cstheme="minorEastAsia"/>
          <w:kern w:val="0"/>
          <w:sz w:val="24"/>
          <w:szCs w:val="24"/>
          <w:highlight w:val="none"/>
          <w:lang w:eastAsia="zh-CN"/>
        </w:rPr>
        <w:t>成交供应商</w:t>
      </w:r>
      <w:r>
        <w:rPr>
          <w:rFonts w:hint="eastAsia" w:asciiTheme="minorEastAsia" w:hAnsiTheme="minorEastAsia" w:eastAsiaTheme="minorEastAsia" w:cstheme="minorEastAsia"/>
          <w:kern w:val="0"/>
          <w:sz w:val="24"/>
          <w:szCs w:val="24"/>
          <w:highlight w:val="none"/>
        </w:rPr>
        <w:t>应结合采购人消防系统的现状对安装调试、修复及运行过程，有计划地对采购人派出的消防设备管理人员进行现场培训（包括基本知识、使用、维护保养技术等）</w:t>
      </w:r>
      <w:r>
        <w:rPr>
          <w:rFonts w:hint="eastAsia" w:asciiTheme="minorEastAsia" w:hAnsiTheme="minorEastAsia" w:eastAsiaTheme="minorEastAsia" w:cstheme="minorEastAsia"/>
          <w:kern w:val="0"/>
          <w:sz w:val="24"/>
          <w:szCs w:val="24"/>
          <w:highlight w:val="none"/>
          <w:lang w:eastAsia="zh-CN"/>
        </w:rPr>
        <w:t>。</w:t>
      </w:r>
    </w:p>
    <w:p w14:paraId="129FF53D">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b/>
          <w:bCs/>
          <w:kern w:val="0"/>
          <w:sz w:val="24"/>
          <w:szCs w:val="24"/>
          <w:highlight w:val="none"/>
          <w:lang w:val="en-US" w:eastAsia="zh-CN"/>
        </w:rPr>
        <w:t>（项号2）</w:t>
      </w:r>
      <w:r>
        <w:rPr>
          <w:rFonts w:hint="eastAsia" w:asciiTheme="minorEastAsia" w:hAnsiTheme="minorEastAsia" w:eastAsiaTheme="minorEastAsia" w:cstheme="minorEastAsia"/>
          <w:kern w:val="0"/>
          <w:sz w:val="24"/>
          <w:szCs w:val="24"/>
          <w:highlight w:val="none"/>
          <w:lang w:val="en-US" w:eastAsia="zh-CN"/>
        </w:rPr>
        <w:t xml:space="preserve"> 2.3</w:t>
      </w:r>
      <w:r>
        <w:rPr>
          <w:rFonts w:hint="eastAsia" w:asciiTheme="minorEastAsia" w:hAnsiTheme="minorEastAsia" w:eastAsiaTheme="minorEastAsia" w:cstheme="minorEastAsia"/>
          <w:kern w:val="0"/>
          <w:sz w:val="24"/>
          <w:szCs w:val="24"/>
          <w:highlight w:val="none"/>
        </w:rPr>
        <w:t>指导采购人人员进行日常检查，以保证消防系统的良好运行状态；</w:t>
      </w:r>
    </w:p>
    <w:p w14:paraId="04D84C18">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（项号3）</w:t>
      </w:r>
      <w:r>
        <w:rPr>
          <w:rFonts w:hint="eastAsia" w:asciiTheme="minorEastAsia" w:hAnsiTheme="minorEastAsia" w:eastAsiaTheme="minorEastAsia" w:cstheme="minorEastAsia"/>
          <w:color w:val="auto"/>
          <w:kern w:val="0"/>
          <w:sz w:val="24"/>
          <w:szCs w:val="24"/>
          <w:highlight w:val="none"/>
          <w:lang w:val="en-US" w:eastAsia="zh-CN"/>
        </w:rPr>
        <w:t>2</w:t>
      </w: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4</w:t>
      </w:r>
      <w:r>
        <w:rPr>
          <w:rFonts w:hint="eastAsia" w:asciiTheme="minorEastAsia" w:hAnsiTheme="minorEastAsia" w:eastAsiaTheme="minorEastAsia" w:cstheme="minorEastAsia"/>
          <w:color w:val="auto"/>
          <w:kern w:val="0"/>
          <w:sz w:val="24"/>
          <w:szCs w:val="24"/>
          <w:highlight w:val="none"/>
        </w:rPr>
        <w:t>故障排除、诊断服务：当系统故障发生时或采购人有技术问题咨询时，</w:t>
      </w:r>
      <w:r>
        <w:rPr>
          <w:rFonts w:hint="eastAsia" w:asciiTheme="minorEastAsia" w:hAnsiTheme="minorEastAsia" w:eastAsiaTheme="minorEastAsia" w:cstheme="minorEastAsia"/>
          <w:color w:val="auto"/>
          <w:kern w:val="0"/>
          <w:sz w:val="24"/>
          <w:szCs w:val="24"/>
          <w:highlight w:val="none"/>
          <w:lang w:eastAsia="zh-CN"/>
        </w:rPr>
        <w:t>成交供应商</w:t>
      </w:r>
      <w:r>
        <w:rPr>
          <w:rFonts w:hint="eastAsia" w:asciiTheme="minorEastAsia" w:hAnsiTheme="minorEastAsia" w:eastAsiaTheme="minorEastAsia" w:cstheme="minorEastAsia"/>
          <w:color w:val="auto"/>
          <w:kern w:val="0"/>
          <w:sz w:val="24"/>
          <w:szCs w:val="24"/>
          <w:highlight w:val="none"/>
        </w:rPr>
        <w:t>必须对系统出现的问题或采购人询问的问题进行及时的处理、故障排除和解答，以保证采购人系统的正常运行；日常维护服务：提供保证消防系统正常运行所需的日常性维护，全年覆盖全部消防相关设备设施，至少包含以下系统的维护保养、检查测试、故障排查及修复：</w:t>
      </w:r>
    </w:p>
    <w:p w14:paraId="2F0BA829">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（项号4）</w:t>
      </w:r>
      <w:r>
        <w:rPr>
          <w:rFonts w:hint="eastAsia" w:asciiTheme="minorEastAsia" w:hAnsiTheme="minorEastAsia" w:eastAsiaTheme="minorEastAsia" w:cstheme="minorEastAsia"/>
          <w:color w:val="auto"/>
          <w:kern w:val="0"/>
          <w:sz w:val="24"/>
          <w:szCs w:val="24"/>
          <w:highlight w:val="none"/>
        </w:rPr>
        <w:t>（1）</w:t>
      </w:r>
      <w:r>
        <w:rPr>
          <w:rFonts w:hint="eastAsia" w:asciiTheme="minorEastAsia" w:hAnsiTheme="minorEastAsia" w:eastAsiaTheme="minorEastAsia" w:cstheme="minorEastAsia"/>
          <w:color w:val="auto"/>
          <w:kern w:val="0"/>
          <w:sz w:val="24"/>
          <w:szCs w:val="24"/>
          <w:highlight w:val="none"/>
          <w:lang w:eastAsia="zh-CN"/>
        </w:rPr>
        <w:t>成交供应商</w:t>
      </w:r>
      <w:r>
        <w:rPr>
          <w:rFonts w:hint="eastAsia" w:asciiTheme="minorEastAsia" w:hAnsiTheme="minorEastAsia" w:eastAsiaTheme="minorEastAsia" w:cstheme="minorEastAsia"/>
          <w:color w:val="auto"/>
          <w:kern w:val="0"/>
          <w:sz w:val="24"/>
          <w:szCs w:val="24"/>
          <w:highlight w:val="none"/>
        </w:rPr>
        <w:t>工作人员在采购人工作场所必须严格遵守采购人各项规章制度，进场人员必须报备采购人，并为作业人员缴纳保险，不得带与工作无关的人员进入服务区。</w:t>
      </w:r>
    </w:p>
    <w:p w14:paraId="7690B367">
      <w:pPr>
        <w:autoSpaceDE w:val="0"/>
        <w:spacing w:before="0" w:after="0" w:line="500" w:lineRule="exact"/>
        <w:ind w:firstLine="482" w:firstLineChars="200"/>
        <w:jc w:val="both"/>
        <w:rPr>
          <w:rFonts w:hint="eastAsia" w:ascii="宋体" w:hAnsi="宋体" w:eastAsia="宋体" w:cs="宋体"/>
          <w:kern w:val="0"/>
          <w:sz w:val="24"/>
          <w:szCs w:val="24"/>
          <w:highlight w:val="none"/>
          <w:lang w:val="en-US" w:eastAsia="zh-CN" w:bidi="ar"/>
        </w:rPr>
      </w:pPr>
      <w:r>
        <w:rPr>
          <w:rFonts w:hint="eastAsia" w:ascii="宋体" w:hAnsi="宋体" w:eastAsia="宋体" w:cs="宋体"/>
          <w:b/>
          <w:bCs w:val="0"/>
          <w:kern w:val="2"/>
          <w:sz w:val="24"/>
          <w:szCs w:val="24"/>
          <w:highlight w:val="none"/>
          <w:lang w:val="en-US" w:eastAsia="zh-CN" w:bidi="ar"/>
        </w:rPr>
        <w:t>（项号5）</w:t>
      </w:r>
      <w:r>
        <w:rPr>
          <w:rFonts w:hint="eastAsia" w:ascii="宋体" w:hAnsi="宋体" w:eastAsia="宋体" w:cs="宋体"/>
          <w:kern w:val="0"/>
          <w:sz w:val="24"/>
          <w:szCs w:val="24"/>
          <w:highlight w:val="none"/>
          <w:lang w:val="en-US" w:eastAsia="zh-CN" w:bidi="ar"/>
        </w:rPr>
        <w:t>（2）每次巡检、维保前应提前联系采购人以确认具体的维保时间。</w:t>
      </w:r>
    </w:p>
    <w:p w14:paraId="6549A481">
      <w:pPr>
        <w:autoSpaceDE w:val="0"/>
        <w:spacing w:before="0" w:after="0" w:line="500" w:lineRule="exact"/>
        <w:ind w:firstLine="482" w:firstLineChars="200"/>
        <w:jc w:val="both"/>
        <w:rPr>
          <w:rFonts w:hint="eastAsia" w:ascii="宋体" w:hAnsi="宋体" w:eastAsia="宋体" w:cs="宋体"/>
          <w:kern w:val="0"/>
          <w:sz w:val="24"/>
          <w:szCs w:val="24"/>
          <w:highlight w:val="none"/>
          <w:lang w:val="en-US" w:eastAsia="zh-CN" w:bidi="ar"/>
        </w:rPr>
      </w:pPr>
      <w:r>
        <w:rPr>
          <w:rFonts w:hint="eastAsia" w:ascii="宋体" w:hAnsi="宋体" w:eastAsia="宋体" w:cs="宋体"/>
          <w:b/>
          <w:bCs/>
          <w:kern w:val="0"/>
          <w:sz w:val="24"/>
          <w:szCs w:val="24"/>
          <w:highlight w:val="none"/>
          <w:lang w:val="en-US" w:eastAsia="zh-CN" w:bidi="ar"/>
        </w:rPr>
        <w:t>（项号6）</w:t>
      </w:r>
      <w:r>
        <w:rPr>
          <w:rFonts w:hint="eastAsia" w:ascii="宋体" w:hAnsi="宋体" w:eastAsia="宋体" w:cs="宋体"/>
          <w:kern w:val="0"/>
          <w:sz w:val="24"/>
          <w:szCs w:val="24"/>
          <w:highlight w:val="none"/>
          <w:lang w:val="en-US" w:eastAsia="zh-CN" w:bidi="ar"/>
        </w:rPr>
        <w:t>（3）每次巡检、维保时应当接受采购人的监督，巡检结束后须提供维保内容及维修内容，未完成的故障修复必须报告采购人。</w:t>
      </w:r>
    </w:p>
    <w:p w14:paraId="0AE3E8E4">
      <w:pPr>
        <w:autoSpaceDE w:val="0"/>
        <w:spacing w:before="0" w:after="0" w:line="500" w:lineRule="exact"/>
        <w:ind w:firstLine="482" w:firstLineChars="200"/>
        <w:jc w:val="both"/>
        <w:rPr>
          <w:rFonts w:hint="eastAsia"/>
          <w:highlight w:val="none"/>
        </w:rPr>
      </w:pPr>
      <w:r>
        <w:rPr>
          <w:rFonts w:hint="eastAsia" w:ascii="宋体" w:hAnsi="宋体" w:eastAsia="宋体" w:cs="宋体"/>
          <w:b/>
          <w:bCs/>
          <w:kern w:val="0"/>
          <w:sz w:val="24"/>
          <w:szCs w:val="24"/>
          <w:highlight w:val="none"/>
          <w:lang w:val="en-US" w:eastAsia="zh-CN" w:bidi="ar"/>
        </w:rPr>
        <w:t>（项号7）</w:t>
      </w:r>
      <w:r>
        <w:rPr>
          <w:rFonts w:hint="eastAsia" w:ascii="宋体" w:hAnsi="宋体" w:eastAsia="宋体" w:cs="宋体"/>
          <w:kern w:val="0"/>
          <w:sz w:val="24"/>
          <w:szCs w:val="24"/>
          <w:highlight w:val="none"/>
          <w:lang w:val="en-US" w:eastAsia="zh-CN" w:bidi="ar"/>
        </w:rPr>
        <w:t>（4）需</w:t>
      </w:r>
      <w:r>
        <w:rPr>
          <w:rFonts w:hint="eastAsia" w:ascii="宋体" w:hAnsi="宋体" w:cs="宋体"/>
          <w:kern w:val="0"/>
          <w:sz w:val="24"/>
          <w:szCs w:val="24"/>
          <w:highlight w:val="none"/>
          <w:lang w:val="en-US" w:eastAsia="zh-CN" w:bidi="ar"/>
        </w:rPr>
        <w:t>成交供应商</w:t>
      </w:r>
      <w:r>
        <w:rPr>
          <w:rFonts w:hint="eastAsia" w:ascii="宋体" w:hAnsi="宋体" w:eastAsia="宋体" w:cs="宋体"/>
          <w:kern w:val="0"/>
          <w:sz w:val="24"/>
          <w:szCs w:val="24"/>
          <w:highlight w:val="none"/>
          <w:lang w:val="en-US" w:eastAsia="zh-CN" w:bidi="ar"/>
        </w:rPr>
        <w:t>采购的物资应及时提报采购方。维保过程使用的工具、防护用品由</w:t>
      </w:r>
      <w:r>
        <w:rPr>
          <w:rFonts w:hint="eastAsia" w:ascii="宋体" w:hAnsi="宋体" w:cs="宋体"/>
          <w:kern w:val="0"/>
          <w:sz w:val="24"/>
          <w:szCs w:val="24"/>
          <w:highlight w:val="none"/>
          <w:lang w:val="en-US" w:eastAsia="zh-CN" w:bidi="ar"/>
        </w:rPr>
        <w:t>成交供应商</w:t>
      </w:r>
      <w:r>
        <w:rPr>
          <w:rFonts w:hint="eastAsia" w:ascii="宋体" w:hAnsi="宋体" w:eastAsia="宋体" w:cs="宋体"/>
          <w:kern w:val="0"/>
          <w:sz w:val="24"/>
          <w:szCs w:val="24"/>
          <w:highlight w:val="none"/>
          <w:lang w:val="en-US" w:eastAsia="zh-CN" w:bidi="ar"/>
        </w:rPr>
        <w:t>负责。</w:t>
      </w:r>
    </w:p>
    <w:p w14:paraId="6B5F78AD">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b/>
          <w:sz w:val="24"/>
          <w:szCs w:val="24"/>
          <w:highlight w:val="none"/>
          <w:lang w:val="en-US" w:eastAsia="zh-CN"/>
        </w:rPr>
        <w:t>★</w:t>
      </w: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5</w:t>
      </w: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eastAsia="zh-CN"/>
        </w:rPr>
        <w:t>成交供应商</w:t>
      </w:r>
      <w:r>
        <w:rPr>
          <w:rFonts w:hint="eastAsia" w:asciiTheme="minorEastAsia" w:hAnsiTheme="minorEastAsia" w:eastAsiaTheme="minorEastAsia" w:cstheme="minorEastAsia"/>
          <w:color w:val="auto"/>
          <w:kern w:val="0"/>
          <w:sz w:val="24"/>
          <w:szCs w:val="24"/>
          <w:highlight w:val="none"/>
        </w:rPr>
        <w:t>在接到报修通知（</w:t>
      </w:r>
      <w:r>
        <w:rPr>
          <w:rFonts w:hint="eastAsia" w:asciiTheme="minorEastAsia" w:hAnsiTheme="minorEastAsia" w:eastAsiaTheme="minorEastAsia" w:cstheme="minorEastAsia"/>
          <w:color w:val="auto"/>
          <w:kern w:val="0"/>
          <w:sz w:val="24"/>
          <w:szCs w:val="24"/>
        </w:rPr>
        <w:t>含电话、短信、微信等通知）后，1小时内响应，3小时判定故障；采购人需要现场服务的，8小时内到达现场，到达现场后48小时内解决故障。对于系统性故障、较大消防隐患需在4小时内达到现场处理。未能按约定时间到场处理的需经采购人同意。在采购人需要技术支持时，</w:t>
      </w:r>
      <w:r>
        <w:rPr>
          <w:rFonts w:hint="eastAsia" w:asciiTheme="minorEastAsia" w:hAnsiTheme="minorEastAsia" w:eastAsiaTheme="minorEastAsia" w:cstheme="minorEastAsia"/>
          <w:color w:val="auto"/>
          <w:kern w:val="0"/>
          <w:sz w:val="24"/>
          <w:szCs w:val="24"/>
          <w:lang w:eastAsia="zh-CN"/>
        </w:rPr>
        <w:t>成交供应商</w:t>
      </w:r>
      <w:r>
        <w:rPr>
          <w:rFonts w:hint="eastAsia" w:asciiTheme="minorEastAsia" w:hAnsiTheme="minorEastAsia" w:eastAsiaTheme="minorEastAsia" w:cstheme="minorEastAsia"/>
          <w:color w:val="auto"/>
          <w:kern w:val="0"/>
          <w:sz w:val="24"/>
          <w:szCs w:val="24"/>
        </w:rPr>
        <w:t>应在接到采购人要求时24小时内到达现场提</w:t>
      </w:r>
      <w:r>
        <w:rPr>
          <w:rFonts w:hint="eastAsia" w:asciiTheme="minorEastAsia" w:hAnsiTheme="minorEastAsia" w:eastAsiaTheme="minorEastAsia" w:cstheme="minorEastAsia"/>
          <w:color w:val="auto"/>
          <w:kern w:val="0"/>
          <w:sz w:val="24"/>
          <w:szCs w:val="24"/>
          <w:highlight w:val="none"/>
        </w:rPr>
        <w:t>供技术支持。对于多次出现故障、误报或者误动作的，应查明原因，从根本上解决问题。</w:t>
      </w:r>
    </w:p>
    <w:p w14:paraId="0BE2F634">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（项号8）</w:t>
      </w:r>
      <w:r>
        <w:rPr>
          <w:rFonts w:hint="eastAsia" w:asciiTheme="minorEastAsia" w:hAnsiTheme="minorEastAsia" w:eastAsiaTheme="minorEastAsia" w:cstheme="minorEastAsia"/>
          <w:color w:val="auto"/>
          <w:kern w:val="0"/>
          <w:sz w:val="24"/>
          <w:szCs w:val="24"/>
          <w:highlight w:val="none"/>
          <w:lang w:val="en-US" w:eastAsia="zh-CN"/>
        </w:rPr>
        <w:t>2</w:t>
      </w: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6</w:t>
      </w:r>
      <w:r>
        <w:rPr>
          <w:rFonts w:hint="eastAsia" w:asciiTheme="minorEastAsia" w:hAnsiTheme="minorEastAsia" w:eastAsiaTheme="minorEastAsia" w:cstheme="minorEastAsia"/>
          <w:color w:val="auto"/>
          <w:kern w:val="0"/>
          <w:sz w:val="24"/>
          <w:szCs w:val="24"/>
          <w:highlight w:val="none"/>
        </w:rPr>
        <w:t>负责设备设施维护保养工作，必须按照消防部门统一印发的《建筑消防设施维护保养》内容要求，按时完成每月、每季度、每年度的维护保养项目。</w:t>
      </w:r>
    </w:p>
    <w:p w14:paraId="065AEF2A">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（项号9）</w:t>
      </w:r>
      <w:r>
        <w:rPr>
          <w:rFonts w:hint="eastAsia" w:asciiTheme="minorEastAsia" w:hAnsiTheme="minorEastAsia" w:eastAsiaTheme="minorEastAsia" w:cstheme="minorEastAsia"/>
          <w:color w:val="auto"/>
          <w:kern w:val="0"/>
          <w:sz w:val="24"/>
          <w:szCs w:val="24"/>
          <w:highlight w:val="none"/>
          <w:lang w:val="en-US" w:eastAsia="zh-CN"/>
        </w:rPr>
        <w:t>2.7</w:t>
      </w:r>
      <w:r>
        <w:rPr>
          <w:rFonts w:hint="eastAsia" w:asciiTheme="minorEastAsia" w:hAnsiTheme="minorEastAsia" w:eastAsiaTheme="minorEastAsia" w:cstheme="minorEastAsia"/>
          <w:color w:val="auto"/>
          <w:kern w:val="0"/>
          <w:sz w:val="24"/>
          <w:szCs w:val="24"/>
          <w:highlight w:val="none"/>
        </w:rPr>
        <w:t>按照消防部门要求对消防系统进行全面的检测，并出具国家认可的有效的检测报告。(所有检测费用由</w:t>
      </w:r>
      <w:r>
        <w:rPr>
          <w:rFonts w:hint="eastAsia" w:asciiTheme="minorEastAsia" w:hAnsiTheme="minorEastAsia" w:eastAsiaTheme="minorEastAsia" w:cstheme="minorEastAsia"/>
          <w:color w:val="auto"/>
          <w:kern w:val="0"/>
          <w:sz w:val="24"/>
          <w:szCs w:val="24"/>
          <w:highlight w:val="none"/>
          <w:lang w:val="en-US" w:eastAsia="zh-CN"/>
        </w:rPr>
        <w:t>成交供应商</w:t>
      </w:r>
      <w:r>
        <w:rPr>
          <w:rFonts w:hint="eastAsia" w:asciiTheme="minorEastAsia" w:hAnsiTheme="minorEastAsia" w:eastAsiaTheme="minorEastAsia" w:cstheme="minorEastAsia"/>
          <w:color w:val="auto"/>
          <w:kern w:val="0"/>
          <w:sz w:val="24"/>
          <w:szCs w:val="24"/>
          <w:highlight w:val="none"/>
        </w:rPr>
        <w:t>承担)</w:t>
      </w:r>
      <w:bookmarkEnd w:id="139"/>
    </w:p>
    <w:p w14:paraId="0E0200E8">
      <w:pPr>
        <w:keepNext w:val="0"/>
        <w:keepLines w:val="0"/>
        <w:pageBreakBefore w:val="0"/>
        <w:kinsoku/>
        <w:wordWrap/>
        <w:overflowPunct/>
        <w:topLinePunct w:val="0"/>
        <w:autoSpaceDE/>
        <w:autoSpaceDN/>
        <w:bidi w:val="0"/>
        <w:adjustRightInd/>
        <w:spacing w:line="500" w:lineRule="exact"/>
        <w:ind w:firstLine="480"/>
        <w:rPr>
          <w:rFonts w:hint="eastAsia" w:asciiTheme="minorEastAsia" w:hAnsiTheme="minorEastAsia" w:eastAsiaTheme="minorEastAsia" w:cstheme="minorEastAsia"/>
          <w:color w:val="auto"/>
          <w:sz w:val="24"/>
          <w:szCs w:val="24"/>
          <w:highlight w:val="none"/>
        </w:rPr>
      </w:pPr>
      <w:bookmarkStart w:id="140" w:name="_Toc164080633"/>
      <w:bookmarkStart w:id="141" w:name="_Toc161459863"/>
      <w:r>
        <w:rPr>
          <w:rFonts w:hint="eastAsia" w:asciiTheme="minorEastAsia" w:hAnsiTheme="minorEastAsia" w:eastAsiaTheme="minorEastAsia" w:cstheme="minorEastAsia"/>
          <w:b/>
          <w:color w:val="auto"/>
          <w:sz w:val="24"/>
          <w:szCs w:val="24"/>
          <w:highlight w:val="none"/>
          <w:lang w:val="en-US" w:eastAsia="zh-CN"/>
        </w:rPr>
        <w:t>（项号10）</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8</w:t>
      </w:r>
      <w:r>
        <w:rPr>
          <w:rFonts w:hint="eastAsia" w:asciiTheme="minorEastAsia" w:hAnsiTheme="minorEastAsia" w:eastAsiaTheme="minorEastAsia" w:cstheme="minorEastAsia"/>
          <w:color w:val="auto"/>
          <w:sz w:val="24"/>
          <w:szCs w:val="24"/>
          <w:highlight w:val="none"/>
        </w:rPr>
        <w:t>每次故障维修后，</w:t>
      </w:r>
      <w:r>
        <w:rPr>
          <w:rFonts w:hint="eastAsia" w:asciiTheme="minorEastAsia" w:hAnsiTheme="minorEastAsia" w:eastAsiaTheme="minorEastAsia" w:cstheme="minorEastAsia"/>
          <w:color w:val="auto"/>
          <w:sz w:val="24"/>
          <w:szCs w:val="24"/>
          <w:highlight w:val="none"/>
          <w:lang w:val="en-US" w:eastAsia="zh-CN"/>
        </w:rPr>
        <w:t>成交供应商</w:t>
      </w:r>
      <w:r>
        <w:rPr>
          <w:rFonts w:hint="eastAsia" w:asciiTheme="minorEastAsia" w:hAnsiTheme="minorEastAsia" w:eastAsiaTheme="minorEastAsia" w:cstheme="minorEastAsia"/>
          <w:color w:val="auto"/>
          <w:sz w:val="24"/>
          <w:szCs w:val="24"/>
          <w:highlight w:val="none"/>
        </w:rPr>
        <w:t>应向</w:t>
      </w:r>
      <w:r>
        <w:rPr>
          <w:rFonts w:hint="eastAsia" w:asciiTheme="minorEastAsia" w:hAnsiTheme="minorEastAsia" w:eastAsiaTheme="minorEastAsia" w:cstheme="minorEastAsia"/>
          <w:color w:val="auto"/>
          <w:sz w:val="24"/>
          <w:szCs w:val="24"/>
          <w:highlight w:val="none"/>
          <w:lang w:val="en-US" w:eastAsia="zh-CN"/>
        </w:rPr>
        <w:t>采购人</w:t>
      </w:r>
      <w:r>
        <w:rPr>
          <w:rFonts w:hint="eastAsia" w:asciiTheme="minorEastAsia" w:hAnsiTheme="minorEastAsia" w:eastAsiaTheme="minorEastAsia" w:cstheme="minorEastAsia"/>
          <w:color w:val="auto"/>
          <w:sz w:val="24"/>
          <w:szCs w:val="24"/>
          <w:highlight w:val="none"/>
        </w:rPr>
        <w:t>提供故障处理报告，该报告应详细记录故障发生原因、故障排除的过程和结果、排除故障的措施、所更换的设备或配件、保修期等。</w:t>
      </w:r>
    </w:p>
    <w:p w14:paraId="7E554636">
      <w:pPr>
        <w:keepNext w:val="0"/>
        <w:keepLines w:val="0"/>
        <w:pageBreakBefore w:val="0"/>
        <w:numPr>
          <w:ilvl w:val="0"/>
          <w:numId w:val="0"/>
        </w:numPr>
        <w:kinsoku/>
        <w:wordWrap/>
        <w:overflowPunct/>
        <w:topLinePunct w:val="0"/>
        <w:autoSpaceDE/>
        <w:autoSpaceDN/>
        <w:bidi w:val="0"/>
        <w:adjustRightInd/>
        <w:spacing w:line="500" w:lineRule="exact"/>
        <w:ind w:firstLine="482" w:firstLineChars="200"/>
        <w:rPr>
          <w:rFonts w:hint="default" w:ascii="宋体" w:hAnsi="宋体" w:eastAsia="宋体" w:cs="宋体"/>
          <w:bCs/>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（项号11）</w:t>
      </w:r>
      <w:r>
        <w:rPr>
          <w:rFonts w:hint="eastAsia" w:asciiTheme="minorEastAsia" w:hAnsiTheme="minorEastAsia" w:eastAsiaTheme="minorEastAsia" w:cstheme="minorEastAsia"/>
          <w:b w:val="0"/>
          <w:bCs/>
          <w:color w:val="auto"/>
          <w:sz w:val="24"/>
          <w:szCs w:val="24"/>
          <w:highlight w:val="none"/>
          <w:lang w:val="en-US" w:eastAsia="zh-CN"/>
        </w:rPr>
        <w:t>2.9</w:t>
      </w:r>
      <w:r>
        <w:rPr>
          <w:rFonts w:ascii="宋体" w:hAnsi="宋体" w:cs="宋体"/>
          <w:bCs/>
          <w:color w:val="auto"/>
          <w:sz w:val="24"/>
          <w:szCs w:val="24"/>
          <w:highlight w:val="none"/>
        </w:rPr>
        <w:t>若</w:t>
      </w:r>
      <w:r>
        <w:rPr>
          <w:rFonts w:hint="default" w:ascii="宋体" w:hAnsi="宋体" w:cs="宋体"/>
          <w:bCs/>
          <w:color w:val="auto"/>
          <w:sz w:val="24"/>
          <w:szCs w:val="24"/>
          <w:highlight w:val="none"/>
          <w:lang w:val="en-US" w:eastAsia="zh-CN"/>
        </w:rPr>
        <w:t>有</w:t>
      </w:r>
      <w:r>
        <w:rPr>
          <w:rFonts w:hint="default" w:ascii="宋体" w:hAnsi="宋体" w:eastAsia="宋体" w:cs="宋体"/>
          <w:bCs/>
          <w:color w:val="auto"/>
          <w:sz w:val="24"/>
          <w:szCs w:val="24"/>
          <w:highlight w:val="none"/>
          <w:lang w:val="en-US" w:eastAsia="zh-CN"/>
        </w:rPr>
        <w:t>消防零星施工改造项目，</w:t>
      </w:r>
      <w:r>
        <w:rPr>
          <w:rFonts w:hint="eastAsia" w:ascii="宋体" w:hAnsi="宋体" w:cs="宋体"/>
          <w:bCs/>
          <w:color w:val="auto"/>
          <w:sz w:val="24"/>
          <w:szCs w:val="24"/>
          <w:highlight w:val="none"/>
          <w:lang w:val="en-US" w:eastAsia="zh-CN"/>
        </w:rPr>
        <w:t>成交供应商</w:t>
      </w:r>
      <w:r>
        <w:rPr>
          <w:rFonts w:hint="default" w:ascii="宋体" w:hAnsi="宋体" w:eastAsia="宋体" w:cs="宋体"/>
          <w:bCs/>
          <w:color w:val="auto"/>
          <w:sz w:val="24"/>
          <w:szCs w:val="24"/>
          <w:highlight w:val="none"/>
          <w:lang w:val="en-US" w:eastAsia="zh-CN"/>
        </w:rPr>
        <w:t>需安排专业技术人员针对消防施工、消防设施性能、系统联动功能等协助采购方进行全面检查及测试。</w:t>
      </w:r>
    </w:p>
    <w:p w14:paraId="282B3973">
      <w:pPr>
        <w:keepNext w:val="0"/>
        <w:keepLines w:val="0"/>
        <w:pageBreakBefore w:val="0"/>
        <w:kinsoku/>
        <w:wordWrap/>
        <w:overflowPunct/>
        <w:topLinePunct w:val="0"/>
        <w:autoSpaceDE/>
        <w:autoSpaceDN/>
        <w:bidi w:val="0"/>
        <w:adjustRightInd/>
        <w:spacing w:line="500" w:lineRule="exact"/>
        <w:ind w:firstLine="482" w:firstLineChars="200"/>
        <w:rPr>
          <w:rFonts w:ascii="宋体" w:hAnsi="宋体" w:cs="宋体"/>
          <w:bCs/>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（项号12）</w:t>
      </w:r>
      <w:r>
        <w:rPr>
          <w:rFonts w:hint="eastAsia" w:asciiTheme="minorEastAsia" w:hAnsiTheme="minorEastAsia" w:eastAsiaTheme="minorEastAsia" w:cstheme="minorEastAsia"/>
          <w:b w:val="0"/>
          <w:bCs/>
          <w:color w:val="auto"/>
          <w:sz w:val="24"/>
          <w:szCs w:val="24"/>
          <w:highlight w:val="none"/>
          <w:lang w:val="en-US" w:eastAsia="zh-CN"/>
        </w:rPr>
        <w:t>2.10</w:t>
      </w:r>
      <w:r>
        <w:rPr>
          <w:rFonts w:hint="eastAsia" w:ascii="宋体" w:hAnsi="宋体" w:cs="宋体"/>
          <w:bCs/>
          <w:color w:val="auto"/>
          <w:sz w:val="24"/>
          <w:szCs w:val="24"/>
          <w:highlight w:val="none"/>
          <w:lang w:eastAsia="zh-CN"/>
        </w:rPr>
        <w:t>成交供应商</w:t>
      </w:r>
      <w:r>
        <w:rPr>
          <w:rFonts w:ascii="宋体" w:hAnsi="宋体" w:cs="宋体"/>
          <w:bCs/>
          <w:color w:val="auto"/>
          <w:sz w:val="24"/>
          <w:szCs w:val="24"/>
          <w:highlight w:val="none"/>
        </w:rPr>
        <w:t>应加强对维保人员的安全教育，采取有力措施，确保安全生产。发生的一切安全事故，</w:t>
      </w:r>
      <w:r>
        <w:rPr>
          <w:rFonts w:hint="eastAsia" w:ascii="宋体" w:hAnsi="宋体" w:cs="宋体"/>
          <w:bCs/>
          <w:color w:val="auto"/>
          <w:sz w:val="24"/>
          <w:szCs w:val="24"/>
          <w:highlight w:val="none"/>
          <w:lang w:eastAsia="zh-CN"/>
        </w:rPr>
        <w:t>成交供应商</w:t>
      </w:r>
      <w:r>
        <w:rPr>
          <w:rFonts w:ascii="宋体" w:hAnsi="宋体" w:cs="宋体"/>
          <w:bCs/>
          <w:color w:val="auto"/>
          <w:sz w:val="24"/>
          <w:szCs w:val="24"/>
          <w:highlight w:val="none"/>
        </w:rPr>
        <w:t>必须承担所有责任及损失。</w:t>
      </w:r>
    </w:p>
    <w:p w14:paraId="70C1D08D">
      <w:pPr>
        <w:spacing w:line="500" w:lineRule="exact"/>
        <w:ind w:firstLine="482" w:firstLineChars="200"/>
        <w:rPr>
          <w:rFonts w:hint="eastAsia" w:asciiTheme="minorEastAsia" w:hAnsiTheme="minorEastAsia" w:eastAsiaTheme="minorEastAsia" w:cstheme="minorEastAsia"/>
          <w:b w:val="0"/>
          <w:bCs/>
          <w:color w:val="auto"/>
          <w:kern w:val="2"/>
          <w:sz w:val="24"/>
          <w:szCs w:val="24"/>
          <w:highlight w:val="none"/>
        </w:rPr>
      </w:pPr>
      <w:r>
        <w:rPr>
          <w:rFonts w:hint="eastAsia" w:asciiTheme="minorEastAsia" w:hAnsiTheme="minorEastAsia" w:eastAsiaTheme="minorEastAsia" w:cstheme="minorEastAsia"/>
          <w:b/>
          <w:color w:val="auto"/>
          <w:kern w:val="2"/>
          <w:sz w:val="24"/>
          <w:szCs w:val="24"/>
          <w:highlight w:val="none"/>
          <w:lang w:val="en-US" w:eastAsia="zh-CN"/>
        </w:rPr>
        <w:t>（项号13）</w:t>
      </w:r>
      <w:r>
        <w:rPr>
          <w:rFonts w:hint="eastAsia" w:asciiTheme="minorEastAsia" w:hAnsiTheme="minorEastAsia" w:eastAsiaTheme="minorEastAsia" w:cstheme="minorEastAsia"/>
          <w:b w:val="0"/>
          <w:bCs/>
          <w:color w:val="auto"/>
          <w:kern w:val="2"/>
          <w:sz w:val="24"/>
          <w:szCs w:val="24"/>
          <w:highlight w:val="none"/>
          <w:lang w:val="en-US" w:eastAsia="zh-CN"/>
        </w:rPr>
        <w:t>2.11</w:t>
      </w:r>
      <w:r>
        <w:rPr>
          <w:rFonts w:hint="eastAsia" w:asciiTheme="minorEastAsia" w:hAnsiTheme="minorEastAsia" w:eastAsiaTheme="minorEastAsia" w:cstheme="minorEastAsia"/>
          <w:b w:val="0"/>
          <w:bCs/>
          <w:color w:val="auto"/>
          <w:kern w:val="2"/>
          <w:sz w:val="24"/>
          <w:szCs w:val="24"/>
          <w:highlight w:val="none"/>
        </w:rPr>
        <w:t>针对水电及消防维护服务范围与内容设置相应的机构组织，制作系统科学的机构组织架构图。</w:t>
      </w:r>
    </w:p>
    <w:p w14:paraId="3B348A2A">
      <w:pPr>
        <w:spacing w:line="500" w:lineRule="exact"/>
        <w:ind w:firstLine="482" w:firstLineChars="200"/>
        <w:rPr>
          <w:rFonts w:hint="eastAsia" w:asciiTheme="minorEastAsia" w:hAnsiTheme="minorEastAsia" w:eastAsiaTheme="minorEastAsia" w:cstheme="minorEastAsia"/>
          <w:b w:val="0"/>
          <w:bCs/>
          <w:color w:val="auto"/>
          <w:kern w:val="2"/>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（项号14）</w:t>
      </w:r>
      <w:r>
        <w:rPr>
          <w:rFonts w:hint="eastAsia" w:asciiTheme="minorEastAsia" w:hAnsiTheme="minorEastAsia" w:eastAsiaTheme="minorEastAsia" w:cstheme="minorEastAsia"/>
          <w:b w:val="0"/>
          <w:bCs/>
          <w:color w:val="auto"/>
          <w:sz w:val="24"/>
          <w:szCs w:val="24"/>
          <w:highlight w:val="none"/>
          <w:lang w:eastAsia="zh-CN"/>
        </w:rPr>
        <w:t>2</w:t>
      </w:r>
      <w:r>
        <w:rPr>
          <w:rFonts w:hint="eastAsia" w:asciiTheme="minorEastAsia" w:hAnsiTheme="minorEastAsia" w:eastAsiaTheme="minorEastAsia" w:cstheme="minorEastAsia"/>
          <w:b w:val="0"/>
          <w:bCs/>
          <w:color w:val="auto"/>
          <w:sz w:val="24"/>
          <w:szCs w:val="24"/>
          <w:highlight w:val="none"/>
          <w:lang w:val="en-US" w:eastAsia="zh-CN"/>
        </w:rPr>
        <w:t>.12</w:t>
      </w:r>
      <w:r>
        <w:rPr>
          <w:rFonts w:hint="eastAsia" w:asciiTheme="minorEastAsia" w:hAnsiTheme="minorEastAsia" w:eastAsiaTheme="minorEastAsia" w:cstheme="minorEastAsia"/>
          <w:b w:val="0"/>
          <w:bCs/>
          <w:color w:val="auto"/>
          <w:sz w:val="24"/>
          <w:szCs w:val="24"/>
          <w:highlight w:val="none"/>
        </w:rPr>
        <w:t>对需要系统暂停工作的，应当报告采购人消防单位负责人批准，并采取有效的消防安全措施加以补救。</w:t>
      </w:r>
    </w:p>
    <w:p w14:paraId="190A8EF5">
      <w:pPr>
        <w:spacing w:beforeLines="0" w:afterLines="0" w:line="500" w:lineRule="exact"/>
        <w:ind w:firstLine="482"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2.13</w:t>
      </w:r>
      <w:r>
        <w:rPr>
          <w:rFonts w:hint="eastAsia" w:asciiTheme="minorEastAsia" w:hAnsiTheme="minorEastAsia" w:eastAsiaTheme="minorEastAsia" w:cstheme="minorEastAsia"/>
          <w:b/>
          <w:color w:val="auto"/>
          <w:sz w:val="24"/>
          <w:szCs w:val="24"/>
          <w:highlight w:val="none"/>
        </w:rPr>
        <w:t>维保档案内容要求</w:t>
      </w:r>
    </w:p>
    <w:p w14:paraId="2A95A442">
      <w:pPr>
        <w:spacing w:beforeLines="0" w:afterLines="0" w:line="500" w:lineRule="exact"/>
        <w:ind w:firstLine="480" w:firstLineChars="200"/>
        <w:jc w:val="both"/>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（1）建筑消防设施的档案应包含基本情况和动态管理情况：</w:t>
      </w:r>
    </w:p>
    <w:p w14:paraId="41EE16AA">
      <w:pPr>
        <w:spacing w:beforeLines="0" w:afterLines="0" w:line="500" w:lineRule="exact"/>
        <w:ind w:firstLine="482" w:firstLineChars="200"/>
        <w:jc w:val="both"/>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bCs w:val="0"/>
          <w:color w:val="auto"/>
          <w:sz w:val="24"/>
          <w:szCs w:val="24"/>
          <w:highlight w:val="none"/>
          <w:lang w:val="en-US" w:eastAsia="zh-CN"/>
        </w:rPr>
        <w:t>（项号15）</w:t>
      </w:r>
      <w:r>
        <w:rPr>
          <w:rFonts w:hint="eastAsia" w:asciiTheme="minorEastAsia" w:hAnsiTheme="minorEastAsia" w:eastAsiaTheme="minorEastAsia" w:cstheme="minorEastAsia"/>
          <w:b w:val="0"/>
          <w:bCs/>
          <w:color w:val="auto"/>
          <w:sz w:val="24"/>
          <w:szCs w:val="24"/>
          <w:highlight w:val="none"/>
        </w:rPr>
        <w:t>基本情况包括消防设施验收文件和产品、系统使用说明书、系统调试记录等原始技术资料。</w:t>
      </w:r>
    </w:p>
    <w:p w14:paraId="22382391">
      <w:pPr>
        <w:spacing w:beforeLines="0" w:afterLines="0" w:line="500" w:lineRule="exact"/>
        <w:ind w:firstLine="482" w:firstLineChars="200"/>
        <w:jc w:val="both"/>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bCs w:val="0"/>
          <w:color w:val="auto"/>
          <w:sz w:val="24"/>
          <w:szCs w:val="24"/>
          <w:highlight w:val="none"/>
          <w:lang w:val="en-US" w:eastAsia="zh-CN"/>
        </w:rPr>
        <w:t>（项号16）</w:t>
      </w:r>
      <w:r>
        <w:rPr>
          <w:rFonts w:hint="eastAsia" w:asciiTheme="minorEastAsia" w:hAnsiTheme="minorEastAsia" w:eastAsiaTheme="minorEastAsia" w:cstheme="minorEastAsia"/>
          <w:b w:val="0"/>
          <w:bCs/>
          <w:color w:val="auto"/>
          <w:sz w:val="24"/>
          <w:szCs w:val="24"/>
          <w:highlight w:val="none"/>
        </w:rPr>
        <w:t>动态管理情况包括值班记录、检查记录、故障处理登记和年度检验报告等。</w:t>
      </w:r>
    </w:p>
    <w:p w14:paraId="292C90CF">
      <w:pPr>
        <w:spacing w:line="500" w:lineRule="exact"/>
        <w:ind w:firstLine="482" w:firstLineChars="200"/>
        <w:rPr>
          <w:rFonts w:hint="eastAsia"/>
          <w:color w:val="auto"/>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（项号17）</w:t>
      </w:r>
      <w:r>
        <w:rPr>
          <w:rFonts w:hint="eastAsia" w:asciiTheme="minorEastAsia" w:hAnsiTheme="minorEastAsia" w:eastAsiaTheme="minorEastAsia" w:cstheme="minorEastAsia"/>
          <w:b w:val="0"/>
          <w:bCs/>
          <w:color w:val="auto"/>
          <w:sz w:val="24"/>
          <w:szCs w:val="24"/>
          <w:highlight w:val="none"/>
        </w:rPr>
        <w:t>（2）按月、季、年总结检修维护情况应向采购人出具《建筑消防设施月单个检查记录》、《建筑消防设施季度联动检查记录》、《建筑消防设施测试检查记录》、《建筑消防设施年度检验报告》应向消防部门录入维护保养数据存档及</w:t>
      </w:r>
      <w:r>
        <w:rPr>
          <w:rFonts w:hint="eastAsia" w:asciiTheme="minorEastAsia" w:hAnsiTheme="minorEastAsia" w:eastAsiaTheme="minorEastAsia" w:cstheme="minorEastAsia"/>
          <w:b w:val="0"/>
          <w:bCs/>
          <w:color w:val="auto"/>
          <w:sz w:val="24"/>
          <w:szCs w:val="24"/>
          <w:highlight w:val="none"/>
          <w:lang w:val="en-US" w:eastAsia="zh-CN"/>
        </w:rPr>
        <w:t>采购人</w:t>
      </w:r>
      <w:r>
        <w:rPr>
          <w:rFonts w:hint="eastAsia" w:asciiTheme="minorEastAsia" w:hAnsiTheme="minorEastAsia" w:eastAsiaTheme="minorEastAsia" w:cstheme="minorEastAsia"/>
          <w:b w:val="0"/>
          <w:bCs/>
          <w:color w:val="auto"/>
          <w:sz w:val="24"/>
          <w:szCs w:val="24"/>
          <w:highlight w:val="none"/>
        </w:rPr>
        <w:t>存档。</w:t>
      </w:r>
    </w:p>
    <w:p w14:paraId="4F1ED1E6">
      <w:pPr>
        <w:keepNext w:val="0"/>
        <w:keepLines w:val="0"/>
        <w:pageBreakBefore w:val="0"/>
        <w:kinsoku/>
        <w:wordWrap/>
        <w:overflowPunct/>
        <w:topLinePunct w:val="0"/>
        <w:autoSpaceDE/>
        <w:autoSpaceDN/>
        <w:bidi w:val="0"/>
        <w:adjustRightInd/>
        <w:spacing w:line="500" w:lineRule="exact"/>
        <w:ind w:firstLine="0" w:firstLineChars="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eastAsia="zh-CN"/>
        </w:rPr>
        <w:t>★（</w:t>
      </w:r>
      <w:r>
        <w:rPr>
          <w:rFonts w:hint="eastAsia" w:asciiTheme="minorEastAsia" w:hAnsiTheme="minorEastAsia" w:eastAsiaTheme="minorEastAsia" w:cstheme="minorEastAsia"/>
          <w:b/>
          <w:color w:val="auto"/>
          <w:sz w:val="24"/>
          <w:szCs w:val="24"/>
          <w:highlight w:val="none"/>
          <w:lang w:val="en-US" w:eastAsia="zh-CN"/>
        </w:rPr>
        <w:t>四</w:t>
      </w:r>
      <w:r>
        <w:rPr>
          <w:rFonts w:hint="eastAsia" w:asciiTheme="minorEastAsia" w:hAnsiTheme="minorEastAsia" w:eastAsiaTheme="minorEastAsia" w:cstheme="minorEastAsia"/>
          <w:b/>
          <w:color w:val="auto"/>
          <w:sz w:val="24"/>
          <w:szCs w:val="24"/>
          <w:highlight w:val="none"/>
          <w:lang w:eastAsia="zh-CN"/>
        </w:rPr>
        <w:t>）</w:t>
      </w:r>
      <w:r>
        <w:rPr>
          <w:rFonts w:hint="eastAsia" w:asciiTheme="minorEastAsia" w:hAnsiTheme="minorEastAsia" w:eastAsiaTheme="minorEastAsia" w:cstheme="minorEastAsia"/>
          <w:b/>
          <w:color w:val="auto"/>
          <w:sz w:val="24"/>
          <w:szCs w:val="24"/>
          <w:highlight w:val="none"/>
        </w:rPr>
        <w:t>维保服务人员</w:t>
      </w:r>
    </w:p>
    <w:p w14:paraId="7D54F3E3">
      <w:pPr>
        <w:keepNext w:val="0"/>
        <w:keepLines w:val="0"/>
        <w:pageBreakBefore w:val="0"/>
        <w:kinsoku/>
        <w:wordWrap/>
        <w:overflowPunct/>
        <w:topLinePunct w:val="0"/>
        <w:autoSpaceDE/>
        <w:autoSpaceDN/>
        <w:bidi w:val="0"/>
        <w:adjustRightInd/>
        <w:spacing w:line="500" w:lineRule="exact"/>
        <w:ind w:firstLine="482"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lang w:val="en-US" w:eastAsia="zh-CN"/>
        </w:rPr>
        <w:t>1</w:t>
      </w:r>
      <w:r>
        <w:rPr>
          <w:rFonts w:hint="eastAsia" w:asciiTheme="minorEastAsia" w:hAnsiTheme="minorEastAsia" w:eastAsiaTheme="minorEastAsia" w:cstheme="minorEastAsia"/>
          <w:b/>
          <w:bCs/>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供应商</w:t>
      </w:r>
      <w:r>
        <w:rPr>
          <w:rFonts w:hint="eastAsia" w:asciiTheme="minorEastAsia" w:hAnsiTheme="minorEastAsia" w:eastAsiaTheme="minorEastAsia" w:cstheme="minorEastAsia"/>
          <w:b/>
          <w:bCs/>
          <w:color w:val="auto"/>
          <w:sz w:val="24"/>
          <w:szCs w:val="24"/>
          <w:highlight w:val="none"/>
        </w:rPr>
        <w:t>拟派出的技术负责人须为一级注册消防工程师，负责审核维保书面结论文件并签名盖章；项目负责人具备一级注册消防工程师资格，且需单独明确在维保合同中。另外，公司需配备注册消防工程师不少于2人，消防设施操作员不少于6人</w:t>
      </w:r>
      <w:r>
        <w:rPr>
          <w:rFonts w:hint="eastAsia" w:asciiTheme="minorEastAsia" w:hAnsiTheme="minorEastAsia" w:eastAsiaTheme="minorEastAsia" w:cstheme="minorEastAsia"/>
          <w:b/>
          <w:bCs/>
          <w:color w:val="auto"/>
          <w:sz w:val="24"/>
          <w:szCs w:val="24"/>
          <w:highlight w:val="none"/>
          <w:lang w:eastAsia="zh-CN"/>
        </w:rPr>
        <w:t>（</w:t>
      </w:r>
      <w:r>
        <w:rPr>
          <w:rFonts w:hint="eastAsia" w:asciiTheme="minorEastAsia" w:hAnsiTheme="minorEastAsia" w:eastAsiaTheme="minorEastAsia" w:cstheme="minorEastAsia"/>
          <w:b/>
          <w:bCs/>
          <w:color w:val="auto"/>
          <w:sz w:val="24"/>
          <w:szCs w:val="24"/>
          <w:highlight w:val="none"/>
        </w:rPr>
        <w:t>其中中级及以上技能</w:t>
      </w:r>
      <w:r>
        <w:rPr>
          <w:rFonts w:hint="eastAsia" w:asciiTheme="minorEastAsia" w:hAnsiTheme="minorEastAsia" w:eastAsiaTheme="minorEastAsia" w:cstheme="minorEastAsia"/>
          <w:b/>
          <w:bCs/>
          <w:color w:val="auto"/>
          <w:sz w:val="24"/>
          <w:szCs w:val="24"/>
          <w:highlight w:val="none"/>
          <w:lang w:val="en-US" w:eastAsia="zh-CN"/>
        </w:rPr>
        <w:t>不</w:t>
      </w:r>
      <w:r>
        <w:rPr>
          <w:rFonts w:hint="eastAsia" w:asciiTheme="minorEastAsia" w:hAnsiTheme="minorEastAsia" w:eastAsiaTheme="minorEastAsia" w:cstheme="minorEastAsia"/>
          <w:b/>
          <w:bCs/>
          <w:color w:val="auto"/>
          <w:sz w:val="24"/>
          <w:szCs w:val="24"/>
          <w:highlight w:val="none"/>
        </w:rPr>
        <w:t>少于2人</w:t>
      </w:r>
      <w:r>
        <w:rPr>
          <w:rFonts w:hint="eastAsia" w:asciiTheme="minorEastAsia" w:hAnsiTheme="minorEastAsia" w:eastAsiaTheme="minorEastAsia" w:cstheme="minorEastAsia"/>
          <w:b/>
          <w:bCs/>
          <w:color w:val="auto"/>
          <w:sz w:val="24"/>
          <w:szCs w:val="24"/>
          <w:highlight w:val="none"/>
          <w:lang w:eastAsia="zh-CN"/>
        </w:rPr>
        <w:t>）。</w:t>
      </w:r>
      <w:r>
        <w:rPr>
          <w:rFonts w:hint="eastAsia" w:asciiTheme="minorEastAsia" w:hAnsiTheme="minorEastAsia" w:eastAsiaTheme="minorEastAsia" w:cstheme="minorEastAsia"/>
          <w:b/>
          <w:bCs/>
          <w:color w:val="auto"/>
          <w:sz w:val="24"/>
          <w:szCs w:val="24"/>
          <w:highlight w:val="none"/>
          <w:lang w:val="en-US" w:eastAsia="zh-CN"/>
        </w:rPr>
        <w:t>响应文件中</w:t>
      </w:r>
      <w:r>
        <w:rPr>
          <w:rFonts w:hint="eastAsia" w:asciiTheme="minorEastAsia" w:hAnsiTheme="minorEastAsia" w:eastAsiaTheme="minorEastAsia" w:cstheme="minorEastAsia"/>
          <w:b/>
          <w:color w:val="auto"/>
          <w:sz w:val="24"/>
          <w:szCs w:val="24"/>
          <w:highlight w:val="none"/>
        </w:rPr>
        <w:t>维保服务人员</w:t>
      </w:r>
      <w:r>
        <w:rPr>
          <w:rFonts w:hint="eastAsia" w:asciiTheme="minorEastAsia" w:hAnsiTheme="minorEastAsia" w:eastAsiaTheme="minorEastAsia" w:cstheme="minorEastAsia"/>
          <w:b/>
          <w:color w:val="auto"/>
          <w:sz w:val="24"/>
          <w:szCs w:val="24"/>
          <w:highlight w:val="none"/>
          <w:lang w:val="en-US" w:eastAsia="zh-CN"/>
        </w:rPr>
        <w:t>均</w:t>
      </w:r>
      <w:r>
        <w:rPr>
          <w:rFonts w:hint="eastAsia" w:asciiTheme="minorEastAsia" w:hAnsiTheme="minorEastAsia" w:eastAsiaTheme="minorEastAsia" w:cstheme="minorEastAsia"/>
          <w:b/>
          <w:bCs/>
          <w:color w:val="auto"/>
          <w:sz w:val="24"/>
          <w:szCs w:val="24"/>
          <w:highlight w:val="none"/>
          <w:lang w:val="en-US" w:eastAsia="zh-CN"/>
        </w:rPr>
        <w:t>须提供证书复印件及</w:t>
      </w:r>
      <w:r>
        <w:rPr>
          <w:rFonts w:hint="eastAsia" w:ascii="宋体" w:hAnsi="宋体" w:cs="宋体"/>
          <w:b/>
          <w:bCs/>
          <w:color w:val="auto"/>
          <w:kern w:val="0"/>
          <w:sz w:val="24"/>
          <w:szCs w:val="24"/>
          <w:highlight w:val="none"/>
          <w:lang w:bidi="ar"/>
        </w:rPr>
        <w:t>近6个月</w:t>
      </w:r>
      <w:r>
        <w:rPr>
          <w:rFonts w:hint="eastAsia" w:ascii="宋体" w:hAnsi="宋体" w:cs="宋体"/>
          <w:b/>
          <w:bCs/>
          <w:color w:val="auto"/>
          <w:kern w:val="0"/>
          <w:sz w:val="24"/>
          <w:szCs w:val="24"/>
          <w:highlight w:val="none"/>
          <w:lang w:eastAsia="zh-CN" w:bidi="ar"/>
        </w:rPr>
        <w:t>（</w:t>
      </w:r>
      <w:r>
        <w:rPr>
          <w:rFonts w:hint="eastAsia" w:ascii="宋体" w:hAnsi="宋体" w:cs="宋体"/>
          <w:b/>
          <w:bCs/>
          <w:color w:val="auto"/>
          <w:kern w:val="0"/>
          <w:sz w:val="24"/>
          <w:szCs w:val="24"/>
          <w:highlight w:val="none"/>
          <w:lang w:val="en-US" w:eastAsia="zh-CN" w:bidi="ar"/>
        </w:rPr>
        <w:t>不含磋商当月</w:t>
      </w:r>
      <w:r>
        <w:rPr>
          <w:rFonts w:hint="eastAsia" w:ascii="宋体" w:hAnsi="宋体" w:cs="宋体"/>
          <w:b/>
          <w:bCs/>
          <w:color w:val="auto"/>
          <w:kern w:val="0"/>
          <w:sz w:val="24"/>
          <w:szCs w:val="24"/>
          <w:highlight w:val="none"/>
          <w:lang w:eastAsia="zh-CN" w:bidi="ar"/>
        </w:rPr>
        <w:t>）</w:t>
      </w:r>
      <w:r>
        <w:rPr>
          <w:rFonts w:hint="eastAsia" w:ascii="宋体" w:hAnsi="宋体" w:cs="宋体"/>
          <w:b/>
          <w:bCs/>
          <w:color w:val="auto"/>
          <w:kern w:val="0"/>
          <w:sz w:val="24"/>
          <w:szCs w:val="24"/>
          <w:highlight w:val="none"/>
          <w:lang w:bidi="ar"/>
        </w:rPr>
        <w:t>中一个月的社保缴纳证明</w:t>
      </w:r>
      <w:r>
        <w:rPr>
          <w:rFonts w:hint="eastAsia" w:asciiTheme="minorEastAsia" w:hAnsiTheme="minorEastAsia" w:eastAsiaTheme="minorEastAsia" w:cstheme="minorEastAsia"/>
          <w:b/>
          <w:bCs/>
          <w:color w:val="auto"/>
          <w:sz w:val="24"/>
          <w:szCs w:val="24"/>
          <w:highlight w:val="none"/>
          <w:lang w:eastAsia="zh-CN"/>
        </w:rPr>
        <w:t>。</w:t>
      </w:r>
      <w:r>
        <w:rPr>
          <w:rFonts w:hint="eastAsia" w:asciiTheme="minorEastAsia" w:hAnsiTheme="minorEastAsia" w:eastAsiaTheme="minorEastAsia" w:cstheme="minorEastAsia"/>
          <w:b/>
          <w:bCs/>
          <w:color w:val="auto"/>
          <w:sz w:val="24"/>
          <w:szCs w:val="24"/>
          <w:highlight w:val="none"/>
          <w:lang w:val="en-US" w:eastAsia="zh-CN"/>
        </w:rPr>
        <w:t>采购人</w:t>
      </w:r>
      <w:r>
        <w:rPr>
          <w:rFonts w:hint="eastAsia" w:asciiTheme="minorEastAsia" w:hAnsiTheme="minorEastAsia" w:eastAsiaTheme="minorEastAsia" w:cstheme="minorEastAsia"/>
          <w:b/>
          <w:bCs/>
          <w:color w:val="auto"/>
          <w:sz w:val="24"/>
          <w:szCs w:val="24"/>
          <w:highlight w:val="none"/>
        </w:rPr>
        <w:t>有权要求撤换不合格的服务人员。</w:t>
      </w:r>
      <w:r>
        <w:rPr>
          <w:rFonts w:hint="eastAsia" w:asciiTheme="minorEastAsia" w:hAnsiTheme="minorEastAsia" w:eastAsiaTheme="minorEastAsia" w:cstheme="minorEastAsia"/>
          <w:b/>
          <w:bCs/>
          <w:color w:val="auto"/>
          <w:kern w:val="0"/>
          <w:sz w:val="24"/>
          <w:szCs w:val="24"/>
          <w:highlight w:val="none"/>
        </w:rPr>
        <w:t>涉及</w:t>
      </w:r>
      <w:r>
        <w:rPr>
          <w:rFonts w:hint="eastAsia" w:asciiTheme="minorEastAsia" w:hAnsiTheme="minorEastAsia" w:eastAsiaTheme="minorEastAsia" w:cstheme="minorEastAsia"/>
          <w:b/>
          <w:bCs/>
          <w:color w:val="auto"/>
          <w:kern w:val="0"/>
          <w:sz w:val="24"/>
          <w:szCs w:val="24"/>
          <w:highlight w:val="none"/>
          <w:lang w:val="en-US" w:eastAsia="zh-CN"/>
        </w:rPr>
        <w:t>电工</w:t>
      </w:r>
      <w:r>
        <w:rPr>
          <w:rFonts w:hint="eastAsia" w:asciiTheme="minorEastAsia" w:hAnsiTheme="minorEastAsia" w:eastAsiaTheme="minorEastAsia" w:cstheme="minorEastAsia"/>
          <w:b/>
          <w:bCs/>
          <w:color w:val="auto"/>
          <w:kern w:val="0"/>
          <w:sz w:val="24"/>
          <w:szCs w:val="24"/>
          <w:highlight w:val="none"/>
        </w:rPr>
        <w:t>作业的</w:t>
      </w:r>
      <w:r>
        <w:rPr>
          <w:rFonts w:hint="eastAsia" w:asciiTheme="minorEastAsia" w:hAnsiTheme="minorEastAsia" w:eastAsiaTheme="minorEastAsia" w:cstheme="minorEastAsia"/>
          <w:b/>
          <w:bCs/>
          <w:color w:val="auto"/>
          <w:kern w:val="0"/>
          <w:sz w:val="24"/>
          <w:szCs w:val="24"/>
          <w:highlight w:val="none"/>
          <w:lang w:val="en-US" w:eastAsia="zh-CN"/>
        </w:rPr>
        <w:t>应持证上岗</w:t>
      </w:r>
      <w:r>
        <w:rPr>
          <w:rFonts w:hint="eastAsia" w:asciiTheme="minorEastAsia" w:hAnsiTheme="minorEastAsia" w:eastAsiaTheme="minorEastAsia" w:cstheme="minorEastAsia"/>
          <w:b/>
          <w:bCs/>
          <w:color w:val="auto"/>
          <w:kern w:val="0"/>
          <w:sz w:val="24"/>
          <w:szCs w:val="24"/>
          <w:highlight w:val="none"/>
        </w:rPr>
        <w:t>。</w:t>
      </w:r>
    </w:p>
    <w:bookmarkEnd w:id="140"/>
    <w:bookmarkEnd w:id="141"/>
    <w:p w14:paraId="65DAAD60">
      <w:pPr>
        <w:pStyle w:val="44"/>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2" w:firstLineChars="200"/>
        <w:jc w:val="left"/>
        <w:textAlignment w:val="auto"/>
        <w:rPr>
          <w:rFonts w:hint="eastAsia" w:eastAsia="宋体" w:asciiTheme="minorEastAsia" w:hAnsiTheme="minorEastAsia" w:cstheme="minorEastAsia"/>
          <w:color w:val="auto"/>
          <w:sz w:val="24"/>
          <w:szCs w:val="24"/>
          <w:highlight w:val="none"/>
          <w:lang w:val="en-US" w:eastAsia="zh-CN"/>
        </w:rPr>
      </w:pPr>
      <w:r>
        <w:rPr>
          <w:rFonts w:hint="eastAsia" w:asciiTheme="minorEastAsia" w:hAnsiTheme="minorEastAsia" w:eastAsiaTheme="minorEastAsia" w:cstheme="minorEastAsia"/>
          <w:b/>
          <w:bCs/>
          <w:color w:val="auto"/>
          <w:kern w:val="0"/>
          <w:sz w:val="24"/>
          <w:szCs w:val="24"/>
          <w:highlight w:val="none"/>
          <w:lang w:val="en-US" w:eastAsia="zh-CN" w:bidi="ar"/>
        </w:rPr>
        <w:t>★品目1-2</w:t>
      </w:r>
      <w:r>
        <w:rPr>
          <w:rFonts w:hint="eastAsia" w:asciiTheme="minorEastAsia" w:hAnsiTheme="minorEastAsia" w:eastAsiaTheme="minorEastAsia" w:cstheme="minorEastAsia"/>
          <w:b/>
          <w:bCs/>
          <w:color w:val="auto"/>
          <w:kern w:val="0"/>
          <w:sz w:val="24"/>
          <w:szCs w:val="24"/>
          <w:highlight w:val="none"/>
          <w:lang w:eastAsia="zh-CN" w:bidi="ar"/>
        </w:rPr>
        <w:t>相关消防设施配件配送服务：</w:t>
      </w:r>
      <w:r>
        <w:rPr>
          <w:rFonts w:hint="eastAsia"/>
          <w:color w:val="auto"/>
          <w:highlight w:val="none"/>
          <w:lang w:eastAsia="zh-CN"/>
        </w:rPr>
        <w:t>（</w:t>
      </w:r>
      <w:r>
        <w:rPr>
          <w:rFonts w:hint="eastAsia"/>
          <w:color w:val="auto"/>
          <w:highlight w:val="none"/>
          <w:lang w:val="en-US" w:eastAsia="zh-CN"/>
        </w:rPr>
        <w:t>以下所有内容不得负偏离，否则按无效响应处理</w:t>
      </w:r>
      <w:r>
        <w:rPr>
          <w:rFonts w:hint="eastAsia"/>
          <w:color w:val="auto"/>
          <w:highlight w:val="none"/>
          <w:lang w:eastAsia="zh-CN"/>
        </w:rPr>
        <w:t>）</w:t>
      </w:r>
    </w:p>
    <w:tbl>
      <w:tblPr>
        <w:tblStyle w:val="49"/>
        <w:tblW w:w="954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2814"/>
        <w:gridCol w:w="3233"/>
        <w:gridCol w:w="1167"/>
        <w:gridCol w:w="1633"/>
      </w:tblGrid>
      <w:tr w14:paraId="25451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0AF5B6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b/>
                <w:bCs/>
                <w:i w:val="0"/>
                <w:iCs w:val="0"/>
                <w:color w:val="auto"/>
                <w:sz w:val="21"/>
                <w:szCs w:val="21"/>
                <w:highlight w:val="none"/>
                <w:u w:val="none"/>
              </w:rPr>
            </w:pPr>
            <w:r>
              <w:rPr>
                <w:rFonts w:hint="eastAsia" w:asciiTheme="minorEastAsia" w:hAnsiTheme="minorEastAsia" w:eastAsiaTheme="minorEastAsia" w:cstheme="minorEastAsia"/>
                <w:b/>
                <w:bCs/>
                <w:i w:val="0"/>
                <w:iCs w:val="0"/>
                <w:color w:val="auto"/>
                <w:kern w:val="0"/>
                <w:sz w:val="21"/>
                <w:szCs w:val="21"/>
                <w:highlight w:val="none"/>
                <w:u w:val="none"/>
                <w:lang w:val="en-US" w:eastAsia="zh-CN" w:bidi="ar"/>
              </w:rPr>
              <w:t>序号</w:t>
            </w:r>
          </w:p>
        </w:tc>
        <w:tc>
          <w:tcPr>
            <w:tcW w:w="281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60C025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b/>
                <w:bCs/>
                <w:i w:val="0"/>
                <w:iCs w:val="0"/>
                <w:color w:val="auto"/>
                <w:sz w:val="21"/>
                <w:szCs w:val="21"/>
                <w:highlight w:val="none"/>
                <w:u w:val="none"/>
              </w:rPr>
            </w:pPr>
            <w:r>
              <w:rPr>
                <w:rFonts w:hint="eastAsia" w:asciiTheme="minorEastAsia" w:hAnsiTheme="minorEastAsia" w:eastAsiaTheme="minorEastAsia" w:cstheme="minorEastAsia"/>
                <w:b/>
                <w:bCs/>
                <w:i w:val="0"/>
                <w:iCs w:val="0"/>
                <w:color w:val="auto"/>
                <w:kern w:val="0"/>
                <w:sz w:val="21"/>
                <w:szCs w:val="21"/>
                <w:highlight w:val="none"/>
                <w:u w:val="none"/>
                <w:lang w:val="en-US" w:eastAsia="zh-CN" w:bidi="ar"/>
              </w:rPr>
              <w:t>项目名称</w:t>
            </w:r>
          </w:p>
        </w:tc>
        <w:tc>
          <w:tcPr>
            <w:tcW w:w="323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BE9CC6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b/>
                <w:bCs/>
                <w:i w:val="0"/>
                <w:iCs w:val="0"/>
                <w:color w:val="auto"/>
                <w:sz w:val="21"/>
                <w:szCs w:val="21"/>
                <w:highlight w:val="none"/>
                <w:u w:val="none"/>
              </w:rPr>
            </w:pPr>
            <w:r>
              <w:rPr>
                <w:rFonts w:hint="eastAsia" w:asciiTheme="minorEastAsia" w:hAnsiTheme="minorEastAsia" w:eastAsiaTheme="minorEastAsia" w:cstheme="minorEastAsia"/>
                <w:b/>
                <w:bCs/>
                <w:i w:val="0"/>
                <w:iCs w:val="0"/>
                <w:color w:val="auto"/>
                <w:kern w:val="0"/>
                <w:sz w:val="21"/>
                <w:szCs w:val="21"/>
                <w:highlight w:val="none"/>
                <w:u w:val="none"/>
                <w:lang w:val="en-US" w:eastAsia="zh-CN" w:bidi="ar"/>
              </w:rPr>
              <w:t>规格型号（</w:t>
            </w:r>
            <w:r>
              <w:rPr>
                <w:rFonts w:hint="eastAsia"/>
                <w:color w:val="auto"/>
                <w:szCs w:val="21"/>
                <w:highlight w:val="none"/>
                <w:lang w:val="en-US" w:eastAsia="zh-CN"/>
              </w:rPr>
              <w:t>以下技术要求未注有允许偏离范围的，统一允许偏离范围为±1%）</w:t>
            </w:r>
          </w:p>
        </w:tc>
        <w:tc>
          <w:tcPr>
            <w:tcW w:w="1167"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0D027C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b/>
                <w:bCs/>
                <w:i w:val="0"/>
                <w:iCs w:val="0"/>
                <w:color w:val="auto"/>
                <w:sz w:val="21"/>
                <w:szCs w:val="21"/>
                <w:highlight w:val="none"/>
                <w:u w:val="none"/>
              </w:rPr>
            </w:pPr>
            <w:r>
              <w:rPr>
                <w:rFonts w:hint="eastAsia" w:asciiTheme="minorEastAsia" w:hAnsiTheme="minorEastAsia" w:eastAsiaTheme="minorEastAsia" w:cstheme="minorEastAsia"/>
                <w:b/>
                <w:bCs/>
                <w:i w:val="0"/>
                <w:iCs w:val="0"/>
                <w:color w:val="auto"/>
                <w:kern w:val="0"/>
                <w:sz w:val="21"/>
                <w:szCs w:val="21"/>
                <w:highlight w:val="none"/>
                <w:u w:val="none"/>
                <w:lang w:val="en-US" w:eastAsia="zh-CN" w:bidi="ar"/>
              </w:rPr>
              <w:t>单 位</w:t>
            </w:r>
          </w:p>
        </w:tc>
        <w:tc>
          <w:tcPr>
            <w:tcW w:w="163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0C5417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b/>
                <w:bCs/>
                <w:i w:val="0"/>
                <w:iCs w:val="0"/>
                <w:color w:val="auto"/>
                <w:kern w:val="0"/>
                <w:sz w:val="21"/>
                <w:szCs w:val="21"/>
                <w:highlight w:val="none"/>
                <w:u w:val="none"/>
                <w:lang w:val="en-US" w:eastAsia="zh-CN" w:bidi="ar"/>
              </w:rPr>
            </w:pPr>
            <w:r>
              <w:rPr>
                <w:rFonts w:hint="eastAsia" w:asciiTheme="minorEastAsia" w:hAnsiTheme="minorEastAsia" w:eastAsiaTheme="minorEastAsia" w:cstheme="minorEastAsia"/>
                <w:b/>
                <w:bCs/>
                <w:i w:val="0"/>
                <w:iCs w:val="0"/>
                <w:color w:val="auto"/>
                <w:kern w:val="0"/>
                <w:sz w:val="21"/>
                <w:szCs w:val="21"/>
                <w:highlight w:val="none"/>
                <w:u w:val="none"/>
                <w:lang w:val="en-US" w:eastAsia="zh-CN" w:bidi="ar"/>
              </w:rPr>
              <w:t>最高单价限价（元）</w:t>
            </w:r>
          </w:p>
        </w:tc>
      </w:tr>
      <w:tr w14:paraId="4020A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E036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auto"/>
                <w:sz w:val="21"/>
                <w:szCs w:val="21"/>
                <w:highlight w:val="none"/>
                <w:u w:val="none"/>
              </w:rPr>
            </w:pPr>
            <w:r>
              <w:rPr>
                <w:rFonts w:hint="eastAsia" w:asciiTheme="minorEastAsia" w:hAnsiTheme="minorEastAsia" w:eastAsiaTheme="minorEastAsia" w:cstheme="minorEastAsia"/>
                <w:i w:val="0"/>
                <w:iCs w:val="0"/>
                <w:color w:val="auto"/>
                <w:kern w:val="0"/>
                <w:sz w:val="21"/>
                <w:szCs w:val="21"/>
                <w:highlight w:val="none"/>
                <w:u w:val="none"/>
                <w:lang w:val="en-US" w:eastAsia="zh-CN" w:bidi="ar"/>
              </w:rPr>
              <w:t xml:space="preserve">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BEA9F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auto"/>
                <w:sz w:val="21"/>
                <w:szCs w:val="21"/>
                <w:highlight w:val="none"/>
                <w:u w:val="none"/>
              </w:rPr>
            </w:pPr>
            <w:r>
              <w:rPr>
                <w:rFonts w:hint="eastAsia" w:asciiTheme="minorEastAsia" w:hAnsiTheme="minorEastAsia" w:eastAsiaTheme="minorEastAsia" w:cstheme="minorEastAsia"/>
                <w:i w:val="0"/>
                <w:iCs w:val="0"/>
                <w:color w:val="auto"/>
                <w:kern w:val="0"/>
                <w:sz w:val="21"/>
                <w:szCs w:val="21"/>
                <w:highlight w:val="none"/>
                <w:u w:val="none"/>
                <w:lang w:val="en-US" w:eastAsia="zh-CN" w:bidi="ar"/>
              </w:rPr>
              <w:t>ABC干粉灭火器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7EE41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auto"/>
                <w:sz w:val="21"/>
                <w:szCs w:val="21"/>
                <w:highlight w:val="none"/>
                <w:u w:val="none"/>
              </w:rPr>
            </w:pPr>
            <w:r>
              <w:rPr>
                <w:rFonts w:hint="eastAsia" w:asciiTheme="minorEastAsia" w:hAnsiTheme="minorEastAsia" w:eastAsiaTheme="minorEastAsia" w:cstheme="minorEastAsia"/>
                <w:i w:val="0"/>
                <w:iCs w:val="0"/>
                <w:color w:val="auto"/>
                <w:kern w:val="0"/>
                <w:sz w:val="21"/>
                <w:szCs w:val="21"/>
                <w:highlight w:val="none"/>
                <w:u w:val="none"/>
                <w:lang w:val="en-US" w:eastAsia="zh-CN" w:bidi="ar"/>
              </w:rPr>
              <w:t>4KG</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69C57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auto"/>
                <w:sz w:val="21"/>
                <w:szCs w:val="21"/>
                <w:highlight w:val="none"/>
                <w:u w:val="none"/>
              </w:rPr>
            </w:pPr>
            <w:r>
              <w:rPr>
                <w:rFonts w:hint="eastAsia" w:asciiTheme="minorEastAsia" w:hAnsiTheme="minorEastAsia" w:eastAsiaTheme="minorEastAsia" w:cstheme="minorEastAsia"/>
                <w:i w:val="0"/>
                <w:iCs w:val="0"/>
                <w:color w:val="auto"/>
                <w:kern w:val="0"/>
                <w:sz w:val="21"/>
                <w:szCs w:val="21"/>
                <w:highlight w:val="none"/>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83E67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 xml:space="preserve">79.73 </w:t>
            </w:r>
          </w:p>
        </w:tc>
      </w:tr>
      <w:tr w14:paraId="2B64F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7DD8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5CEE1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手推车式ABC干粉灭火器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406A0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35KG</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892C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702F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816.67 </w:t>
            </w:r>
          </w:p>
        </w:tc>
      </w:tr>
      <w:tr w14:paraId="32C67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04A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EEE06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水基型灭火器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B280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950ml</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8655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E2000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77.00 </w:t>
            </w:r>
          </w:p>
        </w:tc>
      </w:tr>
      <w:tr w14:paraId="37CEF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F854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53F12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二氧化碳灭火器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93357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2KG</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E517A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6795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151.33 </w:t>
            </w:r>
          </w:p>
        </w:tc>
      </w:tr>
      <w:tr w14:paraId="16F53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266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3D6B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二氧化碳灭火器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9740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24KG</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2EA5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19F6C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1420.00 </w:t>
            </w:r>
          </w:p>
        </w:tc>
      </w:tr>
      <w:tr w14:paraId="293AD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6D8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C41C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干粉灭火器换药（4kg）</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74F5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637D4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99B72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20.17 </w:t>
            </w:r>
          </w:p>
        </w:tc>
      </w:tr>
      <w:tr w14:paraId="5C79E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5E71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FCFA6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干粉灭火器换药（35kg）</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E518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C407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D2F33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205.33 </w:t>
            </w:r>
          </w:p>
        </w:tc>
      </w:tr>
      <w:tr w14:paraId="3D719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45F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6568D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二氧化碳灭火器换药（2KG）</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FC6D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7FBDB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A1C8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59.67 </w:t>
            </w:r>
          </w:p>
        </w:tc>
      </w:tr>
      <w:tr w14:paraId="7117C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498B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6C59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二氧化碳灭火器换药（24KG）</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F8466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079C0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49CB5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740.00 </w:t>
            </w:r>
          </w:p>
        </w:tc>
      </w:tr>
      <w:tr w14:paraId="15794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D6AA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4E02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七氟丙烷换气充装</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0ADB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E026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KG</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A718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147.67 </w:t>
            </w:r>
          </w:p>
        </w:tc>
      </w:tr>
      <w:tr w14:paraId="24FD8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9F1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2239B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eastAsia" w:asciiTheme="minorEastAsia" w:hAnsiTheme="minorEastAsia" w:eastAsiaTheme="minorEastAsia" w:cstheme="minorEastAsia"/>
                <w:i w:val="0"/>
                <w:iCs w:val="0"/>
                <w:color w:val="000000"/>
                <w:kern w:val="0"/>
                <w:sz w:val="21"/>
                <w:szCs w:val="20"/>
                <w:u w:val="none"/>
                <w:lang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七氟丙烷单罐100L内</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B976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eastAsia" w:asciiTheme="minorEastAsia" w:hAnsiTheme="minorEastAsia" w:eastAsiaTheme="minorEastAsia" w:cstheme="minorEastAsia"/>
                <w:i w:val="0"/>
                <w:iCs w:val="0"/>
                <w:color w:val="000000"/>
                <w:kern w:val="0"/>
                <w:sz w:val="21"/>
                <w:szCs w:val="20"/>
                <w:u w:val="none"/>
                <w:lang w:bidi="ar"/>
              </w:rPr>
            </w:pPr>
            <w:r>
              <w:rPr>
                <w:rFonts w:hint="eastAsia" w:asciiTheme="minorEastAsia" w:hAnsiTheme="minorEastAsia" w:eastAsiaTheme="minorEastAsia" w:cstheme="minorEastAsia"/>
                <w:i w:val="0"/>
                <w:iCs w:val="0"/>
                <w:caps w:val="0"/>
                <w:color w:val="000000"/>
                <w:spacing w:val="0"/>
                <w:kern w:val="0"/>
                <w:sz w:val="21"/>
                <w:szCs w:val="21"/>
                <w:u w:val="none"/>
                <w:shd w:val="clear" w:fill="FFFFFF"/>
                <w:lang w:bidi="ar"/>
              </w:rPr>
              <w:t>充装药剂</w:t>
            </w:r>
            <w:r>
              <w:rPr>
                <w:rFonts w:hint="eastAsia" w:asciiTheme="minorEastAsia" w:hAnsiTheme="minorEastAsia" w:eastAsiaTheme="minorEastAsia" w:cstheme="minorEastAsia"/>
                <w:i w:val="0"/>
                <w:iCs w:val="0"/>
                <w:caps w:val="0"/>
                <w:color w:val="000000"/>
                <w:spacing w:val="0"/>
                <w:kern w:val="0"/>
                <w:sz w:val="21"/>
                <w:szCs w:val="21"/>
                <w:u w:val="none"/>
                <w:shd w:val="clear" w:fill="FFFFFF"/>
                <w:lang w:eastAsia="zh-CN" w:bidi="ar"/>
              </w:rPr>
              <w:t>≥</w:t>
            </w:r>
            <w:r>
              <w:rPr>
                <w:rFonts w:hint="eastAsia" w:asciiTheme="minorEastAsia" w:hAnsiTheme="minorEastAsia" w:eastAsiaTheme="minorEastAsia" w:cstheme="minorEastAsia"/>
                <w:i w:val="0"/>
                <w:iCs w:val="0"/>
                <w:caps w:val="0"/>
                <w:color w:val="000000"/>
                <w:spacing w:val="0"/>
                <w:kern w:val="0"/>
                <w:sz w:val="21"/>
                <w:szCs w:val="21"/>
                <w:u w:val="none"/>
                <w:shd w:val="clear" w:fill="FFFFFF"/>
                <w:lang w:bidi="ar"/>
              </w:rPr>
              <w:t>70kg，</w:t>
            </w:r>
            <w:r>
              <w:rPr>
                <w:rFonts w:hint="eastAsia" w:asciiTheme="minorEastAsia" w:hAnsiTheme="minorEastAsia" w:eastAsiaTheme="minorEastAsia" w:cstheme="minorEastAsia"/>
                <w:i w:val="0"/>
                <w:iCs w:val="0"/>
                <w:caps w:val="0"/>
                <w:color w:val="000000"/>
                <w:spacing w:val="0"/>
                <w:kern w:val="0"/>
                <w:sz w:val="21"/>
                <w:szCs w:val="21"/>
                <w:u w:val="none"/>
                <w:shd w:val="clear" w:fill="FFFFFF"/>
                <w:lang w:eastAsia="zh-CN" w:bidi="ar"/>
              </w:rPr>
              <w:t>储存压力≤</w:t>
            </w:r>
            <w:r>
              <w:rPr>
                <w:rFonts w:hint="eastAsia" w:asciiTheme="minorEastAsia" w:hAnsiTheme="minorEastAsia" w:eastAsiaTheme="minorEastAsia" w:cstheme="minorEastAsia"/>
                <w:i w:val="0"/>
                <w:iCs w:val="0"/>
                <w:caps w:val="0"/>
                <w:color w:val="000000"/>
                <w:spacing w:val="0"/>
                <w:kern w:val="0"/>
                <w:sz w:val="21"/>
                <w:szCs w:val="21"/>
                <w:u w:val="none"/>
                <w:shd w:val="clear" w:fill="FFFFFF"/>
                <w:lang w:bidi="ar"/>
              </w:rPr>
              <w:t>4.2MPa</w:t>
            </w:r>
            <w:r>
              <w:rPr>
                <w:rFonts w:hint="eastAsia" w:asciiTheme="minorEastAsia" w:hAnsiTheme="minorEastAsia" w:eastAsiaTheme="minorEastAsia" w:cstheme="minorEastAsia"/>
                <w:i w:val="0"/>
                <w:iCs w:val="0"/>
                <w:caps w:val="0"/>
                <w:color w:val="000000"/>
                <w:spacing w:val="0"/>
                <w:kern w:val="0"/>
                <w:sz w:val="21"/>
                <w:szCs w:val="21"/>
                <w:u w:val="none"/>
                <w:shd w:val="clear" w:fill="FFFFFF"/>
                <w:lang w:eastAsia="zh-CN" w:bidi="ar"/>
              </w:rPr>
              <w:t>，</w:t>
            </w:r>
            <w:r>
              <w:rPr>
                <w:rFonts w:hint="eastAsia" w:asciiTheme="minorEastAsia" w:hAnsiTheme="minorEastAsia" w:eastAsiaTheme="minorEastAsia" w:cstheme="minorEastAsia"/>
                <w:i w:val="0"/>
                <w:iCs w:val="0"/>
                <w:caps w:val="0"/>
                <w:color w:val="000000"/>
                <w:spacing w:val="0"/>
                <w:kern w:val="0"/>
                <w:sz w:val="21"/>
                <w:szCs w:val="21"/>
                <w:u w:val="none"/>
                <w:shd w:val="clear" w:fill="FFFFFF"/>
                <w:lang w:bidi="ar"/>
              </w:rPr>
              <w:t>通过中国 </w:t>
            </w:r>
            <w:r>
              <w:rPr>
                <w:rStyle w:val="51"/>
                <w:rFonts w:hint="eastAsia" w:asciiTheme="minorEastAsia" w:hAnsiTheme="minorEastAsia" w:eastAsiaTheme="minorEastAsia" w:cstheme="minorEastAsia"/>
                <w:b w:val="0"/>
                <w:bCs w:val="0"/>
                <w:i w:val="0"/>
                <w:iCs w:val="0"/>
                <w:caps w:val="0"/>
                <w:color w:val="000000"/>
                <w:spacing w:val="0"/>
                <w:kern w:val="0"/>
                <w:sz w:val="21"/>
                <w:szCs w:val="21"/>
                <w:u w:val="none"/>
                <w:shd w:val="clear"/>
                <w:lang w:bidi="ar"/>
              </w:rPr>
              <w:t>CCCF（消防产品合格评定中心）</w:t>
            </w:r>
            <w:r>
              <w:rPr>
                <w:rFonts w:hint="eastAsia" w:asciiTheme="minorEastAsia" w:hAnsiTheme="minorEastAsia" w:eastAsiaTheme="minorEastAsia" w:cstheme="minorEastAsia"/>
                <w:i w:val="0"/>
                <w:iCs w:val="0"/>
                <w:caps w:val="0"/>
                <w:color w:val="000000"/>
                <w:spacing w:val="0"/>
                <w:kern w:val="0"/>
                <w:sz w:val="21"/>
                <w:szCs w:val="21"/>
                <w:u w:val="none"/>
                <w:shd w:val="clear" w:fill="FFFFFF"/>
                <w:lang w:bidi="ar"/>
              </w:rPr>
              <w:t> 认证。</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34C5B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具</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606C5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3253.33 </w:t>
            </w:r>
          </w:p>
        </w:tc>
      </w:tr>
      <w:tr w14:paraId="4E396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5F96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5E6F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推车式干粉灭火器喷管（4m）</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0C0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帆布管+铝喷枪头</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6692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条</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0768D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49.67 </w:t>
            </w:r>
          </w:p>
        </w:tc>
      </w:tr>
      <w:tr w14:paraId="54013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E394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4D48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卷盘式警戒带</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6C0A1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材质:涤纶布；厚度:12丝；宽度:4cm；长度:100m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D37DB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21DC7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127.00 </w:t>
            </w:r>
          </w:p>
        </w:tc>
      </w:tr>
      <w:tr w14:paraId="42A3F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942D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ADF83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强光手电</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4BBB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容量：不小于1500mAh；     2W+3W</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79C2C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EE0D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218.67 </w:t>
            </w:r>
          </w:p>
        </w:tc>
      </w:tr>
      <w:tr w14:paraId="374AE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CCE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0087E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石棉灭火毯</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F1FC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型号规格：MJT1000*1000mm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D3B77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73D1E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56.33 </w:t>
            </w:r>
          </w:p>
        </w:tc>
      </w:tr>
      <w:tr w14:paraId="08AE5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1E8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77763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水枪带压力表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197B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测量范围：0-1.6mpa</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7EC0D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F4AC7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158.00 </w:t>
            </w:r>
          </w:p>
        </w:tc>
      </w:tr>
      <w:tr w14:paraId="0299D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BE4B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63A4A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中倍数泡沫灭火剂（消防车可用）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6B43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G3%-15℃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7A52B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公斤</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755FD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13.13 </w:t>
            </w:r>
          </w:p>
        </w:tc>
      </w:tr>
      <w:tr w14:paraId="25FF7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176A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66338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灭火毯</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1252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1.5M×1.5M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DF76F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条</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6698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137.33 </w:t>
            </w:r>
          </w:p>
        </w:tc>
      </w:tr>
      <w:tr w14:paraId="60011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500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EF626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警示反光胶带</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E59A7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黑黄5CM×50M，反光耐磨加厚型</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5CA67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71BF7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44.67 </w:t>
            </w:r>
          </w:p>
        </w:tc>
      </w:tr>
      <w:tr w14:paraId="2FFBA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6219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FF9FE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自发光地贴</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196EF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绿底，地面紧急出口</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4648A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D5AF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10.67 </w:t>
            </w:r>
          </w:p>
        </w:tc>
      </w:tr>
      <w:tr w14:paraId="6FA78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F3D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7D411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消防警示标志墙贴</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C8347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左右疏散出口、灭火器、使用方法</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668FE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1BBF1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23.33 </w:t>
            </w:r>
          </w:p>
        </w:tc>
      </w:tr>
      <w:tr w14:paraId="165DC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65FF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2A6F5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地板胶带</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B04BD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宽5cm*长33米</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0852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0A679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25.67 </w:t>
            </w:r>
          </w:p>
        </w:tc>
      </w:tr>
      <w:tr w14:paraId="1ED56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B682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4E284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绝缘地垫</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5578B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1m宽，2mm厚，符合使用要求</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746B2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8EAD9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80.33 </w:t>
            </w:r>
          </w:p>
        </w:tc>
      </w:tr>
      <w:tr w14:paraId="15CB0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DF22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C7A12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绝缘地垫</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FF51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1m宽3mm厚，符合使用要求</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76E0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8904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131.67 </w:t>
            </w:r>
          </w:p>
        </w:tc>
      </w:tr>
      <w:tr w14:paraId="733A8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5FF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382E1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绝缘地垫</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FE3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1m宽5mm厚，符合使用要求</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B0DC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6BF39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131.67 </w:t>
            </w:r>
          </w:p>
        </w:tc>
      </w:tr>
      <w:tr w14:paraId="016E7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2D0C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C8765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安全帽</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66CFB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国标加厚红色</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79E7B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71028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54.67 </w:t>
            </w:r>
          </w:p>
        </w:tc>
      </w:tr>
      <w:tr w14:paraId="5B2C1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1F3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49C0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消防桶</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37AB4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防爆、不锈钢材质、容量12L以内、消防专用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C4697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5F5DA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310.00 </w:t>
            </w:r>
          </w:p>
        </w:tc>
      </w:tr>
      <w:tr w14:paraId="25541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85D5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9195B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消防铲</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82667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1米长红色</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ED21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把</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A2397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43.33 </w:t>
            </w:r>
          </w:p>
        </w:tc>
      </w:tr>
      <w:tr w14:paraId="4DF58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1932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CCA92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室外消火栓扳手</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C3C96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红色，高强碳钢材质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B8C81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把</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4BCBC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67.00 </w:t>
            </w:r>
          </w:p>
        </w:tc>
      </w:tr>
      <w:tr w14:paraId="73AA2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5AD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5928F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过滤式消防自救呼吸器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950BD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1、防护时间：≥30min；2、滤烟率≥95%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00CA7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D03CA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136.67 </w:t>
            </w:r>
          </w:p>
        </w:tc>
      </w:tr>
      <w:tr w14:paraId="00E77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FAE6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2372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隔热消防服</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3390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241E6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508AB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1483.33 </w:t>
            </w:r>
          </w:p>
        </w:tc>
      </w:tr>
      <w:tr w14:paraId="4241D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D0F1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CC500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02款消防服（六件套）</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2568B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F836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2A52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630.00 </w:t>
            </w:r>
          </w:p>
        </w:tc>
      </w:tr>
      <w:tr w14:paraId="6682F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AE2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33BDF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20款消防服（六件套）</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535FE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07F06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276BD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3149.33 </w:t>
            </w:r>
          </w:p>
        </w:tc>
      </w:tr>
      <w:tr w14:paraId="2C063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CB2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51FAE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灭火器箱子</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10E1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可存放2具4KG干粉灭火器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1A9B6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82CE3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56.67 </w:t>
            </w:r>
          </w:p>
        </w:tc>
      </w:tr>
      <w:tr w14:paraId="27C3D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B569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AAD1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不锈钢灭火器箱</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713DD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4KG×2，材质不低于201不锈钢，0.8mm,双翻盖、带立脚、可存放对应规格的2具灭火器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796BE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B2003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335.00 </w:t>
            </w:r>
          </w:p>
        </w:tc>
      </w:tr>
      <w:tr w14:paraId="48CEE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B643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5AC49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消防用品展示柜</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4A84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eastAsia" w:eastAsia="宋体" w:asciiTheme="minorEastAsia" w:hAnsi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加厚冷轧钢板，可调节隔板，能够根据物品大小自由分配空间，可放置各种消防器具，尺寸1.08m*0.9m*0.4</w:t>
            </w:r>
            <w:r>
              <w:rPr>
                <w:rFonts w:hint="eastAsia"/>
                <w:szCs w:val="21"/>
                <w:lang w:val="en-US" w:eastAsia="zh-CN"/>
              </w:rPr>
              <w:t>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88C67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58C14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923.33 </w:t>
            </w:r>
          </w:p>
        </w:tc>
      </w:tr>
      <w:tr w14:paraId="05B93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504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F6E40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DN25消防管刷油漆（包工包料）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EC85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159FA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BC8E7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11.00 </w:t>
            </w:r>
          </w:p>
        </w:tc>
      </w:tr>
      <w:tr w14:paraId="58304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B3F0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D2A93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DN32消防管刷油漆（包工包料）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C6597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6E5D7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861AE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12.00 </w:t>
            </w:r>
          </w:p>
        </w:tc>
      </w:tr>
      <w:tr w14:paraId="48BD5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4C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39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6C673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DN40消防管刷油漆（包工包料）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12947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D40EB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86613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16.00 </w:t>
            </w:r>
          </w:p>
        </w:tc>
      </w:tr>
      <w:tr w14:paraId="3E25D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46AE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9621B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DN50消防管刷油漆（包工包料）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67A74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D15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D4196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17.00 </w:t>
            </w:r>
          </w:p>
        </w:tc>
      </w:tr>
      <w:tr w14:paraId="49B81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E80D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3CF39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DN65消防管刷油漆（包工包料）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9B2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87A0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46971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18.33 </w:t>
            </w:r>
          </w:p>
        </w:tc>
      </w:tr>
      <w:tr w14:paraId="2AFA8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B9E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F1722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DN80消防管刷油漆（包工包料）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B4523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F2621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6B1CA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19.67 </w:t>
            </w:r>
          </w:p>
        </w:tc>
      </w:tr>
      <w:tr w14:paraId="541FF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BC17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0E63F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DN100消防管刷油漆（包工包料）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AD972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5923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490D1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20.00 </w:t>
            </w:r>
          </w:p>
        </w:tc>
      </w:tr>
      <w:tr w14:paraId="3889D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A818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C294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DN125消防管刷油漆（包工包料）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1B5E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2765C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5B2CF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20.00 </w:t>
            </w:r>
          </w:p>
        </w:tc>
      </w:tr>
      <w:tr w14:paraId="4E277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0BA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D7BFD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DN150消防管刷油漆（包工包料）</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AE06E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涂层厚度0.15mm-0.3mm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0CD4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9685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21.00 </w:t>
            </w:r>
          </w:p>
        </w:tc>
      </w:tr>
      <w:tr w14:paraId="5E4F6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A9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93B20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消火栓箱</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980EC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800mm*650mm*240mm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B06F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32F5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481.67 </w:t>
            </w:r>
          </w:p>
        </w:tc>
      </w:tr>
      <w:tr w14:paraId="77C4A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F74B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0FD0B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消火栓箱铝合金框</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01D27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800mm×650mm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B81BF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5B920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224.00 </w:t>
            </w:r>
          </w:p>
        </w:tc>
      </w:tr>
      <w:tr w14:paraId="590E6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139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5F4C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消火栓有机面板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F410F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800mm*650mm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1E18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片</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44F1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50.00 </w:t>
            </w:r>
          </w:p>
        </w:tc>
      </w:tr>
      <w:tr w14:paraId="025E9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F5E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49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E6120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消火栓不不锈钢面板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A7610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800mm*650mm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242B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片</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000F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280.00 </w:t>
            </w:r>
          </w:p>
        </w:tc>
      </w:tr>
      <w:tr w14:paraId="26D07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741B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DC09D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消火栓有机面板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2245C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1000mm*700mm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8A903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片</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3266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203.33 </w:t>
            </w:r>
          </w:p>
        </w:tc>
      </w:tr>
      <w:tr w14:paraId="61BE8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93D2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B5027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消火栓不不锈钢面板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81E4A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1000mm*700mm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3DD66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片</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BC359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610.00 </w:t>
            </w:r>
          </w:p>
        </w:tc>
      </w:tr>
      <w:tr w14:paraId="51AF9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F500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6FAF7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防火泥</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021EA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消防国标认证，柔性有机防火泥。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053F2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Kg</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85E20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12.67 </w:t>
            </w:r>
          </w:p>
        </w:tc>
      </w:tr>
      <w:tr w14:paraId="2A6F0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78E3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92021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单管防爆LED灯</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9BB9E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40W</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D6DFC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A941B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356.33 </w:t>
            </w:r>
          </w:p>
        </w:tc>
      </w:tr>
      <w:tr w14:paraId="7005B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26AB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3566F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应急灯</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03E1B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E365C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2BA14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135.00 </w:t>
            </w:r>
          </w:p>
        </w:tc>
      </w:tr>
      <w:tr w14:paraId="22DC6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85F7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E48A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疏散指示灯</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F5507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国标/符合使用要求</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4D9C6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19171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135.00 </w:t>
            </w:r>
          </w:p>
        </w:tc>
      </w:tr>
      <w:tr w14:paraId="47336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9A7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5F1B6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疏散指示灯保护罩</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06C3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 颜色:喷漆/白色；材质:金属铁材</w:t>
            </w:r>
          </w:p>
        </w:tc>
        <w:tc>
          <w:tcPr>
            <w:tcW w:w="11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7E29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AEE93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54.00 </w:t>
            </w:r>
          </w:p>
        </w:tc>
      </w:tr>
      <w:tr w14:paraId="78479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033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0342C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消火栓头</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D714E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DN65室内栓，旋转。符合现场适用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5D87B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C1326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80.33 </w:t>
            </w:r>
          </w:p>
        </w:tc>
      </w:tr>
      <w:tr w14:paraId="6BA7C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567E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A2A8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室内消火栓牙扣</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ECF26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DN65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2A944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213D1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33.67 </w:t>
            </w:r>
          </w:p>
        </w:tc>
      </w:tr>
      <w:tr w14:paraId="29217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D237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59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2A85C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编织扁铜线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5D90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国标/符合使用要求</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89D01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根</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C97C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8.67 </w:t>
            </w:r>
          </w:p>
        </w:tc>
      </w:tr>
      <w:tr w14:paraId="0F578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8596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E553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消防设施挂牌标识</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37262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符合使用要求</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7FA78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A8428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36.33 </w:t>
            </w:r>
          </w:p>
        </w:tc>
      </w:tr>
      <w:tr w14:paraId="7EACC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EA97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343F8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消火栓卷盘</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85C26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消防软管卷盘25米防腐防锈</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4F64C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E49E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343.33 </w:t>
            </w:r>
          </w:p>
        </w:tc>
      </w:tr>
      <w:tr w14:paraId="13A65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6CF9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77547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普通液位显示器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3A630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有线传输，液晶显示监测报警消防专用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A63D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433FA5">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876.67 </w:t>
            </w:r>
          </w:p>
        </w:tc>
      </w:tr>
      <w:tr w14:paraId="4AF11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07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517D4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智慧消防液位显示仪</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E63C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JBF-W1181 液位型</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94664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D2B74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3314.67 </w:t>
            </w:r>
          </w:p>
        </w:tc>
      </w:tr>
      <w:tr w14:paraId="13F7B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35B1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74D0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独立式数据采集终端</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794ED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JBF-W1181 压力型</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3906C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FF6B6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3686.00 </w:t>
            </w:r>
          </w:p>
        </w:tc>
      </w:tr>
      <w:tr w14:paraId="1D2FC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5E4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C6C5C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无线网关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6D766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JBF-WG102-4G</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F7B3B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98B52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1283.33 </w:t>
            </w:r>
          </w:p>
        </w:tc>
      </w:tr>
      <w:tr w14:paraId="00570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D6D7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21897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智能电源箱</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4003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RS485控制总线；电池类型阀控密封式铅酸蓄电池；应急时间 不小于290min；工作电压 AC220V/50Hz；输出电压 DC24V；防护等级IP33；运行环境 0C~55*C；含配套电池</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E3230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5691C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4736.33 </w:t>
            </w:r>
          </w:p>
        </w:tc>
      </w:tr>
      <w:tr w14:paraId="161B4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3F1F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AA29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智能电源盘</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83A0F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输出容量DC24V工作电流6A线 制无极性二线制总线，主电为交流 220V，DC24V 24Ah 密封铅电池作备电；含配套电池。</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3BF6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8E8D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3829.33 </w:t>
            </w:r>
          </w:p>
        </w:tc>
      </w:tr>
      <w:tr w14:paraId="01C81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8"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153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4CBE2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室内音箱</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61F15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消防广播扬声器，额定功率3W-5W，壁挂式</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5CB1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508F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105.33 </w:t>
            </w:r>
          </w:p>
        </w:tc>
      </w:tr>
      <w:tr w14:paraId="7EFBA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4A85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69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1072E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气体喷洒指示灯</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FB78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闪光频率：每分钟闪亮45±5次，电子编码方式，编码范围可在11~20之间任意，与气体灭火控制器采用；四线连接。其中两线接总线，无极性;另外两线接电源 DC24V,无极性。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2D8F1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479E1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148.33 </w:t>
            </w:r>
          </w:p>
        </w:tc>
      </w:tr>
      <w:tr w14:paraId="75098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E152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87748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紧急启/停按钮</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BAA89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与气体灭火控制器采用无极性两线制连接总线，工作电压 24V监视电流≤3mA报警电流≤6mA，电子编码方式，编码范围可在11~20 之间任意设，人工按下“按下喷洒”按键启动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14461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71C9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86.00 </w:t>
            </w:r>
          </w:p>
        </w:tc>
      </w:tr>
      <w:tr w14:paraId="7184C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31A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D2657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手自动转换开关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5450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工作电压16V~28V，监视电流≤1mA，最大电流≤4mA，外壳材质ABS；人工按下启动/停止按键</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2A0C8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F258F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187.00 </w:t>
            </w:r>
          </w:p>
        </w:tc>
      </w:tr>
      <w:tr w14:paraId="6F39F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E4D4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D7FB1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多线制控制卡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9F5D9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可与火灾报警控制器(联动型)组装在同一柜中，完成对消防泵、排烟机、送风机等重要设备的控制。可根据需要选择控制盘的控制点数，最多可控制14路设备。</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ECA7D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010F7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2383.33 </w:t>
            </w:r>
          </w:p>
        </w:tc>
      </w:tr>
      <w:tr w14:paraId="6C4A0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33C7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FD177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蓄电池</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7745F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10AH/12V</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194E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节</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09C7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833.33 </w:t>
            </w:r>
          </w:p>
        </w:tc>
      </w:tr>
      <w:tr w14:paraId="4A49F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0F6C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B4DE9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蓄电池</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4DA68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24AH/12V</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F8389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节</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41E70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1113.33 </w:t>
            </w:r>
          </w:p>
        </w:tc>
      </w:tr>
      <w:tr w14:paraId="155EC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4B27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5F33E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转换开关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63A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220转24V</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73AC0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870DF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471.67 </w:t>
            </w:r>
          </w:p>
        </w:tc>
      </w:tr>
      <w:tr w14:paraId="580BC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34A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E521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端子箱</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45315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eastAsia" w:eastAsia="宋体" w:asciiTheme="minorEastAsia" w:hAnsi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规格300*400</w:t>
            </w:r>
            <w:r>
              <w:rPr>
                <w:rFonts w:hint="eastAsia"/>
                <w:szCs w:val="21"/>
                <w:lang w:val="en-US" w:eastAsia="zh-CN"/>
              </w:rPr>
              <w:t>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D8AE7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506F7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373.00 </w:t>
            </w:r>
          </w:p>
        </w:tc>
      </w:tr>
      <w:tr w14:paraId="67F12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BD08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5AB57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端子排</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8C25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配套端子箱</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F42C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42181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186.67 </w:t>
            </w:r>
          </w:p>
        </w:tc>
      </w:tr>
      <w:tr w14:paraId="5969F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5FE6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FA5BD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无线火灾报警烟雾探测器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97C4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无线传输，与单位系统相匹配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32578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支</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B8B08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458.00 </w:t>
            </w:r>
          </w:p>
        </w:tc>
      </w:tr>
      <w:tr w14:paraId="1EF77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7364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79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797DC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无线火灾报手动警按钮</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F1A98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无线传输，与单位系统相匹配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B95E7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支</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C1BCC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476.67 </w:t>
            </w:r>
          </w:p>
        </w:tc>
      </w:tr>
      <w:tr w14:paraId="75DC3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7EAB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E23DE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无线火灾声光报警器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FFB11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无线传输，与单位系统相匹配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A554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支</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3837F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510.00 </w:t>
            </w:r>
          </w:p>
        </w:tc>
      </w:tr>
      <w:tr w14:paraId="50CA3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6308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C905E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平台运维费（公有部署平台）</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4B479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消防无线平台运行代缴及服务</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AE4A4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点·年</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E5D4E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11.67 </w:t>
            </w:r>
          </w:p>
        </w:tc>
      </w:tr>
      <w:tr w14:paraId="3F65B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32D2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A5FE9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烟感无线流量费</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720F6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消防无线平台运行代缴及服务</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822D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点·年</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B579B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11.67 </w:t>
            </w:r>
          </w:p>
        </w:tc>
      </w:tr>
      <w:tr w14:paraId="158DF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068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0A60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手报无线流量费</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3629A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消防无线平台运行代缴及服务</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9C276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点·年</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958FA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11.67 </w:t>
            </w:r>
          </w:p>
        </w:tc>
      </w:tr>
      <w:tr w14:paraId="303F5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3AE8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039D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消防电话手柄</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202D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与单位消防通信系统相匹配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A3EE2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5EC0A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86.67 </w:t>
            </w:r>
          </w:p>
        </w:tc>
      </w:tr>
      <w:tr w14:paraId="3AF5C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0B57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5E057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消防电话分机</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74622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与单位消防通信系统相匹配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091E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10D8D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251.67 </w:t>
            </w:r>
          </w:p>
        </w:tc>
      </w:tr>
      <w:tr w14:paraId="77544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8305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8C8ED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消防电话插孔</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4CD6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与单位消防通信系统相匹配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3BC5A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F4215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81.33 </w:t>
            </w:r>
          </w:p>
        </w:tc>
      </w:tr>
      <w:tr w14:paraId="08463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720C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452D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火灾显示盘</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5840B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与单位消防监控系统相匹配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21B1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E98B4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881.33 </w:t>
            </w:r>
          </w:p>
        </w:tc>
      </w:tr>
      <w:tr w14:paraId="5B161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D4EF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C62D9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广播模块</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11B5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与单位消防监控系统相匹配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F7D43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CC539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173.00 </w:t>
            </w:r>
          </w:p>
        </w:tc>
      </w:tr>
      <w:tr w14:paraId="4A166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AEF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89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8D06D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多线控制盘</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AD4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与单位消防监控系统相匹配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B70EB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D48F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3494.67 </w:t>
            </w:r>
          </w:p>
        </w:tc>
      </w:tr>
      <w:tr w14:paraId="4BA34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F4AC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CA224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总线控制盘</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B4B3C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与单位消防监控系统相匹配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A4A6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24F90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3614.00 </w:t>
            </w:r>
          </w:p>
        </w:tc>
      </w:tr>
      <w:tr w14:paraId="5B259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B478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4F88A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总线制消防电话主机</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79E13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与单位消防监控系统相匹配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E48B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0FBF2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570.00 </w:t>
            </w:r>
          </w:p>
        </w:tc>
      </w:tr>
      <w:tr w14:paraId="6AA04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6E4C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A6D7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广播控制盘</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31DBC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与单位消防监控系统相匹配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C0DE3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B22D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4700.00 </w:t>
            </w:r>
          </w:p>
        </w:tc>
      </w:tr>
      <w:tr w14:paraId="50DA1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4D4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5A809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功率放大器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87EB1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与单位消防监控系统相匹配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6F512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A889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2300.00 </w:t>
            </w:r>
          </w:p>
        </w:tc>
      </w:tr>
      <w:tr w14:paraId="2F5CC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A29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DE382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控制器11SF回路端子电路板（标配）</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F619C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与单位消防监控系统相匹配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6C325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36A98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1390.00 </w:t>
            </w:r>
          </w:p>
        </w:tc>
      </w:tr>
      <w:tr w14:paraId="05087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C37D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4A720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光缆</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15A65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(1)多模联网光纤</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(2)管内</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(3)8芯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F2C1E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3678A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52.00 </w:t>
            </w:r>
          </w:p>
        </w:tc>
      </w:tr>
      <w:tr w14:paraId="66258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EF3D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B9559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显示屏</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17DBE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与单位现有设备设施相匹配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14336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5CEA9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5033.33 </w:t>
            </w:r>
          </w:p>
        </w:tc>
      </w:tr>
      <w:tr w14:paraId="4738B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F1E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A4D1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不间断电源UPS</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0A7E3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(1)UPS</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(2)不间断电源</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63E94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系统</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30861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6930.00 </w:t>
            </w:r>
          </w:p>
        </w:tc>
      </w:tr>
      <w:tr w14:paraId="3C6AA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8022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D82B8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浪涌保护器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05257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(1)浪涌保护器</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(2)D级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99BBA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FC867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120.00 </w:t>
            </w:r>
          </w:p>
        </w:tc>
      </w:tr>
      <w:tr w14:paraId="53C3C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B39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99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5900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单台式机柜</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A648D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JBF-11SF/D</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08C9B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D6CDC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2132.67 </w:t>
            </w:r>
          </w:p>
        </w:tc>
      </w:tr>
      <w:tr w14:paraId="0FF3B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945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AD42F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双台式机柜</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7A0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JBF-11SF/T</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4044B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DBDBD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3040.00 </w:t>
            </w:r>
          </w:p>
        </w:tc>
      </w:tr>
      <w:tr w14:paraId="4286F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1761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E40F1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消防控制室图形显示装置</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956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JBF5203</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67FFD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033225">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5623.33 </w:t>
            </w:r>
          </w:p>
        </w:tc>
      </w:tr>
      <w:tr w14:paraId="28FD6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6359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21FB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点型光电感烟火灾探测器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AD4BA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点型光电感烟火灾探测器，智能型，电子编码，集成芯片，包括底座。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C21B3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12D3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51.67 </w:t>
            </w:r>
          </w:p>
        </w:tc>
      </w:tr>
      <w:tr w14:paraId="0A80A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8534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90614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点型感温火灾探测器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759CD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点型感温火灾探测器，智能型，电子编码，内置单片机。类别：A1R、BS可设定；包括底座。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4631D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98746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41.67 </w:t>
            </w:r>
          </w:p>
        </w:tc>
      </w:tr>
      <w:tr w14:paraId="62E59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F50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1CD4E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手动火灾报警按钮</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2562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手动火灾报警按钮，电子编码；包括底座。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08799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B23EE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41.67 </w:t>
            </w:r>
          </w:p>
        </w:tc>
      </w:tr>
      <w:tr w14:paraId="02AAC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D857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FEC7C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火灾声光警报器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6EDA3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火灾声光警报器，电子编码，启动后发出强烈的声光警号，蜂鸣器检线功能。包括底座。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1C486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9A61C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82.00 </w:t>
            </w:r>
          </w:p>
        </w:tc>
      </w:tr>
      <w:tr w14:paraId="468C0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EB5F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A6231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消火栓按钮</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31AAF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消火栓按钮，电子编码，可恢复型。本按钮采用二线制与设备连接，可完成对设备的启动，由火灾报警控制器确认消防水泵的启动运行后，点亮回答指示灯。防护等级≥IP43；包括底座。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C7A0C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3E72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53.00 </w:t>
            </w:r>
          </w:p>
        </w:tc>
      </w:tr>
      <w:tr w14:paraId="6B5D8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8D0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6B818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输入模块</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35A4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输入模块，电子编码，可接收设备常开或常闭开关量信号；包括底座。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0F4E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A36635">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75.00 </w:t>
            </w:r>
          </w:p>
        </w:tc>
      </w:tr>
      <w:tr w14:paraId="47DAF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066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B8750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输出模块</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217F6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输出模块，电子编码，可输出设备常开或常闭开关量信号；包括底座。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1EBEB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F93D6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75.00 </w:t>
            </w:r>
          </w:p>
        </w:tc>
      </w:tr>
      <w:tr w14:paraId="2DD5A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1036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109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86D7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输入/输出模块</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BB6DB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输入/输出模块，电子编码，单动作输入、输出。无源输出容量：DC24V/2A，有源输出容量：DC24V/1A；包括底座。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3DCF1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225A5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71.67 </w:t>
            </w:r>
          </w:p>
        </w:tc>
      </w:tr>
      <w:tr w14:paraId="1A33F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CEA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431B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切换模块</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BEF20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输入/输出模块，电子编码，无极性总线供电，具备DC25V有源输出功能，主要用于连接需要火灾报警控制器控制的消防联动设备，如排烟阀、送风阀、防火阀等，可接收并上传设备的反馈回答信号；包括底座。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D4AF9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B8F19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147.00 </w:t>
            </w:r>
          </w:p>
        </w:tc>
      </w:tr>
      <w:tr w14:paraId="7829F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5908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91DA6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隔离器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D7ACB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隔离器，自恢复型，用于保护、隔离信号二总线；包括底座。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87B5B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51EF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138.00 </w:t>
            </w:r>
          </w:p>
        </w:tc>
      </w:tr>
      <w:tr w14:paraId="11972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7493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7F9DC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单门一体式门磁开关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0B17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JBF62D-32P</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DF6AB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08D8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230.00 </w:t>
            </w:r>
          </w:p>
        </w:tc>
      </w:tr>
      <w:tr w14:paraId="7DFCA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CA7D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B281B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双门一体式门磁开关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BAC8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JBF62D-33P</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723B2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22548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296.67 </w:t>
            </w:r>
          </w:p>
        </w:tc>
      </w:tr>
      <w:tr w14:paraId="59A3A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BF3E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48C3F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联动闭门器（65KG）</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0479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XF93-3PI(JBF-BM02D)</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EFC1B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E314E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123.33 </w:t>
            </w:r>
          </w:p>
        </w:tc>
      </w:tr>
      <w:tr w14:paraId="504EE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EB0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CF556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高级不锈钢顺位器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7131E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不锈钢材质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DE2B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EBBE5">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76.00 </w:t>
            </w:r>
          </w:p>
        </w:tc>
      </w:tr>
      <w:tr w14:paraId="744B4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BA3E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F76E8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甲级防火门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05C4A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门扇厚度5OMM，门板厚度0.8MM，门框厚度1.2MM，耐火时间&gt;90MIN</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2702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m²</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6D863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853.33 </w:t>
            </w:r>
          </w:p>
        </w:tc>
      </w:tr>
      <w:tr w14:paraId="38A4D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9115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36500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乙级防火门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58796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门扇厚度5OMM，门板厚度0.8MM，门框厚度1.2MM，耐火时间&gt;60MIN</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A1C50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m²</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BD881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772.00 </w:t>
            </w:r>
          </w:p>
        </w:tc>
      </w:tr>
      <w:tr w14:paraId="78695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134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5B259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防火专用锁</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4589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配备:三把钥匙材质:不锈钢+冷轧钢门厚:适用于45-55m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3630C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7A624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363.33 </w:t>
            </w:r>
          </w:p>
        </w:tc>
      </w:tr>
      <w:tr w14:paraId="0A642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31D6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119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25D9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防火门普通闭门器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506CE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铸铝材质，适合门重65-85KG，适合门宽1100MM内，&lt;90°自动闭门 &gt;90°停门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B3DC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1EE9E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146.67 </w:t>
            </w:r>
          </w:p>
        </w:tc>
      </w:tr>
      <w:tr w14:paraId="59FB2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A1DA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5096F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不锈钢铰链</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BE464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镀锌铁合页厚度:3mm，轴粗:17mm，孔径:8mm，长度:195mm，宽度:147mm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5A412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3A3F8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34.00 </w:t>
            </w:r>
          </w:p>
        </w:tc>
      </w:tr>
      <w:tr w14:paraId="280ED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77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9D868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配管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77A9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KBG/JDG32管</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51479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4827C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28.33 </w:t>
            </w:r>
          </w:p>
        </w:tc>
      </w:tr>
      <w:tr w14:paraId="171C8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6602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FEC16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配管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4CA9C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KBG/JDG20管</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34932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E4162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28.00 </w:t>
            </w:r>
          </w:p>
        </w:tc>
      </w:tr>
      <w:tr w14:paraId="341D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B17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27224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配线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E064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WDZB-Rvv-10*1.5铜芯线</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904AF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2F6BA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24.51 </w:t>
            </w:r>
          </w:p>
        </w:tc>
      </w:tr>
      <w:tr w14:paraId="1C31F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3ED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9A16E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配线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625EB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WDZBN-RYJS-2*1.5铜芯线</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6915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34694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18.12 </w:t>
            </w:r>
          </w:p>
        </w:tc>
      </w:tr>
      <w:tr w14:paraId="62D0D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22D5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8AA06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单芯铜线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A29D1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国标，1.5平方</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EFB1A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78762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7.00 </w:t>
            </w:r>
          </w:p>
        </w:tc>
      </w:tr>
      <w:tr w14:paraId="76A9C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CD65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75836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单芯铜线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64584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国标，2.5平方</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3B746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E7373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8.00 </w:t>
            </w:r>
          </w:p>
        </w:tc>
      </w:tr>
      <w:tr w14:paraId="16673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204E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527A8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单芯铜线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6CAF3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国标，4平方</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9893F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E1A8D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10.00 </w:t>
            </w:r>
          </w:p>
        </w:tc>
      </w:tr>
      <w:tr w14:paraId="68B9F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0D2D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1FF54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单芯铜线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A7F6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国标，6平方</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0C9C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2FC5F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13.00 </w:t>
            </w:r>
          </w:p>
        </w:tc>
      </w:tr>
      <w:tr w14:paraId="4A72D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9C7B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129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0A67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2.5平方电缆线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06BCE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47A9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FE4BF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13.00 </w:t>
            </w:r>
          </w:p>
        </w:tc>
      </w:tr>
      <w:tr w14:paraId="74E2C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42C4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3A510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2.5平方电缆线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8E44A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D75C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E6F01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13.00 </w:t>
            </w:r>
          </w:p>
        </w:tc>
      </w:tr>
      <w:tr w14:paraId="62C53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F3C4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04B3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2.5平方电缆线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D65D8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C102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8157B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14.00 </w:t>
            </w:r>
          </w:p>
        </w:tc>
      </w:tr>
      <w:tr w14:paraId="45155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CD41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A7D26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1BD48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CCE3D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F782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15.00 </w:t>
            </w:r>
          </w:p>
        </w:tc>
      </w:tr>
      <w:tr w14:paraId="4429F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5A70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EA31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DBBCA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4C011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0ADF9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16.00 </w:t>
            </w:r>
          </w:p>
        </w:tc>
      </w:tr>
      <w:tr w14:paraId="6D569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107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7D167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6CA5E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DA029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FD0E6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16.00 </w:t>
            </w:r>
          </w:p>
        </w:tc>
      </w:tr>
      <w:tr w14:paraId="28185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5A94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FE11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0F14D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9EC3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01388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23.00 </w:t>
            </w:r>
          </w:p>
        </w:tc>
      </w:tr>
      <w:tr w14:paraId="78613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BF7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8A2A5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783D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A2CF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3D31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23.00 </w:t>
            </w:r>
          </w:p>
        </w:tc>
      </w:tr>
      <w:tr w14:paraId="4DE47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70B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24AA5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6平方电缆线</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2A9C1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5芯</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4B3EA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0D58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30.00 </w:t>
            </w:r>
          </w:p>
        </w:tc>
      </w:tr>
      <w:tr w14:paraId="0723E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F4F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4721F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脱扣器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E8B8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碳钢镀锌材质，产品电压DC24V，产品电流80MA，启角度时与墙面的最近距离安装,链条长度可调，也可采用和门框平行向后面斜拉式安装</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238F5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9E806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350.60 </w:t>
            </w:r>
          </w:p>
        </w:tc>
      </w:tr>
      <w:tr w14:paraId="0B97D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B865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139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D8C56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稳压罐组</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61DCA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1000L</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13E4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组</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5E831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13166.67 </w:t>
            </w:r>
          </w:p>
        </w:tc>
      </w:tr>
      <w:tr w14:paraId="00319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1C8C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9B5DC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消防泵</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EE0A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30KW</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6E0DF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DC91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5533.33 </w:t>
            </w:r>
          </w:p>
        </w:tc>
      </w:tr>
      <w:tr w14:paraId="076BF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9E1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96A13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喷淋泵</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27F68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75KW</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BCCE6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5BF34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12493.33 </w:t>
            </w:r>
          </w:p>
        </w:tc>
      </w:tr>
      <w:tr w14:paraId="74B44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2DC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68221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湿式喷淋头</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82080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黄铜材质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8451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F813E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22.00 </w:t>
            </w:r>
          </w:p>
        </w:tc>
      </w:tr>
      <w:tr w14:paraId="19B0D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A896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398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室外消火栓</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10AB8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整体高: 0.7m(不含弯头)；</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8DBB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424C9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850.00 </w:t>
            </w:r>
          </w:p>
        </w:tc>
      </w:tr>
      <w:tr w14:paraId="4023E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963D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BA0A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水泵接合器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9154C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地上式，铸铁球墨材质，消防水带接口</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AB5E0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A1901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700.00 </w:t>
            </w:r>
          </w:p>
        </w:tc>
      </w:tr>
      <w:tr w14:paraId="59332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2A62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A3E6A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B软密封法兰闸阀65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04ED0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球墨铸铁材质，加厚手轮，加厚法兰</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FBD37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01202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621.33 </w:t>
            </w:r>
          </w:p>
        </w:tc>
      </w:tr>
      <w:tr w14:paraId="31CB4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8F9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DFC13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B软密封法兰闸阀80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77CA8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球墨铸铁材质，加厚手轮，加厚法兰</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04BF8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543C6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600.00 </w:t>
            </w:r>
          </w:p>
        </w:tc>
      </w:tr>
      <w:tr w14:paraId="2BFDD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D0D0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F159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B软密封法兰闸阀100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0B515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球墨铸铁材质，加厚手轮，加厚法兰</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79D6B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98448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1000.00 </w:t>
            </w:r>
          </w:p>
        </w:tc>
      </w:tr>
      <w:tr w14:paraId="061C6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FB0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8EB8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B软密封法兰闸阀150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80581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球墨铸铁材质，加厚手轮，加厚法兰</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E88A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E086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1100.00 </w:t>
            </w:r>
          </w:p>
        </w:tc>
      </w:tr>
      <w:tr w14:paraId="321F8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A323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149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24406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软密封明杆法兰闸阀65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B2311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球墨铸铁材质，加厚手轮，加厚法兰</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A871F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416A3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500.00 </w:t>
            </w:r>
          </w:p>
        </w:tc>
      </w:tr>
      <w:tr w14:paraId="28E33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B7E9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64D7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软密封明杆法兰闸阀80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13A5C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球墨铸铁材质，加厚手轮，加厚法兰</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56BF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BCFA7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550.00 </w:t>
            </w:r>
          </w:p>
        </w:tc>
      </w:tr>
      <w:tr w14:paraId="15D72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8A6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43D4D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软密封明杆法兰闸阀100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C9ACE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球墨铸铁材质，加厚手轮，加厚法兰</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DE9C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75373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1000.00 </w:t>
            </w:r>
          </w:p>
        </w:tc>
      </w:tr>
      <w:tr w14:paraId="0F20B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52BA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0B497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软密封明杆法兰闸阀150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80DB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球墨铸铁材质，加厚手轮，加厚法兰</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D9122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97024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1510.00 </w:t>
            </w:r>
          </w:p>
        </w:tc>
      </w:tr>
      <w:tr w14:paraId="35C73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7D2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51441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沟槽闸阀65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9828B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B1BB1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1F7D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500.00 </w:t>
            </w:r>
          </w:p>
        </w:tc>
      </w:tr>
      <w:tr w14:paraId="489E2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29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4172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沟槽闸阀80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3CB35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98E25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87352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530.00 </w:t>
            </w:r>
          </w:p>
        </w:tc>
      </w:tr>
      <w:tr w14:paraId="17AA0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A8F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6CE39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沟槽闸阀100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F6D64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64A73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BA263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700.00 </w:t>
            </w:r>
          </w:p>
        </w:tc>
      </w:tr>
      <w:tr w14:paraId="07D73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A6C4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6B417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沟槽闸阀150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15EA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7598A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B554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923.33 </w:t>
            </w:r>
          </w:p>
        </w:tc>
      </w:tr>
      <w:tr w14:paraId="24727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F22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D3B9F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沟槽明杆闸阀65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800C8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7D914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04FF8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500.00 </w:t>
            </w:r>
          </w:p>
        </w:tc>
      </w:tr>
      <w:tr w14:paraId="5A0E4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D420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E802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沟槽明杆闸阀80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05311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1E6F7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EF1F4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600.00 </w:t>
            </w:r>
          </w:p>
        </w:tc>
      </w:tr>
      <w:tr w14:paraId="5DC3C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08AE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159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C16BE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沟槽明杆闸阀100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64F5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715D1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F702E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800.00 </w:t>
            </w:r>
          </w:p>
        </w:tc>
      </w:tr>
      <w:tr w14:paraId="32940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469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385BF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沟槽明杆闸阀150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2AB09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0D6AA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86832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900.67 </w:t>
            </w:r>
          </w:p>
        </w:tc>
      </w:tr>
      <w:tr w14:paraId="54A6B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1381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51AC3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沟槽止回阀65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1AC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8791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0A5D5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450.00 </w:t>
            </w:r>
          </w:p>
        </w:tc>
      </w:tr>
      <w:tr w14:paraId="4A463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075F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10A15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沟槽止回阀80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25E7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F6CA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3EEB2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550.00 </w:t>
            </w:r>
          </w:p>
        </w:tc>
      </w:tr>
      <w:tr w14:paraId="00BFC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F4B7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9633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沟槽止回阀100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45817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AA2FB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E3CAE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650.00 </w:t>
            </w:r>
          </w:p>
        </w:tc>
      </w:tr>
      <w:tr w14:paraId="3DCEA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856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60093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沟槽止回阀150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CBD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球墨铸铁材质，加厚手轮，沟槽连接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1FAAB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D0352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1026.67 </w:t>
            </w:r>
          </w:p>
        </w:tc>
      </w:tr>
      <w:tr w14:paraId="3BFFF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FD47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0EE5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橡胶板止回阀65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FAB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球墨铸铁材质，阀瓣为钢材+强化尼龙；密封圈为三元乙丙胶，紧固件为不锈钢304</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5EE08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A5A54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300.00 </w:t>
            </w:r>
          </w:p>
        </w:tc>
      </w:tr>
      <w:tr w14:paraId="32A6E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A04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94D17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像胶板止回阀80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B4E8E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球墨铸铁材质，阀瓣为钢材+强化尼龙，密封圈为三元乙丙胶，紧固件为不锈钢304</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9EE76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7300D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170.00 </w:t>
            </w:r>
          </w:p>
        </w:tc>
      </w:tr>
      <w:tr w14:paraId="2D909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2E35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DF285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橡胶板止回阀100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EBDDD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球墨铸铁材质，阀瓣为钢材+强化尼龙，密封圈为三元乙丙胶，紧固件为不锈钢304</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DF94D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19B0A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180.00 </w:t>
            </w:r>
          </w:p>
        </w:tc>
      </w:tr>
      <w:tr w14:paraId="4CA67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99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E5DB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橡胶板止回阀150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CC24B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球墨铸铁材质，阀瓣为钢材+强化尼龙，密封圈为三元乙丙胶，紧固件为不锈钢304</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F17D8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16737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447.67 </w:t>
            </w:r>
          </w:p>
        </w:tc>
      </w:tr>
      <w:tr w14:paraId="38952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C62C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169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34C5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法兰过滤器100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E13FC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球墨铸铁材质，304不锈钢冲孔滤网，法兰连接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FA358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9C79D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900.00 </w:t>
            </w:r>
          </w:p>
        </w:tc>
      </w:tr>
      <w:tr w14:paraId="17E1D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D7D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FFEB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法兰过滤器150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59E53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球墨铸铁材质，304不锈钢冲孔滤网，法兰连接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767B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5B52A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1020.00 </w:t>
            </w:r>
          </w:p>
        </w:tc>
      </w:tr>
      <w:tr w14:paraId="226CA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0DC9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1B77E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沟槽过滤器100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79767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球墨铸铁材质，304不锈钢冲孔滤网，沟槽连接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B7C1E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41985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850.00 </w:t>
            </w:r>
          </w:p>
        </w:tc>
      </w:tr>
      <w:tr w14:paraId="4CAAC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3B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0D8C8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沟槽过滤器150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68FA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球墨铸铁材质，304不锈钢冲孔滤网，沟槽连接</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98F9B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908A9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1533.33 </w:t>
            </w:r>
          </w:p>
        </w:tc>
      </w:tr>
      <w:tr w14:paraId="28817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291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73A54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沟槽蝶阀80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F2BB5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沟槽连接，球墨铸铁材质，手柄启闭</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FD721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E5533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587.33 </w:t>
            </w:r>
          </w:p>
        </w:tc>
      </w:tr>
      <w:tr w14:paraId="1F763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9B9E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3B245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沟槽蝶阀100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5BCC4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沟槽连接，球墨铸铁材质，手柄启闭</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68DE2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2B5F0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714.67 </w:t>
            </w:r>
          </w:p>
        </w:tc>
      </w:tr>
      <w:tr w14:paraId="6873E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FBF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B112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沟槽蝶阀150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43478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沟槽连接，球墨铸铁材质，手柄启闭</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EFA10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45F3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880.00 </w:t>
            </w:r>
          </w:p>
        </w:tc>
      </w:tr>
      <w:tr w14:paraId="5CEAA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8736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6198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沟槽信号蝶阀150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F15D0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执行标准:GB5135.6-2018,,球铁手轮大体球铁涡轮头,无销钉电镀球铁板。</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FB251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4B399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854.00 </w:t>
            </w:r>
          </w:p>
        </w:tc>
      </w:tr>
      <w:tr w14:paraId="5DEAA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B0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12E29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水流指示器150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76FCA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额定工作压力1.2MPa,灵敏度15&lt;Q&lt; 37.5L/min,触点容量DC24V 3A 常开和常闭各一对</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26CC6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2F037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570.00 </w:t>
            </w:r>
          </w:p>
        </w:tc>
      </w:tr>
      <w:tr w14:paraId="55AD4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C94F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76165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流量开关100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0D9D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24V供电 无源输出 启泵专用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E24F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5F2472">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983.33 </w:t>
            </w:r>
          </w:p>
        </w:tc>
      </w:tr>
      <w:tr w14:paraId="65E58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FE32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179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82750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流量计150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3D89F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IP65防护等级,内置磁铁,吸附式安装</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071F6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78AB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1233.33 </w:t>
            </w:r>
          </w:p>
        </w:tc>
      </w:tr>
      <w:tr w14:paraId="5B4C8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52F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34E8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压力开关150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E296C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作压力:1.6MPa/2.5MPa工作温度:≤80℃信号输出:无源常开2路输出电源接线:红线DC24V+黑线DC24V-信号接线:黄自线启泵绿线中控报警供电方式:独立开关电源DC24V连接螺纹:G1/2(支持定制M20*1.5)防护等级:IP65(铝头款)IP55(塑料款)主体材质:铝头款304材质外接螺纹、塑料款201材质外接螺纹、管段材质球铁</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0B1FA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F264A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1983.33 </w:t>
            </w:r>
          </w:p>
        </w:tc>
      </w:tr>
      <w:tr w14:paraId="0EC2A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284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15A90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DN25镀锌钢管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F43ED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符合国家标准:壁厚大于等于3.25mm,误差不小于0.05mm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C5D6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7FEF6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26.67 </w:t>
            </w:r>
          </w:p>
        </w:tc>
      </w:tr>
      <w:tr w14:paraId="24F8D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125D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9866B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DN32镀锌钢管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F4468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符合国家标准:壁厚大于等于3.25mm,误差不小于0.05mm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08E41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2C587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30.00 </w:t>
            </w:r>
          </w:p>
        </w:tc>
      </w:tr>
      <w:tr w14:paraId="3136D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9F0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67CA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DN40镀锌钢管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01A1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符合国家标准:壁厚大于等于3.5mm,误差不小于0.05mm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DD451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CBBC3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41.67 </w:t>
            </w:r>
          </w:p>
        </w:tc>
      </w:tr>
      <w:tr w14:paraId="10F7A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6A04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6CD0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DN50镀锌钢管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DE509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符合国家标准:壁厚大于等于3.5mm,误差不小于0.05mm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CDD2B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04607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40.00 </w:t>
            </w:r>
          </w:p>
        </w:tc>
      </w:tr>
      <w:tr w14:paraId="356D5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AE1C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3337E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DN65镀锌钢管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9E663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符合国家标准:壁厚大于等于3.75mm,误差不小于0.05mm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DE5CB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4F19C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86.67 </w:t>
            </w:r>
          </w:p>
        </w:tc>
      </w:tr>
      <w:tr w14:paraId="58093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A4BA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81BBE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DN80镀锌钢管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CC5D8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符合国家标准:壁厚大于等于4mm,误差不小于0.05mm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730F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733BB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80.00 </w:t>
            </w:r>
          </w:p>
        </w:tc>
      </w:tr>
      <w:tr w14:paraId="06668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4DF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11049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DN100镀锌钢管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2B218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符合国家标准:壁厚大于等于4mm,误差不小于0.05mm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E2216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E0BF6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98.00 </w:t>
            </w:r>
          </w:p>
        </w:tc>
      </w:tr>
      <w:tr w14:paraId="51C9B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7D87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959C5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DN125镀锌钢管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A6EC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符合国家标准:壁厚大于等于4mm,误差不小于0.05mm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0C94A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03AE9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101.67 </w:t>
            </w:r>
          </w:p>
        </w:tc>
      </w:tr>
      <w:tr w14:paraId="314AC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18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189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D6E09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DN150镀锌钢管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5E0DF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符合国家标准:壁厚大于等于5.75mm,误差不小于0.05mm</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16FDC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EEA42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126.67 </w:t>
            </w:r>
          </w:p>
        </w:tc>
      </w:tr>
      <w:tr w14:paraId="5EEA3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A99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4BA70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湿式报警阀延时器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A0770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红色，铁质，容量2L</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CA845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D9768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127.17 </w:t>
            </w:r>
          </w:p>
        </w:tc>
      </w:tr>
      <w:tr w14:paraId="57B1F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4DB8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197D9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湿式报警阀压力开关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1E8C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螺纹连接;额定工作压力:1.6MPa;动作压力:0.035~0.05MPa;最大电流:0.5A</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0B1C5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BFFD8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134.12 </w:t>
            </w:r>
          </w:p>
        </w:tc>
      </w:tr>
      <w:tr w14:paraId="0BAE2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9961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631F8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湿式报警阀水力警铃</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D6677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额定工作压力:1.2MPa；铃锤启动压力:&lt;1.035MPa；额定工作压力:1.2MPa&gt;5min报警响度:压力0.05MPa&gt;80dB(A)，压力0.2MPa&gt;90dB(A)压力0.3MPa&gt;100dB(A)压力0.1MPa&gt;110dB(A)</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F70CB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F3A14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66.67 </w:t>
            </w:r>
          </w:p>
        </w:tc>
      </w:tr>
      <w:tr w14:paraId="48118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37D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22940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钢卡卡箍65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167A4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环氧树脂喷漆工艺； 球墨铸铁材质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F11BA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F1C6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35.00 </w:t>
            </w:r>
          </w:p>
        </w:tc>
      </w:tr>
      <w:tr w14:paraId="5D772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177C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3D1F7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钢卡卡箍80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12CC3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环氧树脂喷漆工艺； 球墨铸铁材质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D1004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71C18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35.00 </w:t>
            </w:r>
          </w:p>
        </w:tc>
      </w:tr>
      <w:tr w14:paraId="0EE98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EC1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60B7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钢卡卡箍100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5C36F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环氧树脂喷漆工艺； 球墨铸铁材质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18F8A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04236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67.08 </w:t>
            </w:r>
          </w:p>
        </w:tc>
      </w:tr>
      <w:tr w14:paraId="5EECA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385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D05BC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钢卡卡箍125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D457A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环氧树脂喷漆工艺； 球墨铸铁材质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F923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DFC8D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61.67 </w:t>
            </w:r>
          </w:p>
        </w:tc>
      </w:tr>
      <w:tr w14:paraId="4DF29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BF4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A494A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钢卡卡箍150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3C862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环氧树脂喷漆工艺； 球墨铸铁材质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EBC2F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1EB2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66.67 </w:t>
            </w:r>
          </w:p>
        </w:tc>
      </w:tr>
      <w:tr w14:paraId="78E77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09B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A1C7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水力控制阀</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43F3E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阀体材质：球墨铸铁；密封圈材质：三元乙丙橡胶；法兰连接，压力表精度1.6级</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FD862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9F7E0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664.67 </w:t>
            </w:r>
          </w:p>
        </w:tc>
      </w:tr>
      <w:tr w14:paraId="399B1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3C49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199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F4A5D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浮球（液位开关）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A4D4B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1、材质：不锈钢                                     2、规格：DN15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85C12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2EF3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180.00 </w:t>
            </w:r>
          </w:p>
        </w:tc>
      </w:tr>
      <w:tr w14:paraId="5545B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3F0A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843DF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水箱不锈钢浮球阀</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70F70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产品符合CJ/T219-2017 水力控制阀</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BBF7C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47275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200.00 </w:t>
            </w:r>
          </w:p>
        </w:tc>
      </w:tr>
      <w:tr w14:paraId="1D32F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C12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51FAF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压力表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80A7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1、型号：1.6-Y100                             2、规格：DN15     </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6C46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2ABE2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25.00 </w:t>
            </w:r>
          </w:p>
        </w:tc>
      </w:tr>
      <w:tr w14:paraId="5BD04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A51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95997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电接点压力表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338DD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与单位现有消防设备设施相匹配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0E603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F5A31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80.00 </w:t>
            </w:r>
          </w:p>
        </w:tc>
      </w:tr>
      <w:tr w14:paraId="6E619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4C9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82D9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湿式报警阀组</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4DCD3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执行标准GB5135.2-2003，栓体球墨铸铁材质，额定压力1.6MPa，铜质接口，红色</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5469F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1687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716.67 </w:t>
            </w:r>
          </w:p>
        </w:tc>
      </w:tr>
      <w:tr w14:paraId="7D8BE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6DF5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EE9D1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DN15铜球阀</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ACAC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螺纹接口，工作压力:≤1.6MPa；铜阀体+铁球芯+铁杆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419F2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846B4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20.00 </w:t>
            </w:r>
          </w:p>
        </w:tc>
      </w:tr>
      <w:tr w14:paraId="46375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980D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80F98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DN25铜球阀</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743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螺纹接口，工作压力:≤1.6MPa；铜阀体+铁球芯+铁杆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A88D0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47BE1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30.00 </w:t>
            </w:r>
          </w:p>
        </w:tc>
      </w:tr>
      <w:tr w14:paraId="2DE01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C08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3098C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DN80抢修器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D86E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阀体:球墨铸铁 橡胶:丁睛胶三元乙丙</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F356F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89759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125.67 </w:t>
            </w:r>
          </w:p>
        </w:tc>
      </w:tr>
      <w:tr w14:paraId="274A1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1C0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BC9C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DN100抢修器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060AC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阀体:球墨铸铁 橡胶:丁睛胶三元乙丙</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B5990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D2D7D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146.67 </w:t>
            </w:r>
          </w:p>
        </w:tc>
      </w:tr>
      <w:tr w14:paraId="4566F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2D62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AA18F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DN150抢修器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B5926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阀体:球墨铸铁 橡胶:丁睛胶三元乙丙</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00341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4077B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180.00 </w:t>
            </w:r>
          </w:p>
        </w:tc>
      </w:tr>
      <w:tr w14:paraId="04EEE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E091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209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1A74A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CR17450L 电池</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A05A8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标称 电压3伏(V)；</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25BCD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粒</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8A015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23.00 </w:t>
            </w:r>
          </w:p>
        </w:tc>
      </w:tr>
      <w:tr w14:paraId="632FB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4503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4388B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门磁报警器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B969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电池款有线门磁声光报警器，铁门磁，螺丝螺帽安装含电池，设备包含安装（安装在对应数量的灭火器箱盖下方）</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2B280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CE5C00">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210.00 </w:t>
            </w:r>
          </w:p>
        </w:tc>
      </w:tr>
      <w:tr w14:paraId="2B7CD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2B3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B1CAC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钢丝网骨架塑料复合管   DN150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777FA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(1)电熔</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(2)埋地</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(3)消防水</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(4)钢丝网骨架塑料复合管   DN150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(5)管道支墩</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87D27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068E6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150.00 </w:t>
            </w:r>
          </w:p>
        </w:tc>
      </w:tr>
      <w:tr w14:paraId="068CA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87E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5194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钢丝网骨架塑料复合管   DN150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555E4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(1)电熔</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(2)明设</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(3)消防水</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(4)钢丝网骨架塑料复合管   DN150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(5)管道支墩</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4B9A4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A4528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150.00 </w:t>
            </w:r>
          </w:p>
        </w:tc>
      </w:tr>
      <w:tr w14:paraId="3602C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482E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E0E33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钢丝网骨架塑料复合管   DN100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8682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(1)电熔</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(2)明设</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(3)消防水</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(4)钢丝网骨架塑料复合管 DN100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B174B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0E2F1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150.00 </w:t>
            </w:r>
          </w:p>
        </w:tc>
      </w:tr>
      <w:tr w14:paraId="6E090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1895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1CAA2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钢丝网骨架塑料复合管   DN100</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5E733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(1)电熔</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(2埋地</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(3)消防水</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(4)钢丝网骨架塑料复合管 DN100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9B71E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04D63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150.00 </w:t>
            </w:r>
          </w:p>
        </w:tc>
      </w:tr>
      <w:tr w14:paraId="5576D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F31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6D76A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钢丝网骨架塑料复合管   DN65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BF11D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(1)电熔</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(2)明设</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(3)消防水</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(4)钢丝网骨架塑料复合管 DN65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0B525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AC816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100.00 </w:t>
            </w:r>
          </w:p>
        </w:tc>
      </w:tr>
      <w:tr w14:paraId="27F28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BEA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36B76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钢丝网骨架塑料复合管   DN65</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20D80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(1)电熔</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(2)埋地</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(3)消防水</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(4)钢丝网骨架塑料复合管 DN65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131B3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米</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03BF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100.00 </w:t>
            </w:r>
          </w:p>
        </w:tc>
      </w:tr>
      <w:tr w14:paraId="1B9F5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EF0F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E918A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管道支墩(挡墩)(每处1m3以内)</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B8923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C30混凝土浇筑</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AF872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m3</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5ECD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162.00 </w:t>
            </w:r>
          </w:p>
        </w:tc>
      </w:tr>
      <w:tr w14:paraId="59D09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9A9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750B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沟槽法兰</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E8ED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DN100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1524E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08748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20.00 </w:t>
            </w:r>
          </w:p>
        </w:tc>
      </w:tr>
      <w:tr w14:paraId="138FA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0AEF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219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79BD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沟槽法兰</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A7874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DN150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A88F9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E2C228">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35.00 </w:t>
            </w:r>
          </w:p>
        </w:tc>
      </w:tr>
      <w:tr w14:paraId="653B3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3517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F3F0E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沟槽弯头</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6D5BD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DN150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8F403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615D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50.00 </w:t>
            </w:r>
          </w:p>
        </w:tc>
      </w:tr>
      <w:tr w14:paraId="538E5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A757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33A92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沟槽弯头</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5DDCE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DN100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6192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71B14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23.33 </w:t>
            </w:r>
          </w:p>
        </w:tc>
      </w:tr>
      <w:tr w14:paraId="78DD5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8A5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24ED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沟槽弯头</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823B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DN80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1DDF8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F6D05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20.00 </w:t>
            </w:r>
          </w:p>
        </w:tc>
      </w:tr>
      <w:tr w14:paraId="0C28A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121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896DD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沟槽弯头</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6F63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DN65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43033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24A225">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10.00 </w:t>
            </w:r>
          </w:p>
        </w:tc>
      </w:tr>
      <w:tr w14:paraId="2FBB1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DFF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40EF5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沟槽三通</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D4741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DN150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40DF3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639B0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80.00 </w:t>
            </w:r>
          </w:p>
        </w:tc>
      </w:tr>
      <w:tr w14:paraId="6E9E9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F61B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1FE20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沟槽三通</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0E6DE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DN100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90227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7B4CF">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50.00 </w:t>
            </w:r>
          </w:p>
        </w:tc>
      </w:tr>
      <w:tr w14:paraId="01628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5E65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7203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沟槽三通</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554CC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DN80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D53E6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7F90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30.00 </w:t>
            </w:r>
          </w:p>
        </w:tc>
      </w:tr>
      <w:tr w14:paraId="54337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03FF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42E96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沟槽三通</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4C4CC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DN65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FA0B7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ED5E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20.00 </w:t>
            </w:r>
          </w:p>
        </w:tc>
      </w:tr>
      <w:tr w14:paraId="068A3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9A65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DC336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丝口管件</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25A38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DN15-DN25</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C2B61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354B9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3.00 </w:t>
            </w:r>
          </w:p>
        </w:tc>
      </w:tr>
      <w:tr w14:paraId="7521E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E5C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229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42E09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丝口管件</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6371F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DN32-DN50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EFE72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23F2A5">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7.33 </w:t>
            </w:r>
          </w:p>
        </w:tc>
      </w:tr>
      <w:tr w14:paraId="2AEC7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049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16A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丝口管件</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1EEC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DN65-DN100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1C26E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2324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35.02 </w:t>
            </w:r>
          </w:p>
        </w:tc>
      </w:tr>
      <w:tr w14:paraId="584F9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6CAA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6AB7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金属软管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71D3D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耐温范围-40-150℃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60B3B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8C3E5B">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30.58 </w:t>
            </w:r>
          </w:p>
        </w:tc>
      </w:tr>
      <w:tr w14:paraId="7A7CE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1A0D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BA6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镀锌角铁</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631B5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30mmX30mmX3mm及以上规格</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3E1C0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46617D">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75.20 </w:t>
            </w:r>
          </w:p>
        </w:tc>
      </w:tr>
      <w:tr w14:paraId="52C04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F934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066B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液位计管</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4F2CC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与现有设施设施相匹配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D1BDC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根</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607746">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450.67 </w:t>
            </w:r>
          </w:p>
        </w:tc>
      </w:tr>
      <w:tr w14:paraId="49CA6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0E9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BC2EE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考克</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CB7D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消防专用阀门</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EDB09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7F662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295.33 </w:t>
            </w:r>
          </w:p>
        </w:tc>
      </w:tr>
      <w:tr w14:paraId="2A22F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59A4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D0DD6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断路器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98716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250A  3200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65984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36E523">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483.33 </w:t>
            </w:r>
          </w:p>
        </w:tc>
      </w:tr>
      <w:tr w14:paraId="68F33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9E3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13F03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继电器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D073C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24V</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E0D84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87AFA9">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97.33 </w:t>
            </w:r>
          </w:p>
        </w:tc>
      </w:tr>
      <w:tr w14:paraId="51E51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D18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237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21AF3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继电器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9C06F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220V</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23D2F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361C3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105.33 </w:t>
            </w:r>
          </w:p>
        </w:tc>
      </w:tr>
      <w:tr w14:paraId="66470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B2D9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238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6C063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双电源</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4046D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250A  3200</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A27E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8F8511">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2916.67 </w:t>
            </w:r>
          </w:p>
        </w:tc>
      </w:tr>
      <w:tr w14:paraId="4AC34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56F5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239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F0E32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接触器</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056A6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220V</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039A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A8DA4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410.00 </w:t>
            </w:r>
          </w:p>
        </w:tc>
      </w:tr>
      <w:tr w14:paraId="7630D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4FD8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240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9215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空气开关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A1DBD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220V</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31D0C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7A2FB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350.00 </w:t>
            </w:r>
          </w:p>
        </w:tc>
      </w:tr>
      <w:tr w14:paraId="22FE1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053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241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187C3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控制柜指示灯</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D3BD1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与现有设施设施相匹配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33B1C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FCE3BE">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141.67 </w:t>
            </w:r>
          </w:p>
        </w:tc>
      </w:tr>
      <w:tr w14:paraId="1CC68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4967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242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BDA0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控制柜手自动转换开关</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30F2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与现有设施设施相匹配</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605D1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446D5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363.33 </w:t>
            </w:r>
          </w:p>
        </w:tc>
      </w:tr>
      <w:tr w14:paraId="6AF54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671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243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030B8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稳压泵</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1ACB4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1.5KW</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0501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837EE7">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3400.00 </w:t>
            </w:r>
          </w:p>
        </w:tc>
      </w:tr>
      <w:tr w14:paraId="76889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BDC8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244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B4A36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稳压泵</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D62F4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2.2KW</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97C6A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DFA9AA">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4333.33 </w:t>
            </w:r>
          </w:p>
        </w:tc>
      </w:tr>
      <w:tr w14:paraId="749C6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F5D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245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95A6B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稳压泵</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4C1AA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3.3KW</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4268D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B4FF24">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4783.33 </w:t>
            </w:r>
          </w:p>
        </w:tc>
      </w:tr>
      <w:tr w14:paraId="14D87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64E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246 </w:t>
            </w:r>
          </w:p>
        </w:tc>
        <w:tc>
          <w:tcPr>
            <w:tcW w:w="28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3F6B6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零星用工费</w:t>
            </w:r>
          </w:p>
        </w:tc>
        <w:tc>
          <w:tcPr>
            <w:tcW w:w="32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3575E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left"/>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临时用工形式，以经使用确认为准。</w:t>
            </w:r>
          </w:p>
        </w:tc>
        <w:tc>
          <w:tcPr>
            <w:tcW w:w="11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B944E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jc w:val="center"/>
              <w:textAlignment w:val="center"/>
              <w:rPr>
                <w:rFonts w:hint="default"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人/天</w:t>
            </w:r>
          </w:p>
        </w:tc>
        <w:tc>
          <w:tcPr>
            <w:tcW w:w="16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410AEC">
            <w:pPr>
              <w:keepNext w:val="0"/>
              <w:keepLines w:val="0"/>
              <w:widowControl/>
              <w:suppressLineNumbers w:val="0"/>
              <w:spacing w:before="0" w:beforeAutospacing="0" w:after="0" w:afterAutospacing="0"/>
              <w:ind w:left="0" w:right="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421.67 </w:t>
            </w:r>
          </w:p>
        </w:tc>
      </w:tr>
    </w:tbl>
    <w:p w14:paraId="5CE7D2ED">
      <w:pPr>
        <w:spacing w:line="400" w:lineRule="exact"/>
        <w:ind w:firstLine="482" w:firstLineChars="200"/>
        <w:rPr>
          <w:rFonts w:hint="eastAsia" w:ascii="宋体" w:hAnsi="宋体" w:eastAsia="宋体" w:cs="宋体"/>
          <w:b/>
          <w:bCs/>
          <w:color w:val="auto"/>
          <w:sz w:val="24"/>
          <w:szCs w:val="24"/>
          <w:highlight w:val="green"/>
          <w:lang w:val="en-US" w:eastAsia="zh-CN"/>
        </w:rPr>
      </w:pPr>
    </w:p>
    <w:p w14:paraId="20C6A6D3">
      <w:pPr>
        <w:spacing w:line="400" w:lineRule="exact"/>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㈠</w:t>
      </w: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rPr>
        <w:t>消防器材零星配送服务要求</w:t>
      </w:r>
    </w:p>
    <w:p w14:paraId="3962BFA2">
      <w:pPr>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1、采购人自收到商品起5个工作日内可对商品的规格、数量等产品信息提出异议，</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必须在3日内答复并提出解决方案，否则采购人有权退货并要求</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承担所有的费用。灭火剂换药后一个月内在采购人未使用情况下发现压力不符合标准要求的数量超过本批总量的1%的扣款</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000元，超过2%的扣款</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000元，超过3%的不支付本批货款。</w:t>
      </w:r>
    </w:p>
    <w:p w14:paraId="291155EF">
      <w:pPr>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2、质量保证：</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对所提供的商品必须符合国家有关部门的质量要求并根据行业标准进行保修，如出现质量问题给采购人造成危害和损失的，采购人将没收履约保证金并由</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 xml:space="preserve">承担赔偿责任。                         </w:t>
      </w:r>
    </w:p>
    <w:p w14:paraId="2D98C7A7">
      <w:pPr>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3、服务要求：</w:t>
      </w:r>
    </w:p>
    <w:p w14:paraId="412727CA">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接到采购人采购电话、邮件、传真响应时间为</w:t>
      </w:r>
      <w:r>
        <w:rPr>
          <w:rFonts w:hint="eastAsia" w:ascii="宋体" w:hAnsi="宋体" w:cs="宋体"/>
          <w:color w:val="auto"/>
          <w:sz w:val="24"/>
          <w:szCs w:val="24"/>
          <w:highlight w:val="none"/>
          <w:lang w:val="en-US" w:eastAsia="zh-CN"/>
        </w:rPr>
        <w:t>48小时</w:t>
      </w:r>
      <w:r>
        <w:rPr>
          <w:rFonts w:hint="eastAsia" w:ascii="宋体" w:hAnsi="宋体" w:cs="宋体"/>
          <w:color w:val="auto"/>
          <w:sz w:val="24"/>
          <w:szCs w:val="24"/>
          <w:highlight w:val="none"/>
        </w:rPr>
        <w:t>内，按约定时间将所需商品送达采购人指定地点。</w:t>
      </w:r>
    </w:p>
    <w:p w14:paraId="2B37D7B2">
      <w:pPr>
        <w:spacing w:line="4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所提供的商品除满足清单目录内的要求外，还能符合采购人相应场所消防安全规范要求的标准以及与在用的商品相匹配。</w:t>
      </w:r>
    </w:p>
    <w:p w14:paraId="1BC2D75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jc w:val="left"/>
        <w:textAlignment w:val="auto"/>
        <w:rPr>
          <w:rFonts w:hint="eastAsia" w:ascii="宋体" w:hAnsi="宋体" w:eastAsia="宋体" w:cs="宋体"/>
          <w:b/>
          <w:bCs/>
          <w:color w:val="auto"/>
          <w:sz w:val="24"/>
          <w:szCs w:val="24"/>
          <w:highlight w:val="yellow"/>
        </w:rPr>
      </w:pPr>
    </w:p>
    <w:p w14:paraId="3701ECB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0" w:firstLineChars="0"/>
        <w:jc w:val="left"/>
        <w:textAlignment w:val="auto"/>
        <w:rPr>
          <w:rFonts w:hint="eastAsia" w:ascii="宋体" w:hAnsi="宋体" w:eastAsia="宋体" w:cs="宋体"/>
          <w:b/>
          <w:bCs/>
          <w:color w:val="auto"/>
          <w:sz w:val="24"/>
          <w:szCs w:val="24"/>
          <w:highlight w:val="yellow"/>
        </w:rPr>
        <w:sectPr>
          <w:footerReference r:id="rId6" w:type="default"/>
          <w:pgSz w:w="11907" w:h="16840"/>
          <w:pgMar w:top="1440" w:right="1080" w:bottom="1440" w:left="1080" w:header="851" w:footer="794" w:gutter="0"/>
          <w:cols w:space="720" w:num="1"/>
          <w:docGrid w:linePitch="312" w:charSpace="0"/>
        </w:sectPr>
      </w:pPr>
    </w:p>
    <w:p w14:paraId="09C9199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jc w:val="left"/>
        <w:textAlignment w:val="auto"/>
        <w:rPr>
          <w:rFonts w:hint="eastAsia" w:ascii="宋体" w:hAnsi="宋体" w:eastAsia="宋体" w:cs="宋体"/>
          <w:b/>
          <w:bCs/>
          <w:color w:val="auto"/>
          <w:sz w:val="24"/>
          <w:szCs w:val="24"/>
          <w:highlight w:val="none"/>
        </w:rPr>
      </w:pPr>
    </w:p>
    <w:p w14:paraId="1B1255C7">
      <w:pPr>
        <w:pStyle w:val="294"/>
        <w:keepNext w:val="0"/>
        <w:keepLines w:val="0"/>
        <w:pageBreakBefore w:val="0"/>
        <w:widowControl/>
        <w:numPr>
          <w:ilvl w:val="0"/>
          <w:numId w:val="0"/>
        </w:numPr>
        <w:kinsoku/>
        <w:wordWrap/>
        <w:overflowPunct/>
        <w:topLinePunct w:val="0"/>
        <w:autoSpaceDE/>
        <w:autoSpaceDN/>
        <w:bidi w:val="0"/>
        <w:adjustRightInd/>
        <w:snapToGrid/>
        <w:spacing w:line="400" w:lineRule="exact"/>
        <w:ind w:leftChars="0"/>
        <w:textAlignment w:val="auto"/>
        <w:outlineLvl w:val="1"/>
        <w:rPr>
          <w:rFonts w:hint="eastAsia" w:ascii="宋体" w:hAnsi="宋体" w:eastAsia="宋体" w:cs="宋体"/>
          <w:b/>
          <w:color w:val="auto"/>
          <w:sz w:val="24"/>
          <w:szCs w:val="24"/>
        </w:rPr>
      </w:pPr>
      <w:r>
        <w:rPr>
          <w:rFonts w:hint="eastAsia" w:cs="宋体"/>
          <w:b/>
          <w:color w:val="auto"/>
          <w:sz w:val="24"/>
          <w:szCs w:val="24"/>
          <w:lang w:val="en-US" w:eastAsia="zh-CN"/>
        </w:rPr>
        <w:t>三、</w:t>
      </w:r>
      <w:r>
        <w:rPr>
          <w:rFonts w:hint="eastAsia" w:ascii="宋体" w:hAnsi="宋体" w:eastAsia="宋体" w:cs="宋体"/>
          <w:b/>
          <w:color w:val="auto"/>
          <w:sz w:val="24"/>
          <w:szCs w:val="24"/>
        </w:rPr>
        <w:t>商务要求</w:t>
      </w:r>
      <w:bookmarkEnd w:id="137"/>
      <w:bookmarkEnd w:id="138"/>
      <w:bookmarkStart w:id="142" w:name="_Toc11786_WPSOffice_Level3"/>
      <w:bookmarkStart w:id="143" w:name="_Toc2336_WPSOffice_Level3"/>
      <w:r>
        <w:rPr>
          <w:rFonts w:hint="eastAsia" w:ascii="宋体" w:hAnsi="宋体" w:eastAsia="宋体" w:cs="宋体"/>
          <w:b/>
          <w:color w:val="auto"/>
          <w:sz w:val="24"/>
          <w:szCs w:val="24"/>
        </w:rPr>
        <w:t>（</w:t>
      </w:r>
      <w:r>
        <w:rPr>
          <w:rFonts w:hint="eastAsia" w:ascii="宋体" w:hAnsi="宋体" w:eastAsia="宋体" w:cs="宋体"/>
          <w:b/>
          <w:color w:val="auto"/>
          <w:sz w:val="24"/>
          <w:szCs w:val="24"/>
          <w:lang w:eastAsia="zh-CN"/>
        </w:rPr>
        <w:t>此项内所有内容</w:t>
      </w:r>
      <w:r>
        <w:rPr>
          <w:rFonts w:hint="eastAsia" w:ascii="宋体" w:hAnsi="宋体" w:eastAsia="宋体" w:cs="宋体"/>
          <w:b/>
          <w:color w:val="auto"/>
          <w:sz w:val="24"/>
          <w:szCs w:val="24"/>
        </w:rPr>
        <w:t>不得负偏离，否则按无效响应处理）</w:t>
      </w:r>
      <w:bookmarkEnd w:id="142"/>
      <w:bookmarkEnd w:id="143"/>
    </w:p>
    <w:p w14:paraId="75ACD147">
      <w:pPr>
        <w:pStyle w:val="294"/>
        <w:keepNext w:val="0"/>
        <w:keepLines w:val="0"/>
        <w:pageBreakBefore w:val="0"/>
        <w:widowControl/>
        <w:numPr>
          <w:ilvl w:val="0"/>
          <w:numId w:val="0"/>
        </w:numPr>
        <w:kinsoku/>
        <w:wordWrap/>
        <w:overflowPunct/>
        <w:topLinePunct w:val="0"/>
        <w:autoSpaceDE/>
        <w:autoSpaceDN/>
        <w:bidi w:val="0"/>
        <w:adjustRightInd/>
        <w:snapToGrid/>
        <w:spacing w:line="400" w:lineRule="exact"/>
        <w:ind w:leftChars="0"/>
        <w:textAlignment w:val="auto"/>
        <w:outlineLvl w:val="1"/>
        <w:rPr>
          <w:rFonts w:hint="eastAsia" w:ascii="宋体" w:hAnsi="宋体" w:eastAsia="宋体" w:cs="宋体"/>
          <w:b/>
          <w:color w:val="auto"/>
          <w:sz w:val="24"/>
          <w:szCs w:val="24"/>
          <w:lang w:eastAsia="zh-CN"/>
        </w:rPr>
      </w:pPr>
      <w:r>
        <w:rPr>
          <w:rFonts w:hint="eastAsia" w:ascii="宋体" w:hAnsi="宋体" w:cs="宋体"/>
          <w:color w:val="auto"/>
          <w:spacing w:val="-2"/>
          <w:sz w:val="24"/>
          <w:szCs w:val="24"/>
          <w:highlight w:val="none"/>
          <w:lang w:val="en-US" w:eastAsia="zh-CN"/>
        </w:rPr>
        <w:t>合同包</w:t>
      </w:r>
      <w:r>
        <w:rPr>
          <w:rFonts w:hint="eastAsia" w:ascii="宋体" w:hAnsi="宋体" w:eastAsia="宋体" w:cs="宋体"/>
          <w:color w:val="333333"/>
          <w:shd w:val="clear" w:color="auto" w:fill="FFFFFF"/>
        </w:rPr>
        <w:t>1</w:t>
      </w:r>
      <w:r>
        <w:rPr>
          <w:rFonts w:hint="eastAsia" w:ascii="宋体" w:hAnsi="宋体" w:eastAsia="宋体" w:cs="宋体"/>
          <w:color w:val="333333"/>
          <w:shd w:val="clear" w:color="auto" w:fill="FFFFFF"/>
          <w:lang w:eastAsia="zh-CN"/>
        </w:rPr>
        <w:t>：</w:t>
      </w:r>
    </w:p>
    <w:tbl>
      <w:tblPr>
        <w:tblStyle w:val="49"/>
        <w:tblW w:w="5000"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997"/>
        <w:gridCol w:w="999"/>
        <w:gridCol w:w="1497"/>
        <w:gridCol w:w="6494"/>
      </w:tblGrid>
      <w:tr w14:paraId="5327FAC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499" w:type="pct"/>
            <w:tcBorders>
              <w:top w:val="single" w:color="000000" w:sz="6" w:space="0"/>
              <w:left w:val="single" w:color="000000" w:sz="6" w:space="0"/>
              <w:bottom w:val="single" w:color="000000" w:sz="6" w:space="0"/>
              <w:right w:val="single" w:color="000000" w:sz="6" w:space="0"/>
            </w:tcBorders>
            <w:shd w:val="clear" w:color="auto" w:fill="FAFAFA"/>
            <w:tcMar>
              <w:left w:w="120" w:type="dxa"/>
              <w:right w:w="120" w:type="dxa"/>
            </w:tcMar>
            <w:vAlign w:val="center"/>
          </w:tcPr>
          <w:p w14:paraId="31E5D694">
            <w:pPr>
              <w:keepNext w:val="0"/>
              <w:keepLines w:val="0"/>
              <w:pageBreakBefore w:val="0"/>
              <w:widowControl/>
              <w:suppressLineNumbers w:val="0"/>
              <w:kinsoku/>
              <w:wordWrap w:val="0"/>
              <w:topLinePunct w:val="0"/>
              <w:bidi w:val="0"/>
              <w:spacing w:before="0" w:beforeAutospacing="0" w:after="0" w:afterAutospacing="0" w:line="400" w:lineRule="exact"/>
              <w:ind w:left="0" w:right="0"/>
              <w:jc w:val="left"/>
              <w:rPr>
                <w:rFonts w:hint="eastAsia" w:ascii="宋体" w:hAnsi="宋体" w:eastAsia="宋体" w:cs="宋体"/>
                <w:b/>
                <w:bCs/>
                <w:color w:val="auto"/>
                <w:sz w:val="24"/>
                <w:szCs w:val="24"/>
              </w:rPr>
            </w:pPr>
            <w:bookmarkStart w:id="144" w:name="_Toc21434_WPSOffice_Level1"/>
            <w:bookmarkStart w:id="145" w:name="_Toc3912_WPSOffice_Level1"/>
            <w:bookmarkStart w:id="146" w:name="_Toc16217"/>
            <w:bookmarkStart w:id="147" w:name="_Toc13174_WPSOffice_Level1"/>
            <w:r>
              <w:rPr>
                <w:rFonts w:hint="eastAsia" w:ascii="宋体" w:hAnsi="宋体" w:eastAsia="宋体" w:cs="宋体"/>
                <w:b/>
                <w:bCs/>
                <w:color w:val="auto"/>
                <w:kern w:val="0"/>
                <w:sz w:val="24"/>
                <w:szCs w:val="24"/>
              </w:rPr>
              <w:t>序号</w:t>
            </w:r>
          </w:p>
        </w:tc>
        <w:tc>
          <w:tcPr>
            <w:tcW w:w="500" w:type="pct"/>
            <w:tcBorders>
              <w:top w:val="single" w:color="000000" w:sz="6" w:space="0"/>
              <w:left w:val="single" w:color="000000" w:sz="6" w:space="0"/>
              <w:bottom w:val="single" w:color="000000" w:sz="6" w:space="0"/>
              <w:right w:val="single" w:color="000000" w:sz="6" w:space="0"/>
            </w:tcBorders>
            <w:shd w:val="clear" w:color="auto" w:fill="FAFAFA"/>
            <w:tcMar>
              <w:left w:w="120" w:type="dxa"/>
              <w:right w:w="120" w:type="dxa"/>
            </w:tcMar>
            <w:vAlign w:val="center"/>
          </w:tcPr>
          <w:p w14:paraId="68A8D2E9">
            <w:pPr>
              <w:keepNext w:val="0"/>
              <w:keepLines w:val="0"/>
              <w:pageBreakBefore w:val="0"/>
              <w:widowControl/>
              <w:suppressLineNumbers w:val="0"/>
              <w:kinsoku/>
              <w:wordWrap w:val="0"/>
              <w:topLinePunct w:val="0"/>
              <w:bidi w:val="0"/>
              <w:spacing w:before="0" w:beforeAutospacing="0" w:after="0" w:afterAutospacing="0" w:line="400" w:lineRule="exact"/>
              <w:ind w:left="0" w:right="0"/>
              <w:jc w:val="left"/>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参数性质</w:t>
            </w:r>
          </w:p>
        </w:tc>
        <w:tc>
          <w:tcPr>
            <w:tcW w:w="749" w:type="pct"/>
            <w:tcBorders>
              <w:top w:val="single" w:color="000000" w:sz="6" w:space="0"/>
              <w:left w:val="single" w:color="000000" w:sz="6" w:space="0"/>
              <w:bottom w:val="single" w:color="000000" w:sz="6" w:space="0"/>
              <w:right w:val="single" w:color="000000" w:sz="6" w:space="0"/>
            </w:tcBorders>
            <w:shd w:val="clear" w:color="auto" w:fill="FAFAFA"/>
            <w:tcMar>
              <w:left w:w="120" w:type="dxa"/>
              <w:right w:w="120" w:type="dxa"/>
            </w:tcMar>
            <w:vAlign w:val="center"/>
          </w:tcPr>
          <w:p w14:paraId="166B0337">
            <w:pPr>
              <w:keepNext w:val="0"/>
              <w:keepLines w:val="0"/>
              <w:pageBreakBefore w:val="0"/>
              <w:widowControl/>
              <w:suppressLineNumbers w:val="0"/>
              <w:kinsoku/>
              <w:wordWrap w:val="0"/>
              <w:topLinePunct w:val="0"/>
              <w:bidi w:val="0"/>
              <w:spacing w:before="0" w:beforeAutospacing="0" w:after="0" w:afterAutospacing="0" w:line="400" w:lineRule="exact"/>
              <w:ind w:left="0" w:right="0"/>
              <w:jc w:val="left"/>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类型</w:t>
            </w:r>
          </w:p>
        </w:tc>
        <w:tc>
          <w:tcPr>
            <w:tcW w:w="3250" w:type="pct"/>
            <w:tcBorders>
              <w:top w:val="single" w:color="000000" w:sz="6" w:space="0"/>
              <w:left w:val="single" w:color="000000" w:sz="6" w:space="0"/>
              <w:bottom w:val="single" w:color="000000" w:sz="6" w:space="0"/>
              <w:right w:val="single" w:color="000000" w:sz="6" w:space="0"/>
            </w:tcBorders>
            <w:shd w:val="clear" w:color="auto" w:fill="FAFAFA"/>
            <w:tcMar>
              <w:left w:w="120" w:type="dxa"/>
              <w:right w:w="120" w:type="dxa"/>
            </w:tcMar>
            <w:vAlign w:val="center"/>
          </w:tcPr>
          <w:p w14:paraId="3647C82B">
            <w:pPr>
              <w:keepNext w:val="0"/>
              <w:keepLines w:val="0"/>
              <w:pageBreakBefore w:val="0"/>
              <w:widowControl/>
              <w:suppressLineNumbers w:val="0"/>
              <w:kinsoku/>
              <w:wordWrap w:val="0"/>
              <w:topLinePunct w:val="0"/>
              <w:bidi w:val="0"/>
              <w:spacing w:before="0" w:beforeAutospacing="0" w:after="0" w:afterAutospacing="0" w:line="400" w:lineRule="exact"/>
              <w:ind w:left="0" w:right="0"/>
              <w:jc w:val="left"/>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要求</w:t>
            </w:r>
          </w:p>
        </w:tc>
      </w:tr>
      <w:tr w14:paraId="1AEEB1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24B3A2F8">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A5EE45F">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4B261B3C">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交货时间</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789B7B0">
            <w:pPr>
              <w:keepNext w:val="0"/>
              <w:keepLines w:val="0"/>
              <w:pageBreakBefore w:val="0"/>
              <w:widowControl/>
              <w:suppressLineNumbers w:val="0"/>
              <w:kinsoku/>
              <w:wordWrap w:val="0"/>
              <w:topLinePunct w:val="0"/>
              <w:bidi w:val="0"/>
              <w:spacing w:before="0" w:beforeAutospacing="0" w:after="0" w:afterAutospacing="0" w:line="400" w:lineRule="exact"/>
              <w:ind w:left="0" w:right="0"/>
              <w:jc w:val="left"/>
              <w:rPr>
                <w:rFonts w:hint="default" w:ascii="宋体" w:hAnsi="宋体" w:eastAsia="宋体" w:cs="宋体"/>
                <w:color w:val="auto"/>
                <w:sz w:val="24"/>
                <w:szCs w:val="24"/>
                <w:lang w:val="en-US"/>
              </w:rPr>
            </w:pPr>
            <w:r>
              <w:rPr>
                <w:rFonts w:hint="eastAsia" w:ascii="宋体" w:hAnsi="宋体" w:cs="宋体"/>
                <w:color w:val="auto"/>
                <w:sz w:val="24"/>
                <w:szCs w:val="24"/>
                <w:lang w:val="en-US" w:eastAsia="zh-CN"/>
              </w:rPr>
              <w:t>服务期两年</w:t>
            </w:r>
          </w:p>
        </w:tc>
      </w:tr>
      <w:tr w14:paraId="0B0D8B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E56A074">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3D1B713">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41B2530">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交货地点</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ADFA1EF">
            <w:pPr>
              <w:keepNext w:val="0"/>
              <w:keepLines w:val="0"/>
              <w:pageBreakBefore w:val="0"/>
              <w:widowControl/>
              <w:suppressLineNumbers w:val="0"/>
              <w:kinsoku/>
              <w:wordWrap w:val="0"/>
              <w:topLinePunct w:val="0"/>
              <w:bidi w:val="0"/>
              <w:spacing w:before="0" w:beforeAutospacing="0" w:after="0" w:afterAutospacing="0" w:line="400" w:lineRule="exact"/>
              <w:ind w:left="0" w:right="0"/>
              <w:jc w:val="left"/>
              <w:rPr>
                <w:rFonts w:hint="eastAsia" w:ascii="宋体" w:hAnsi="宋体" w:eastAsia="宋体" w:cs="宋体"/>
                <w:color w:val="auto"/>
                <w:sz w:val="24"/>
                <w:szCs w:val="24"/>
              </w:rPr>
            </w:pPr>
            <w:r>
              <w:rPr>
                <w:rFonts w:hint="eastAsia" w:ascii="宋体" w:hAnsi="宋体" w:cs="宋体"/>
                <w:color w:val="auto"/>
                <w:sz w:val="24"/>
                <w:szCs w:val="24"/>
                <w:lang w:eastAsia="zh-CN"/>
              </w:rPr>
              <w:t>福建省建阳兴欣织造有限责任公司</w:t>
            </w:r>
          </w:p>
        </w:tc>
      </w:tr>
      <w:tr w14:paraId="61E163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0356BD3">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2A41E3A3">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69958FFE">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交货条件</w:t>
            </w:r>
          </w:p>
        </w:tc>
        <w:tc>
          <w:tcPr>
            <w:tcW w:w="325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tcPr>
          <w:p w14:paraId="49C10CF0">
            <w:pPr>
              <w:pStyle w:val="301"/>
              <w:keepNext w:val="0"/>
              <w:keepLines w:val="0"/>
              <w:pageBreakBefore w:val="0"/>
              <w:widowControl/>
              <w:suppressLineNumbers w:val="0"/>
              <w:kinsoku/>
              <w:topLinePunct w:val="0"/>
              <w:bidi w:val="0"/>
              <w:spacing w:before="0" w:beforeAutospacing="0" w:after="0" w:afterAutospacing="0" w:line="400" w:lineRule="exact"/>
              <w:ind w:left="0" w:right="0"/>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满足磋商文件、响应文件及合同要求</w:t>
            </w:r>
          </w:p>
        </w:tc>
      </w:tr>
      <w:tr w14:paraId="36375F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5B97FB2">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652846E7">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4D34FDEC">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是否邀请</w:t>
            </w:r>
            <w:r>
              <w:rPr>
                <w:rFonts w:hint="eastAsia" w:ascii="宋体" w:hAnsi="宋体" w:cs="宋体"/>
                <w:color w:val="auto"/>
                <w:kern w:val="0"/>
                <w:sz w:val="24"/>
                <w:szCs w:val="24"/>
                <w:lang w:eastAsia="zh-CN"/>
              </w:rPr>
              <w:t>供应商</w:t>
            </w:r>
            <w:r>
              <w:rPr>
                <w:rFonts w:hint="eastAsia" w:ascii="宋体" w:hAnsi="宋体" w:eastAsia="宋体" w:cs="宋体"/>
                <w:color w:val="auto"/>
                <w:kern w:val="0"/>
                <w:sz w:val="24"/>
                <w:szCs w:val="24"/>
              </w:rPr>
              <w:t>验收</w:t>
            </w:r>
          </w:p>
        </w:tc>
        <w:tc>
          <w:tcPr>
            <w:tcW w:w="3250" w:type="pct"/>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tcPr>
          <w:p w14:paraId="33C06A8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rPr>
                <w:rFonts w:hint="eastAsia" w:ascii="宋体" w:hAnsi="宋体" w:eastAsia="宋体" w:cs="宋体"/>
                <w:color w:val="auto"/>
                <w:sz w:val="24"/>
                <w:szCs w:val="24"/>
              </w:rPr>
            </w:pPr>
            <w:r>
              <w:rPr>
                <w:rFonts w:hint="eastAsia" w:ascii="宋体" w:hAnsi="宋体" w:eastAsia="宋体" w:cs="宋体"/>
                <w:b w:val="0"/>
                <w:bCs/>
                <w:color w:val="auto"/>
                <w:sz w:val="24"/>
                <w:szCs w:val="24"/>
                <w:highlight w:val="none"/>
              </w:rPr>
              <w:t>否</w:t>
            </w:r>
            <w:r>
              <w:rPr>
                <w:rFonts w:hint="eastAsia" w:ascii="宋体" w:hAnsi="宋体" w:eastAsia="宋体" w:cs="宋体"/>
                <w:b w:val="0"/>
                <w:bCs/>
                <w:color w:val="auto"/>
                <w:sz w:val="24"/>
                <w:szCs w:val="24"/>
                <w:highlight w:val="none"/>
                <w:lang w:eastAsia="zh-CN"/>
              </w:rPr>
              <w:t>。</w:t>
            </w:r>
          </w:p>
        </w:tc>
      </w:tr>
      <w:tr w14:paraId="4FB23B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EA1A97F">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213E7110">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460E356">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履约验收</w:t>
            </w:r>
          </w:p>
          <w:p w14:paraId="35FF88B8">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方式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DDBE26B">
            <w:pPr>
              <w:pStyle w:val="44"/>
              <w:keepNext w:val="0"/>
              <w:keepLines w:val="0"/>
              <w:pageBreakBefore w:val="0"/>
              <w:widowControl/>
              <w:suppressLineNumbers w:val="0"/>
              <w:kinsoku/>
              <w:wordWrap w:val="0"/>
              <w:topLinePunct w:val="0"/>
              <w:bidi w:val="0"/>
              <w:spacing w:before="0" w:beforeAutospacing="0" w:after="0" w:afterAutospacing="0" w:line="400" w:lineRule="exact"/>
              <w:ind w:left="0" w:right="0"/>
              <w:rPr>
                <w:rFonts w:hint="eastAsia" w:ascii="宋体" w:hAnsi="宋体" w:eastAsia="宋体" w:cs="宋体"/>
                <w:color w:val="auto"/>
                <w:sz w:val="24"/>
                <w:szCs w:val="24"/>
              </w:rPr>
            </w:pPr>
            <w:r>
              <w:rPr>
                <w:rFonts w:hint="eastAsia" w:ascii="宋体" w:hAnsi="宋体" w:eastAsia="宋体" w:cs="宋体"/>
                <w:color w:val="auto"/>
                <w:sz w:val="24"/>
                <w:szCs w:val="24"/>
                <w:highlight w:val="none"/>
              </w:rPr>
              <w:t>根据</w:t>
            </w:r>
            <w:r>
              <w:rPr>
                <w:rFonts w:hint="eastAsia" w:ascii="宋体" w:hAnsi="宋体" w:cs="宋体"/>
                <w:color w:val="auto"/>
                <w:sz w:val="24"/>
                <w:szCs w:val="24"/>
                <w:highlight w:val="none"/>
                <w:lang w:val="en-US" w:eastAsia="zh-CN"/>
              </w:rPr>
              <w:t>磋商</w:t>
            </w:r>
            <w:r>
              <w:rPr>
                <w:rFonts w:hint="eastAsia" w:ascii="宋体" w:hAnsi="宋体" w:eastAsia="宋体" w:cs="宋体"/>
                <w:color w:val="auto"/>
                <w:sz w:val="24"/>
                <w:szCs w:val="24"/>
                <w:highlight w:val="none"/>
              </w:rPr>
              <w:t>文件、</w:t>
            </w:r>
            <w:r>
              <w:rPr>
                <w:rFonts w:hint="eastAsia" w:ascii="宋体" w:hAnsi="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文件以及签订的合同规定进行验收</w:t>
            </w:r>
          </w:p>
        </w:tc>
      </w:tr>
      <w:tr w14:paraId="348586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02"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D91D605">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781C50E">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7AB98E91">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合同支付</w:t>
            </w:r>
          </w:p>
          <w:p w14:paraId="562E4D0D">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方式</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20C3267">
            <w:pPr>
              <w:keepNext w:val="0"/>
              <w:keepLines w:val="0"/>
              <w:suppressLineNumbers w:val="0"/>
              <w:spacing w:before="0" w:beforeAutospacing="0" w:after="0" w:afterAutospacing="0" w:line="400" w:lineRule="exact"/>
              <w:ind w:left="0" w:right="0"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①维保服务费按</w:t>
            </w:r>
            <w:r>
              <w:rPr>
                <w:rFonts w:hint="eastAsia" w:ascii="宋体" w:hAnsi="宋体" w:cs="宋体"/>
                <w:color w:val="auto"/>
                <w:sz w:val="24"/>
                <w:szCs w:val="24"/>
                <w:highlight w:val="none"/>
                <w:lang w:eastAsia="zh-CN"/>
              </w:rPr>
              <w:t>月</w:t>
            </w:r>
            <w:r>
              <w:rPr>
                <w:rFonts w:hint="eastAsia" w:ascii="宋体" w:hAnsi="宋体" w:cs="宋体"/>
                <w:color w:val="auto"/>
                <w:sz w:val="24"/>
                <w:szCs w:val="24"/>
                <w:highlight w:val="none"/>
              </w:rPr>
              <w:t>支付，</w:t>
            </w:r>
            <w:r>
              <w:rPr>
                <w:rFonts w:hint="eastAsia" w:ascii="宋体" w:hAnsi="宋体" w:cs="宋体"/>
                <w:color w:val="auto"/>
                <w:sz w:val="24"/>
                <w:szCs w:val="24"/>
                <w:highlight w:val="none"/>
                <w:lang w:eastAsia="zh-CN"/>
              </w:rPr>
              <w:t>即：</w:t>
            </w:r>
            <w:r>
              <w:rPr>
                <w:rFonts w:hint="eastAsia" w:ascii="宋体" w:hAnsi="宋体" w:cs="宋体"/>
                <w:color w:val="auto"/>
                <w:sz w:val="24"/>
                <w:szCs w:val="24"/>
                <w:highlight w:val="none"/>
                <w:lang w:val="en-US" w:eastAsia="zh-CN"/>
              </w:rPr>
              <w:t>最高限价*折扣进行结算</w:t>
            </w:r>
            <w:r>
              <w:rPr>
                <w:rFonts w:hint="eastAsia" w:ascii="宋体" w:hAnsi="宋体" w:cs="宋体"/>
                <w:color w:val="auto"/>
                <w:sz w:val="24"/>
                <w:szCs w:val="24"/>
                <w:highlight w:val="none"/>
              </w:rPr>
              <w:t>，根据实际提供维保服务的地点每月结算一次，</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提供全额增值税专用发票</w:t>
            </w:r>
            <w:r>
              <w:rPr>
                <w:rFonts w:hint="eastAsia" w:ascii="宋体" w:hAnsi="宋体" w:cs="宋体"/>
                <w:color w:val="auto"/>
                <w:sz w:val="24"/>
                <w:szCs w:val="24"/>
                <w:highlight w:val="none"/>
                <w:lang w:eastAsia="zh-CN"/>
              </w:rPr>
              <w:t>以及</w:t>
            </w:r>
            <w:r>
              <w:rPr>
                <w:rFonts w:hint="eastAsia" w:ascii="宋体" w:hAnsi="宋体" w:cs="宋体"/>
                <w:color w:val="auto"/>
                <w:sz w:val="24"/>
                <w:szCs w:val="24"/>
                <w:highlight w:val="none"/>
              </w:rPr>
              <w:t>合同</w:t>
            </w:r>
            <w:r>
              <w:rPr>
                <w:rFonts w:hint="eastAsia" w:ascii="宋体" w:hAnsi="宋体" w:cs="宋体"/>
                <w:color w:val="auto"/>
                <w:sz w:val="24"/>
                <w:szCs w:val="24"/>
                <w:highlight w:val="none"/>
                <w:lang w:eastAsia="zh-CN"/>
              </w:rPr>
              <w:t>要求提供的</w:t>
            </w:r>
            <w:r>
              <w:rPr>
                <w:rFonts w:hint="eastAsia" w:ascii="宋体" w:hAnsi="宋体" w:cs="宋体"/>
                <w:color w:val="auto"/>
                <w:sz w:val="24"/>
                <w:szCs w:val="24"/>
                <w:highlight w:val="none"/>
              </w:rPr>
              <w:t>文件资料</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维保报告等，</w:t>
            </w:r>
            <w:r>
              <w:rPr>
                <w:rFonts w:hint="default"/>
                <w:color w:val="auto"/>
                <w:sz w:val="24"/>
                <w:szCs w:val="24"/>
                <w:highlight w:val="none"/>
              </w:rPr>
              <w:t>达到付款条件起10日内</w:t>
            </w:r>
            <w:r>
              <w:rPr>
                <w:rFonts w:hint="eastAsia" w:ascii="宋体" w:hAnsi="宋体" w:cs="宋体"/>
                <w:color w:val="auto"/>
                <w:sz w:val="24"/>
                <w:szCs w:val="24"/>
                <w:highlight w:val="none"/>
              </w:rPr>
              <w:t>一次性支付当月服务费。</w:t>
            </w:r>
          </w:p>
          <w:p w14:paraId="08349A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firstLine="600" w:firstLineChars="25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t>②</w:t>
            </w:r>
            <w:r>
              <w:rPr>
                <w:rFonts w:hint="eastAsia" w:ascii="宋体" w:hAnsi="宋体" w:cs="宋体"/>
                <w:color w:val="auto"/>
                <w:sz w:val="24"/>
                <w:szCs w:val="24"/>
                <w:highlight w:val="none"/>
                <w:lang w:val="en-US" w:eastAsia="zh-CN"/>
              </w:rPr>
              <w:t>消防设施器材、配件费用</w:t>
            </w:r>
            <w:r>
              <w:rPr>
                <w:rFonts w:hint="eastAsia" w:ascii="宋体" w:hAnsi="宋体" w:cs="宋体"/>
                <w:color w:val="auto"/>
                <w:sz w:val="24"/>
                <w:szCs w:val="24"/>
                <w:highlight w:val="none"/>
              </w:rPr>
              <w:t>采购费用根据</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实际采购数量，每月结算一次，</w:t>
            </w:r>
            <w:r>
              <w:rPr>
                <w:rFonts w:hint="eastAsia" w:ascii="宋体" w:hAnsi="宋体" w:cs="宋体"/>
                <w:color w:val="auto"/>
                <w:sz w:val="24"/>
                <w:szCs w:val="24"/>
                <w:highlight w:val="none"/>
                <w:lang w:val="en-US" w:eastAsia="zh-CN"/>
              </w:rPr>
              <w:t>成交供应商</w:t>
            </w:r>
            <w:r>
              <w:rPr>
                <w:rFonts w:hint="eastAsia" w:ascii="宋体" w:hAnsi="宋体" w:cs="宋体"/>
                <w:color w:val="auto"/>
                <w:sz w:val="24"/>
                <w:szCs w:val="24"/>
                <w:highlight w:val="none"/>
              </w:rPr>
              <w:t>提供全额增值税专用发票</w:t>
            </w:r>
            <w:r>
              <w:rPr>
                <w:rFonts w:hint="eastAsia" w:ascii="宋体" w:hAnsi="宋体" w:cs="宋体"/>
                <w:color w:val="auto"/>
                <w:sz w:val="24"/>
                <w:szCs w:val="24"/>
                <w:highlight w:val="none"/>
                <w:lang w:eastAsia="zh-CN"/>
              </w:rPr>
              <w:t>、配送清单、验收材料后</w:t>
            </w:r>
            <w:r>
              <w:rPr>
                <w:rFonts w:hint="eastAsia" w:ascii="宋体" w:hAnsi="宋体" w:cs="宋体"/>
                <w:color w:val="auto"/>
                <w:sz w:val="24"/>
                <w:szCs w:val="24"/>
                <w:highlight w:val="none"/>
              </w:rPr>
              <w:t>，</w:t>
            </w:r>
            <w:r>
              <w:rPr>
                <w:rFonts w:hint="default"/>
                <w:color w:val="auto"/>
                <w:sz w:val="24"/>
                <w:szCs w:val="24"/>
                <w:highlight w:val="none"/>
              </w:rPr>
              <w:t>达到付款条件起10日内</w:t>
            </w:r>
            <w:r>
              <w:rPr>
                <w:rFonts w:hint="eastAsia" w:ascii="宋体" w:hAnsi="宋体" w:cs="宋体"/>
                <w:color w:val="auto"/>
                <w:sz w:val="24"/>
                <w:szCs w:val="24"/>
                <w:highlight w:val="none"/>
              </w:rPr>
              <w:t>一次性支付当月备品备件采购费用。</w:t>
            </w:r>
          </w:p>
        </w:tc>
      </w:tr>
      <w:tr w14:paraId="5E20C7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6BAFD395">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7</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6222E04B">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7923E22A">
            <w:pPr>
              <w:keepNext w:val="0"/>
              <w:keepLines w:val="0"/>
              <w:pageBreakBefore w:val="0"/>
              <w:widowControl/>
              <w:suppressLineNumbers w:val="0"/>
              <w:kinsoku/>
              <w:wordWrap w:val="0"/>
              <w:topLinePunct w:val="0"/>
              <w:bidi w:val="0"/>
              <w:spacing w:before="0" w:beforeAutospacing="0" w:after="0" w:afterAutospacing="0" w:line="400" w:lineRule="exact"/>
              <w:ind w:left="0" w:right="0"/>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履约保证金</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2F5ED58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Theme="minorEastAsia" w:hAnsiTheme="minorEastAsia" w:eastAsiaTheme="minorEastAsia" w:cstheme="minorEastAsia"/>
                <w:sz w:val="24"/>
                <w:szCs w:val="20"/>
                <w:highlight w:val="none"/>
              </w:rPr>
            </w:pPr>
            <w:r>
              <w:rPr>
                <w:rFonts w:hint="eastAsia" w:asciiTheme="minorEastAsia" w:hAnsiTheme="minorEastAsia" w:eastAsiaTheme="minorEastAsia" w:cstheme="minorEastAsia"/>
                <w:kern w:val="0"/>
                <w:sz w:val="24"/>
                <w:szCs w:val="20"/>
                <w:highlight w:val="none"/>
              </w:rPr>
              <w:t>本采购包履约保证金为合同金额的</w:t>
            </w:r>
            <w:r>
              <w:rPr>
                <w:rFonts w:hint="eastAsia" w:asciiTheme="minorEastAsia" w:hAnsiTheme="minorEastAsia" w:eastAsiaTheme="minorEastAsia" w:cstheme="minorEastAsia"/>
                <w:kern w:val="0"/>
                <w:sz w:val="24"/>
                <w:szCs w:val="20"/>
                <w:highlight w:val="none"/>
                <w:lang w:val="en-US" w:eastAsia="zh-CN"/>
              </w:rPr>
              <w:t>8.0</w:t>
            </w:r>
            <w:r>
              <w:rPr>
                <w:rFonts w:hint="eastAsia" w:asciiTheme="minorEastAsia" w:hAnsiTheme="minorEastAsia" w:eastAsiaTheme="minorEastAsia" w:cstheme="minorEastAsia"/>
                <w:kern w:val="0"/>
                <w:sz w:val="24"/>
                <w:szCs w:val="20"/>
                <w:highlight w:val="none"/>
              </w:rPr>
              <w:t>0%</w:t>
            </w:r>
          </w:p>
          <w:p w14:paraId="72013EE9">
            <w:pPr>
              <w:pStyle w:val="4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Theme="minorEastAsia" w:hAnsiTheme="minorEastAsia" w:eastAsiaTheme="minorEastAsia" w:cstheme="minorEastAsia"/>
                <w:szCs w:val="20"/>
                <w:highlight w:val="none"/>
              </w:rPr>
              <w:t>说明：</w:t>
            </w:r>
            <w:r>
              <w:rPr>
                <w:rFonts w:hint="eastAsia" w:asciiTheme="minorEastAsia" w:hAnsiTheme="minorEastAsia" w:eastAsiaTheme="minorEastAsia" w:cstheme="minorEastAsia"/>
                <w:szCs w:val="20"/>
                <w:highlight w:val="none"/>
                <w:lang w:val="en-US" w:eastAsia="zh-CN"/>
              </w:rPr>
              <w:t>成交供应商</w:t>
            </w:r>
            <w:r>
              <w:rPr>
                <w:rFonts w:hint="eastAsia" w:asciiTheme="minorEastAsia" w:hAnsiTheme="minorEastAsia" w:eastAsiaTheme="minorEastAsia" w:cstheme="minorEastAsia"/>
                <w:szCs w:val="20"/>
                <w:highlight w:val="none"/>
              </w:rPr>
              <w:t>应在合同签订前向</w:t>
            </w:r>
            <w:r>
              <w:rPr>
                <w:rFonts w:hint="eastAsia" w:asciiTheme="minorEastAsia" w:hAnsiTheme="minorEastAsia" w:eastAsiaTheme="minorEastAsia" w:cstheme="minorEastAsia"/>
                <w:szCs w:val="20"/>
                <w:highlight w:val="none"/>
                <w:lang w:val="en-US" w:eastAsia="zh-CN"/>
              </w:rPr>
              <w:t>采购人</w:t>
            </w:r>
            <w:r>
              <w:rPr>
                <w:rFonts w:hint="eastAsia" w:asciiTheme="minorEastAsia" w:hAnsiTheme="minorEastAsia" w:eastAsiaTheme="minorEastAsia" w:cstheme="minorEastAsia"/>
                <w:szCs w:val="20"/>
                <w:highlight w:val="none"/>
              </w:rPr>
              <w:t>缴纳合同金额的</w:t>
            </w:r>
            <w:r>
              <w:rPr>
                <w:rFonts w:hint="eastAsia" w:asciiTheme="minorEastAsia" w:hAnsiTheme="minorEastAsia" w:eastAsiaTheme="minorEastAsia" w:cstheme="minorEastAsia"/>
                <w:szCs w:val="20"/>
                <w:highlight w:val="none"/>
                <w:lang w:val="en-US" w:eastAsia="zh-CN"/>
              </w:rPr>
              <w:t>8</w:t>
            </w:r>
            <w:r>
              <w:rPr>
                <w:rFonts w:hint="eastAsia" w:asciiTheme="minorEastAsia" w:hAnsiTheme="minorEastAsia" w:eastAsiaTheme="minorEastAsia" w:cstheme="minorEastAsia"/>
                <w:szCs w:val="20"/>
                <w:highlight w:val="none"/>
              </w:rPr>
              <w:t>%作为履约保证金，履约保证金以银行转账、支票、银行无条件支付保函（保函有效期应当涵盖本项目合同履约期）等非现金形式提交。履约保证金在</w:t>
            </w:r>
            <w:r>
              <w:rPr>
                <w:rFonts w:hint="eastAsia" w:asciiTheme="minorEastAsia" w:hAnsiTheme="minorEastAsia" w:eastAsiaTheme="minorEastAsia" w:cstheme="minorEastAsia"/>
                <w:szCs w:val="20"/>
                <w:highlight w:val="none"/>
                <w:lang w:eastAsia="zh-CN"/>
              </w:rPr>
              <w:t>合同履行完毕</w:t>
            </w:r>
            <w:r>
              <w:rPr>
                <w:rFonts w:hint="eastAsia" w:asciiTheme="minorEastAsia" w:hAnsiTheme="minorEastAsia" w:eastAsiaTheme="minorEastAsia" w:cstheme="minorEastAsia"/>
                <w:szCs w:val="20"/>
                <w:highlight w:val="none"/>
              </w:rPr>
              <w:t>经</w:t>
            </w:r>
            <w:r>
              <w:rPr>
                <w:rFonts w:hint="eastAsia" w:asciiTheme="minorEastAsia" w:hAnsiTheme="minorEastAsia" w:eastAsiaTheme="minorEastAsia" w:cstheme="minorEastAsia"/>
                <w:szCs w:val="20"/>
                <w:highlight w:val="none"/>
                <w:lang w:val="en-US" w:eastAsia="zh-CN"/>
              </w:rPr>
              <w:t>采购人</w:t>
            </w:r>
            <w:r>
              <w:rPr>
                <w:rFonts w:hint="eastAsia" w:asciiTheme="minorEastAsia" w:hAnsiTheme="minorEastAsia" w:eastAsiaTheme="minorEastAsia" w:cstheme="minorEastAsia"/>
                <w:szCs w:val="20"/>
                <w:highlight w:val="none"/>
              </w:rPr>
              <w:t>确认双方无未了事项后</w:t>
            </w:r>
            <w:r>
              <w:rPr>
                <w:rFonts w:hint="eastAsia" w:ascii="宋体" w:hAnsi="宋体" w:eastAsia="宋体" w:cs="宋体"/>
                <w:color w:val="auto"/>
                <w:sz w:val="24"/>
                <w:szCs w:val="24"/>
                <w:highlight w:val="none"/>
                <w:lang w:val="en-US" w:eastAsia="zh-CN"/>
              </w:rPr>
              <w:t>（含</w:t>
            </w:r>
            <w:bookmarkStart w:id="148" w:name="OLE_LINK11"/>
            <w:r>
              <w:rPr>
                <w:rFonts w:hint="eastAsia" w:ascii="宋体" w:hAnsi="宋体" w:eastAsia="宋体" w:cs="宋体"/>
                <w:color w:val="auto"/>
                <w:sz w:val="24"/>
                <w:szCs w:val="24"/>
                <w:highlight w:val="none"/>
                <w:lang w:val="en-US" w:eastAsia="zh-CN"/>
              </w:rPr>
              <w:t>售后维保期</w:t>
            </w:r>
            <w:bookmarkEnd w:id="148"/>
            <w:r>
              <w:rPr>
                <w:rFonts w:hint="eastAsia" w:ascii="宋体" w:hAnsi="宋体" w:eastAsia="宋体" w:cs="宋体"/>
                <w:color w:val="auto"/>
                <w:sz w:val="24"/>
                <w:szCs w:val="24"/>
                <w:highlight w:val="none"/>
                <w:lang w:val="en-US" w:eastAsia="zh-CN"/>
              </w:rPr>
              <w:t>）</w:t>
            </w:r>
            <w:r>
              <w:rPr>
                <w:rFonts w:hint="eastAsia" w:asciiTheme="minorEastAsia" w:hAnsiTheme="minorEastAsia" w:eastAsiaTheme="minorEastAsia" w:cstheme="minorEastAsia"/>
                <w:szCs w:val="20"/>
                <w:highlight w:val="none"/>
              </w:rPr>
              <w:t>，</w:t>
            </w:r>
            <w:r>
              <w:rPr>
                <w:rFonts w:hint="eastAsia" w:asciiTheme="minorEastAsia" w:hAnsiTheme="minorEastAsia" w:eastAsiaTheme="minorEastAsia" w:cstheme="minorEastAsia"/>
                <w:szCs w:val="20"/>
                <w:highlight w:val="none"/>
                <w:lang w:val="en-US" w:eastAsia="zh-CN"/>
              </w:rPr>
              <w:t>采购人</w:t>
            </w:r>
            <w:r>
              <w:rPr>
                <w:rFonts w:hint="eastAsia" w:asciiTheme="minorEastAsia" w:hAnsiTheme="minorEastAsia" w:eastAsiaTheme="minorEastAsia" w:cstheme="minorEastAsia"/>
                <w:szCs w:val="20"/>
                <w:highlight w:val="none"/>
              </w:rPr>
              <w:t>在收到</w:t>
            </w:r>
            <w:r>
              <w:rPr>
                <w:rFonts w:hint="eastAsia" w:asciiTheme="minorEastAsia" w:hAnsiTheme="minorEastAsia" w:eastAsiaTheme="minorEastAsia" w:cstheme="minorEastAsia"/>
                <w:szCs w:val="20"/>
                <w:highlight w:val="none"/>
                <w:lang w:val="en-US" w:eastAsia="zh-CN"/>
              </w:rPr>
              <w:t>成交供应商</w:t>
            </w:r>
            <w:r>
              <w:rPr>
                <w:rFonts w:hint="eastAsia" w:asciiTheme="minorEastAsia" w:hAnsiTheme="minorEastAsia" w:eastAsiaTheme="minorEastAsia" w:cstheme="minorEastAsia"/>
                <w:szCs w:val="20"/>
                <w:highlight w:val="none"/>
              </w:rPr>
              <w:t>书面申请后30日内无息退还。</w:t>
            </w:r>
          </w:p>
        </w:tc>
      </w:tr>
    </w:tbl>
    <w:p w14:paraId="7C1FB155">
      <w:pPr>
        <w:pStyle w:val="30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color w:val="auto"/>
          <w:kern w:val="0"/>
          <w:sz w:val="24"/>
          <w:szCs w:val="24"/>
        </w:rPr>
        <w:t>★</w:t>
      </w:r>
      <w:r>
        <w:rPr>
          <w:rFonts w:hint="eastAsia" w:ascii="宋体" w:hAnsi="宋体" w:cs="宋体"/>
          <w:color w:val="auto"/>
          <w:kern w:val="0"/>
          <w:sz w:val="24"/>
          <w:szCs w:val="24"/>
          <w:lang w:val="en-US" w:eastAsia="zh-CN"/>
        </w:rPr>
        <w:t>其他商务要求：</w:t>
      </w:r>
    </w:p>
    <w:p w14:paraId="4548181D">
      <w:pPr>
        <w:pStyle w:val="30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lang w:val="en-US" w:eastAsia="zh-CN"/>
        </w:rPr>
        <w:t>8</w:t>
      </w:r>
      <w:r>
        <w:rPr>
          <w:rFonts w:hint="eastAsia" w:ascii="宋体" w:hAnsi="宋体" w:eastAsia="宋体" w:cs="宋体"/>
          <w:b/>
          <w:bCs w:val="0"/>
          <w:color w:val="auto"/>
          <w:sz w:val="24"/>
          <w:szCs w:val="24"/>
          <w:highlight w:val="none"/>
        </w:rPr>
        <w:t>、验收</w:t>
      </w:r>
    </w:p>
    <w:p w14:paraId="5777D619">
      <w:pPr>
        <w:pStyle w:val="301"/>
        <w:keepNext w:val="0"/>
        <w:keepLines w:val="0"/>
        <w:pageBreakBefore w:val="0"/>
        <w:widowControl/>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.1验收标准：所有产品按</w:t>
      </w:r>
      <w:r>
        <w:rPr>
          <w:rFonts w:hint="eastAsia" w:ascii="宋体" w:hAnsi="宋体" w:cs="宋体"/>
          <w:b w:val="0"/>
          <w:bCs/>
          <w:color w:val="auto"/>
          <w:sz w:val="24"/>
          <w:szCs w:val="24"/>
          <w:highlight w:val="none"/>
          <w:lang w:eastAsia="zh-CN"/>
        </w:rPr>
        <w:t>磋商</w:t>
      </w:r>
      <w:r>
        <w:rPr>
          <w:rFonts w:hint="eastAsia" w:ascii="宋体" w:hAnsi="宋体" w:eastAsia="宋体" w:cs="宋体"/>
          <w:b w:val="0"/>
          <w:bCs/>
          <w:color w:val="auto"/>
          <w:sz w:val="24"/>
          <w:szCs w:val="24"/>
          <w:highlight w:val="none"/>
        </w:rPr>
        <w:t>文件</w:t>
      </w:r>
      <w:r>
        <w:rPr>
          <w:rFonts w:hint="eastAsia" w:ascii="宋体" w:hAnsi="宋体" w:cs="宋体"/>
          <w:b w:val="0"/>
          <w:bCs/>
          <w:color w:val="auto"/>
          <w:sz w:val="24"/>
          <w:szCs w:val="24"/>
          <w:highlight w:val="none"/>
          <w:lang w:eastAsia="zh-CN"/>
        </w:rPr>
        <w:t>、响应文件</w:t>
      </w:r>
      <w:r>
        <w:rPr>
          <w:rFonts w:hint="eastAsia" w:ascii="宋体" w:hAnsi="宋体" w:eastAsia="宋体" w:cs="宋体"/>
          <w:b w:val="0"/>
          <w:bCs/>
          <w:color w:val="auto"/>
          <w:sz w:val="24"/>
          <w:szCs w:val="24"/>
          <w:highlight w:val="none"/>
        </w:rPr>
        <w:t>等有关内容进行验收。须经过</w:t>
      </w:r>
      <w:r>
        <w:rPr>
          <w:rFonts w:hint="eastAsia" w:ascii="宋体" w:hAnsi="宋体" w:eastAsia="宋体" w:cs="宋体"/>
          <w:b w:val="0"/>
          <w:bCs/>
          <w:color w:val="auto"/>
          <w:sz w:val="24"/>
          <w:szCs w:val="24"/>
          <w:highlight w:val="none"/>
          <w:lang w:eastAsia="zh-CN"/>
        </w:rPr>
        <w:t>采购人</w:t>
      </w:r>
      <w:r>
        <w:rPr>
          <w:rFonts w:hint="eastAsia" w:ascii="宋体" w:hAnsi="宋体" w:eastAsia="宋体" w:cs="宋体"/>
          <w:b w:val="0"/>
          <w:bCs/>
          <w:color w:val="auto"/>
          <w:sz w:val="24"/>
          <w:szCs w:val="24"/>
          <w:highlight w:val="none"/>
        </w:rPr>
        <w:t>确认符合</w:t>
      </w:r>
      <w:r>
        <w:rPr>
          <w:rFonts w:hint="eastAsia" w:ascii="宋体" w:hAnsi="宋体" w:eastAsia="宋体" w:cs="宋体"/>
          <w:b w:val="0"/>
          <w:bCs/>
          <w:color w:val="auto"/>
          <w:sz w:val="24"/>
          <w:szCs w:val="24"/>
          <w:highlight w:val="none"/>
          <w:lang w:eastAsia="zh-CN"/>
        </w:rPr>
        <w:t>采购人</w:t>
      </w:r>
      <w:r>
        <w:rPr>
          <w:rFonts w:hint="eastAsia" w:ascii="宋体" w:hAnsi="宋体" w:eastAsia="宋体" w:cs="宋体"/>
          <w:b w:val="0"/>
          <w:bCs/>
          <w:color w:val="auto"/>
          <w:sz w:val="24"/>
          <w:szCs w:val="24"/>
          <w:highlight w:val="none"/>
        </w:rPr>
        <w:t>使用要求。</w:t>
      </w:r>
    </w:p>
    <w:p w14:paraId="6651F2D9">
      <w:pPr>
        <w:pStyle w:val="301"/>
        <w:keepNext w:val="0"/>
        <w:keepLines w:val="0"/>
        <w:pageBreakBefore w:val="0"/>
        <w:widowControl/>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.2</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负责将产品按</w:t>
      </w:r>
      <w:r>
        <w:rPr>
          <w:rFonts w:hint="eastAsia" w:ascii="宋体" w:hAnsi="宋体" w:eastAsia="宋体" w:cs="宋体"/>
          <w:b w:val="0"/>
          <w:bCs/>
          <w:color w:val="auto"/>
          <w:sz w:val="24"/>
          <w:szCs w:val="24"/>
          <w:highlight w:val="none"/>
          <w:lang w:eastAsia="zh-CN"/>
        </w:rPr>
        <w:t>采购人</w:t>
      </w:r>
      <w:r>
        <w:rPr>
          <w:rFonts w:hint="eastAsia" w:ascii="宋体" w:hAnsi="宋体" w:eastAsia="宋体" w:cs="宋体"/>
          <w:b w:val="0"/>
          <w:bCs/>
          <w:color w:val="auto"/>
          <w:sz w:val="24"/>
          <w:szCs w:val="24"/>
          <w:highlight w:val="none"/>
        </w:rPr>
        <w:t>订单需求的具体数量、具体地点运送到</w:t>
      </w:r>
      <w:r>
        <w:rPr>
          <w:rFonts w:hint="eastAsia" w:ascii="宋体" w:hAnsi="宋体" w:eastAsia="宋体" w:cs="宋体"/>
          <w:b w:val="0"/>
          <w:bCs/>
          <w:color w:val="auto"/>
          <w:sz w:val="24"/>
          <w:szCs w:val="24"/>
          <w:highlight w:val="none"/>
          <w:lang w:eastAsia="zh-CN"/>
        </w:rPr>
        <w:t>采购人</w:t>
      </w:r>
      <w:r>
        <w:rPr>
          <w:rFonts w:hint="eastAsia" w:ascii="宋体" w:hAnsi="宋体" w:eastAsia="宋体" w:cs="宋体"/>
          <w:b w:val="0"/>
          <w:bCs/>
          <w:color w:val="auto"/>
          <w:sz w:val="24"/>
          <w:szCs w:val="24"/>
          <w:highlight w:val="none"/>
        </w:rPr>
        <w:t>指定地点。若运输途中有损坏物品由</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自行负责补发。</w:t>
      </w:r>
    </w:p>
    <w:p w14:paraId="000F5BA8">
      <w:pPr>
        <w:pStyle w:val="301"/>
        <w:keepNext w:val="0"/>
        <w:keepLines w:val="0"/>
        <w:pageBreakBefore w:val="0"/>
        <w:widowControl/>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cs="宋体"/>
          <w:bCs/>
          <w:color w:val="auto"/>
          <w:sz w:val="24"/>
          <w:highlight w:val="none"/>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.3</w:t>
      </w:r>
      <w:r>
        <w:rPr>
          <w:rFonts w:hint="eastAsia" w:ascii="宋体" w:hAnsi="宋体" w:eastAsia="宋体" w:cs="宋体"/>
          <w:b w:val="0"/>
          <w:bCs/>
          <w:color w:val="auto"/>
          <w:sz w:val="24"/>
          <w:szCs w:val="24"/>
          <w:highlight w:val="none"/>
          <w:lang w:eastAsia="zh-CN"/>
        </w:rPr>
        <w:t>在验收过程中，采购人对产品有疑义时，</w:t>
      </w:r>
      <w:r>
        <w:rPr>
          <w:rFonts w:hint="eastAsia" w:ascii="宋体" w:hAnsi="宋体" w:cs="宋体"/>
          <w:bCs/>
          <w:color w:val="auto"/>
          <w:sz w:val="24"/>
          <w:highlight w:val="none"/>
        </w:rPr>
        <w:t>有权委托具有质量检验资质的部门、单位、机构对产品按照验收标准进行检验，所需的费用由</w:t>
      </w:r>
      <w:r>
        <w:rPr>
          <w:rFonts w:hint="eastAsia" w:ascii="宋体" w:hAnsi="宋体" w:cs="宋体"/>
          <w:bCs/>
          <w:color w:val="auto"/>
          <w:sz w:val="24"/>
          <w:highlight w:val="none"/>
          <w:lang w:eastAsia="zh-CN"/>
        </w:rPr>
        <w:t>成交供应商</w:t>
      </w:r>
      <w:r>
        <w:rPr>
          <w:rFonts w:hint="eastAsia" w:ascii="宋体" w:hAnsi="宋体" w:cs="宋体"/>
          <w:bCs/>
          <w:color w:val="auto"/>
          <w:sz w:val="24"/>
          <w:highlight w:val="none"/>
        </w:rPr>
        <w:t>承担。</w:t>
      </w:r>
    </w:p>
    <w:p w14:paraId="49B90BB2">
      <w:pPr>
        <w:pStyle w:val="301"/>
        <w:keepNext w:val="0"/>
        <w:keepLines w:val="0"/>
        <w:pageBreakBefore w:val="0"/>
        <w:widowControl/>
        <w:kinsoku/>
        <w:wordWrap/>
        <w:overflowPunct/>
        <w:topLinePunct w:val="0"/>
        <w:autoSpaceDE/>
        <w:autoSpaceDN/>
        <w:bidi w:val="0"/>
        <w:adjustRightInd/>
        <w:snapToGrid/>
        <w:spacing w:line="400" w:lineRule="exact"/>
        <w:ind w:left="480" w:hanging="480" w:hangingChars="200"/>
        <w:jc w:val="left"/>
        <w:textAlignment w:val="auto"/>
        <w:rPr>
          <w:rFonts w:hint="default" w:ascii="宋体" w:hAnsi="宋体" w:eastAsia="宋体" w:cs="宋体"/>
          <w:bCs/>
          <w:color w:val="auto"/>
          <w:sz w:val="24"/>
          <w:highlight w:val="none"/>
          <w:lang w:val="en-US" w:eastAsia="zh-CN"/>
        </w:rPr>
      </w:pPr>
      <w:r>
        <w:rPr>
          <w:rFonts w:hint="eastAsia" w:ascii="宋体" w:hAnsi="宋体" w:cs="宋体"/>
          <w:bCs/>
          <w:color w:val="auto"/>
          <w:sz w:val="24"/>
          <w:highlight w:val="none"/>
          <w:lang w:val="en-US" w:eastAsia="zh-CN"/>
        </w:rPr>
        <w:t>8.4维保服务以检测报告为准。</w:t>
      </w:r>
    </w:p>
    <w:p w14:paraId="04727A3D">
      <w:pPr>
        <w:pStyle w:val="30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bCs w:val="0"/>
          <w:color w:val="auto"/>
          <w:sz w:val="24"/>
          <w:szCs w:val="24"/>
          <w:highlight w:val="none"/>
        </w:rPr>
      </w:pPr>
      <w:r>
        <w:rPr>
          <w:rFonts w:hint="eastAsia" w:ascii="宋体" w:hAnsi="宋体" w:cs="宋体"/>
          <w:b/>
          <w:bCs w:val="0"/>
          <w:color w:val="auto"/>
          <w:sz w:val="24"/>
          <w:szCs w:val="24"/>
          <w:highlight w:val="none"/>
          <w:lang w:val="en-US" w:eastAsia="zh-CN"/>
        </w:rPr>
        <w:t>9</w:t>
      </w:r>
      <w:r>
        <w:rPr>
          <w:rFonts w:hint="eastAsia" w:ascii="宋体" w:hAnsi="宋体" w:eastAsia="宋体" w:cs="宋体"/>
          <w:b/>
          <w:bCs w:val="0"/>
          <w:color w:val="auto"/>
          <w:sz w:val="24"/>
          <w:szCs w:val="24"/>
          <w:highlight w:val="none"/>
        </w:rPr>
        <w:t>、售后要求</w:t>
      </w:r>
    </w:p>
    <w:p w14:paraId="2ADBEA1C">
      <w:pPr>
        <w:pStyle w:val="301"/>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480" w:hanging="480" w:hangingChars="200"/>
        <w:jc w:val="left"/>
        <w:rPr>
          <w:rFonts w:hint="eastAsia" w:ascii="宋体" w:hAnsi="宋体" w:eastAsia="宋体" w:cs="宋体"/>
          <w:color w:val="auto"/>
          <w:kern w:val="0"/>
          <w:sz w:val="24"/>
          <w:szCs w:val="24"/>
        </w:rPr>
      </w:pPr>
      <w:r>
        <w:rPr>
          <w:rFonts w:hint="eastAsia" w:ascii="宋体" w:hAnsi="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.1</w:t>
      </w:r>
      <w:r>
        <w:rPr>
          <w:rFonts w:hint="eastAsia" w:ascii="宋体" w:hAnsi="宋体" w:cs="宋体"/>
          <w:b w:val="0"/>
          <w:bCs/>
          <w:color w:val="auto"/>
          <w:sz w:val="24"/>
          <w:szCs w:val="24"/>
          <w:highlight w:val="none"/>
          <w:lang w:eastAsia="zh-CN"/>
        </w:rPr>
        <w:t>在合同服务期内，</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提供的产品必须符合</w:t>
      </w:r>
      <w:r>
        <w:rPr>
          <w:rFonts w:hint="eastAsia" w:ascii="宋体" w:hAnsi="宋体" w:eastAsia="宋体" w:cs="宋体"/>
          <w:b w:val="0"/>
          <w:bCs/>
          <w:color w:val="auto"/>
          <w:sz w:val="24"/>
          <w:szCs w:val="24"/>
          <w:highlight w:val="none"/>
          <w:lang w:eastAsia="zh-CN"/>
        </w:rPr>
        <w:t>采购人</w:t>
      </w:r>
      <w:r>
        <w:rPr>
          <w:rFonts w:hint="eastAsia" w:ascii="宋体" w:hAnsi="宋体" w:eastAsia="宋体" w:cs="宋体"/>
          <w:b w:val="0"/>
          <w:bCs/>
          <w:color w:val="auto"/>
          <w:sz w:val="24"/>
          <w:szCs w:val="24"/>
          <w:highlight w:val="none"/>
        </w:rPr>
        <w:t>实际使用需要，并保证质量，如不符合实际使用需要的，或者使用时发现质量存在问题的，</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应无条件按</w:t>
      </w:r>
      <w:r>
        <w:rPr>
          <w:rFonts w:hint="eastAsia" w:ascii="宋体" w:hAnsi="宋体" w:eastAsia="宋体" w:cs="宋体"/>
          <w:b w:val="0"/>
          <w:bCs/>
          <w:color w:val="auto"/>
          <w:sz w:val="24"/>
          <w:szCs w:val="24"/>
          <w:highlight w:val="none"/>
          <w:lang w:eastAsia="zh-CN"/>
        </w:rPr>
        <w:t>采购人</w:t>
      </w:r>
      <w:r>
        <w:rPr>
          <w:rFonts w:hint="eastAsia" w:ascii="宋体" w:hAnsi="宋体" w:eastAsia="宋体" w:cs="宋体"/>
          <w:b w:val="0"/>
          <w:bCs/>
          <w:color w:val="auto"/>
          <w:sz w:val="24"/>
          <w:szCs w:val="24"/>
          <w:highlight w:val="none"/>
        </w:rPr>
        <w:t>要求提供符合要求的产品。</w:t>
      </w:r>
    </w:p>
    <w:p w14:paraId="7FA99AA0">
      <w:pPr>
        <w:pStyle w:val="44"/>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0" w:firstLineChars="0"/>
        <w:jc w:val="left"/>
        <w:rPr>
          <w:rFonts w:hint="eastAsia" w:ascii="宋体" w:hAnsi="宋体" w:eastAsia="宋体" w:cs="宋体"/>
          <w:b/>
          <w:bCs/>
          <w:color w:val="auto"/>
          <w:sz w:val="24"/>
          <w:szCs w:val="24"/>
          <w:shd w:val="clear" w:color="auto" w:fill="FFFFFF"/>
        </w:rPr>
      </w:pPr>
      <w:r>
        <w:rPr>
          <w:rFonts w:hint="eastAsia" w:ascii="宋体" w:hAnsi="宋体" w:cs="宋体"/>
          <w:color w:val="auto"/>
          <w:kern w:val="0"/>
          <w:sz w:val="24"/>
          <w:szCs w:val="24"/>
          <w:lang w:val="en-US" w:eastAsia="zh-CN"/>
        </w:rPr>
        <w:t>10</w:t>
      </w:r>
      <w:r>
        <w:rPr>
          <w:rFonts w:hint="eastAsia" w:ascii="宋体" w:hAnsi="宋体" w:eastAsia="宋体" w:cs="宋体"/>
          <w:b/>
          <w:color w:val="auto"/>
          <w:sz w:val="24"/>
          <w:szCs w:val="24"/>
        </w:rPr>
        <w:t>、</w:t>
      </w:r>
      <w:r>
        <w:rPr>
          <w:rFonts w:hint="eastAsia" w:ascii="宋体" w:hAnsi="宋体" w:eastAsia="宋体" w:cs="宋体"/>
          <w:b/>
          <w:bCs/>
          <w:color w:val="auto"/>
          <w:sz w:val="24"/>
          <w:szCs w:val="24"/>
          <w:shd w:val="clear" w:color="auto" w:fill="FFFFFF"/>
        </w:rPr>
        <w:t>违约责任</w:t>
      </w:r>
    </w:p>
    <w:p w14:paraId="057B25CF">
      <w:pPr>
        <w:keepNext w:val="0"/>
        <w:keepLines w:val="0"/>
        <w:pageBreakBefore w:val="0"/>
        <w:widowControl w:val="0"/>
        <w:kinsoku/>
        <w:overflowPunct/>
        <w:autoSpaceDE/>
        <w:autoSpaceDN/>
        <w:bidi w:val="0"/>
        <w:adjustRightInd/>
        <w:snapToGrid/>
        <w:spacing w:line="440" w:lineRule="exact"/>
        <w:ind w:left="420" w:leftChars="200" w:firstLine="420" w:firstLineChars="175"/>
        <w:rPr>
          <w:rFonts w:hint="default" w:ascii="宋体" w:hAnsi="宋体" w:eastAsia="宋体" w:cs="宋体"/>
          <w:sz w:val="24"/>
          <w:szCs w:val="24"/>
          <w:u w:val="single"/>
          <w:lang w:val="en-US" w:eastAsia="zh-CN"/>
        </w:rPr>
      </w:pPr>
      <w:r>
        <w:rPr>
          <w:rFonts w:hint="eastAsia" w:ascii="宋体" w:hAnsi="宋体" w:cs="宋体"/>
          <w:sz w:val="24"/>
          <w:szCs w:val="24"/>
          <w:u w:val="single"/>
          <w:lang w:val="en-US" w:eastAsia="zh-CN"/>
        </w:rPr>
        <w:t>10</w:t>
      </w:r>
      <w:r>
        <w:rPr>
          <w:rFonts w:hint="eastAsia" w:ascii="宋体" w:hAnsi="宋体" w:eastAsia="宋体" w:cs="宋体"/>
          <w:sz w:val="24"/>
          <w:szCs w:val="24"/>
          <w:u w:val="single"/>
          <w:lang w:val="en-US" w:eastAsia="zh-CN"/>
        </w:rPr>
        <w:t>.1因成交供应商原因造成合同无法按时签订，视为成交供应商违约，采购人有权没收其磋商保证金，如磋商保证金不能弥补成交供应商违约对采购人造成的损失的，成交供应商还需另行支付相应的赔偿。</w:t>
      </w:r>
    </w:p>
    <w:p w14:paraId="705DBB8B">
      <w:pPr>
        <w:keepNext w:val="0"/>
        <w:keepLines w:val="0"/>
        <w:pageBreakBefore w:val="0"/>
        <w:widowControl w:val="0"/>
        <w:kinsoku/>
        <w:overflowPunct/>
        <w:autoSpaceDE/>
        <w:autoSpaceDN/>
        <w:bidi w:val="0"/>
        <w:adjustRightInd/>
        <w:snapToGrid/>
        <w:spacing w:line="440" w:lineRule="exact"/>
        <w:ind w:left="420" w:leftChars="200" w:firstLine="420" w:firstLineChars="175"/>
        <w:rPr>
          <w:rFonts w:hint="default" w:ascii="宋体" w:hAnsi="宋体" w:eastAsia="宋体" w:cs="宋体"/>
          <w:sz w:val="24"/>
          <w:szCs w:val="24"/>
          <w:u w:val="single"/>
          <w:lang w:val="en-US" w:eastAsia="zh-CN"/>
        </w:rPr>
      </w:pPr>
      <w:r>
        <w:rPr>
          <w:rFonts w:hint="eastAsia" w:ascii="宋体" w:hAnsi="宋体" w:cs="宋体"/>
          <w:sz w:val="24"/>
          <w:szCs w:val="24"/>
          <w:u w:val="single"/>
          <w:lang w:val="en-US" w:eastAsia="zh-CN"/>
        </w:rPr>
        <w:t>10</w:t>
      </w:r>
      <w:r>
        <w:rPr>
          <w:rFonts w:hint="eastAsia" w:ascii="宋体" w:hAnsi="宋体" w:eastAsia="宋体" w:cs="宋体"/>
          <w:sz w:val="24"/>
          <w:szCs w:val="24"/>
          <w:u w:val="single"/>
          <w:lang w:val="en-US" w:eastAsia="zh-CN"/>
        </w:rPr>
        <w:t>.2在签订采购合同之后，成交供应商要求解除合同的，视为成交供应商违约，采购人有权不予退还其履约保证金，如履约保证金不能弥补成交供应商违约对采购人造成的损失的，成交供应商还需另行支付相应的赔偿。</w:t>
      </w:r>
    </w:p>
    <w:p w14:paraId="3B8E25FB">
      <w:pPr>
        <w:keepNext w:val="0"/>
        <w:keepLines w:val="0"/>
        <w:pageBreakBefore w:val="0"/>
        <w:widowControl w:val="0"/>
        <w:kinsoku/>
        <w:overflowPunct/>
        <w:autoSpaceDE/>
        <w:autoSpaceDN/>
        <w:bidi w:val="0"/>
        <w:adjustRightInd/>
        <w:snapToGrid/>
        <w:spacing w:line="440" w:lineRule="exact"/>
        <w:ind w:left="420" w:leftChars="200" w:firstLine="420" w:firstLineChars="175"/>
        <w:rPr>
          <w:rFonts w:hint="default" w:ascii="宋体" w:hAnsi="宋体" w:eastAsia="宋体" w:cs="宋体"/>
          <w:sz w:val="24"/>
          <w:szCs w:val="24"/>
          <w:highlight w:val="none"/>
          <w:u w:val="single"/>
          <w:lang w:val="en-US" w:eastAsia="zh-CN"/>
        </w:rPr>
      </w:pPr>
      <w:r>
        <w:rPr>
          <w:rFonts w:hint="eastAsia" w:ascii="宋体" w:hAnsi="宋体" w:cs="宋体"/>
          <w:sz w:val="24"/>
          <w:szCs w:val="24"/>
          <w:u w:val="single"/>
          <w:lang w:val="en-US" w:eastAsia="zh-CN"/>
        </w:rPr>
        <w:t>10</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成交供应商提供的产品质量不符合合同（或响应文件）约定</w:t>
      </w:r>
      <w:r>
        <w:rPr>
          <w:rFonts w:hint="eastAsia" w:ascii="宋体" w:hAnsi="宋体" w:cs="宋体"/>
          <w:sz w:val="24"/>
          <w:szCs w:val="24"/>
          <w:lang w:val="en-US" w:eastAsia="zh-CN"/>
        </w:rPr>
        <w:t>或供应不及时</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每</w:t>
      </w:r>
      <w:r>
        <w:rPr>
          <w:rFonts w:hint="eastAsia" w:ascii="宋体" w:hAnsi="宋体" w:eastAsia="宋体" w:cs="宋体"/>
          <w:sz w:val="24"/>
          <w:szCs w:val="24"/>
          <w:lang w:val="en-US" w:eastAsia="zh-CN"/>
        </w:rPr>
        <w:t>发现一次，成交供应商应向采购人支付1000元违约金；违约金可直接从应付货款或履约保</w:t>
      </w:r>
      <w:r>
        <w:rPr>
          <w:rFonts w:hint="eastAsia" w:ascii="宋体" w:hAnsi="宋体" w:eastAsia="宋体" w:cs="宋体"/>
          <w:sz w:val="24"/>
          <w:szCs w:val="24"/>
          <w:highlight w:val="none"/>
          <w:lang w:val="en-US" w:eastAsia="zh-CN"/>
        </w:rPr>
        <w:t>证金中扣除，不足部分成交供应商还须向采购人缴纳；违约金不足以弥补给采购人造成的损失的，成交供应商还应承担相应的赔偿责任。</w:t>
      </w:r>
    </w:p>
    <w:p w14:paraId="5CF427D6">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lang w:val="en-US" w:eastAsia="zh-CN"/>
        </w:rPr>
        <w:t>10.4</w:t>
      </w:r>
      <w:r>
        <w:rPr>
          <w:rFonts w:hint="eastAsia" w:ascii="宋体" w:hAnsi="宋体" w:cs="宋体"/>
          <w:bCs/>
          <w:color w:val="auto"/>
          <w:sz w:val="24"/>
          <w:szCs w:val="24"/>
          <w:highlight w:val="none"/>
        </w:rPr>
        <w:t>出现以下情形之一的，</w:t>
      </w:r>
      <w:r>
        <w:rPr>
          <w:rFonts w:hint="eastAsia" w:ascii="宋体" w:hAnsi="宋体" w:cs="宋体"/>
          <w:bCs/>
          <w:color w:val="auto"/>
          <w:sz w:val="24"/>
          <w:szCs w:val="24"/>
          <w:highlight w:val="none"/>
          <w:lang w:eastAsia="zh-CN"/>
        </w:rPr>
        <w:t>采购人</w:t>
      </w:r>
      <w:r>
        <w:rPr>
          <w:rFonts w:hint="eastAsia" w:ascii="宋体" w:hAnsi="宋体" w:cs="宋体"/>
          <w:bCs/>
          <w:color w:val="auto"/>
          <w:sz w:val="24"/>
          <w:szCs w:val="24"/>
          <w:highlight w:val="none"/>
        </w:rPr>
        <w:t>有权解除合同，并有权</w:t>
      </w:r>
      <w:r>
        <w:rPr>
          <w:rFonts w:hint="eastAsia" w:ascii="宋体" w:hAnsi="宋体" w:cs="宋体"/>
          <w:bCs/>
          <w:color w:val="auto"/>
          <w:sz w:val="24"/>
          <w:szCs w:val="24"/>
          <w:highlight w:val="none"/>
          <w:lang w:eastAsia="zh-CN"/>
        </w:rPr>
        <w:t>没收成交供应商</w:t>
      </w:r>
      <w:r>
        <w:rPr>
          <w:rFonts w:hint="eastAsia" w:ascii="宋体" w:hAnsi="宋体" w:cs="宋体"/>
          <w:bCs/>
          <w:color w:val="auto"/>
          <w:sz w:val="24"/>
          <w:szCs w:val="24"/>
          <w:highlight w:val="none"/>
        </w:rPr>
        <w:t>履约保证金</w:t>
      </w:r>
      <w:r>
        <w:rPr>
          <w:rFonts w:hint="eastAsia" w:ascii="宋体" w:hAnsi="宋体" w:cs="宋体"/>
          <w:color w:val="auto"/>
          <w:sz w:val="24"/>
          <w:szCs w:val="24"/>
          <w:highlight w:val="none"/>
        </w:rPr>
        <w:t>：</w:t>
      </w:r>
    </w:p>
    <w:p w14:paraId="1ACC711D">
      <w:pPr>
        <w:spacing w:line="360" w:lineRule="auto"/>
        <w:ind w:firstLine="585"/>
        <w:rPr>
          <w:rFonts w:hint="eastAsia" w:ascii="宋体" w:hAnsi="宋体" w:cs="宋体"/>
          <w:bCs/>
          <w:color w:val="auto"/>
          <w:sz w:val="24"/>
          <w:szCs w:val="24"/>
          <w:highlight w:val="none"/>
        </w:rPr>
      </w:pPr>
      <w:r>
        <w:rPr>
          <w:rFonts w:hint="eastAsia" w:ascii="宋体" w:hAnsi="宋体" w:cs="宋体"/>
          <w:bCs/>
          <w:color w:val="auto"/>
          <w:sz w:val="24"/>
          <w:szCs w:val="24"/>
          <w:highlight w:val="none"/>
        </w:rPr>
        <w:t>（1）</w:t>
      </w:r>
      <w:r>
        <w:rPr>
          <w:rFonts w:hint="eastAsia" w:ascii="宋体" w:hAnsi="宋体" w:cs="宋体"/>
          <w:bCs/>
          <w:color w:val="auto"/>
          <w:sz w:val="24"/>
          <w:szCs w:val="24"/>
          <w:highlight w:val="none"/>
          <w:lang w:eastAsia="zh-CN"/>
        </w:rPr>
        <w:t>成交供应商</w:t>
      </w:r>
      <w:r>
        <w:rPr>
          <w:rFonts w:hint="eastAsia" w:ascii="宋体" w:hAnsi="宋体" w:cs="宋体"/>
          <w:bCs/>
          <w:color w:val="auto"/>
          <w:sz w:val="24"/>
          <w:szCs w:val="24"/>
          <w:highlight w:val="none"/>
        </w:rPr>
        <w:t>服务标准未能达到合同要求，经</w:t>
      </w:r>
      <w:r>
        <w:rPr>
          <w:rFonts w:hint="eastAsia" w:ascii="宋体" w:hAnsi="宋体" w:cs="宋体"/>
          <w:bCs/>
          <w:color w:val="auto"/>
          <w:sz w:val="24"/>
          <w:szCs w:val="24"/>
          <w:highlight w:val="none"/>
          <w:lang w:eastAsia="zh-CN"/>
        </w:rPr>
        <w:t>采购人</w:t>
      </w:r>
      <w:r>
        <w:rPr>
          <w:rFonts w:hint="eastAsia" w:ascii="宋体" w:hAnsi="宋体" w:cs="宋体"/>
          <w:bCs/>
          <w:color w:val="auto"/>
          <w:sz w:val="24"/>
          <w:szCs w:val="24"/>
          <w:highlight w:val="none"/>
        </w:rPr>
        <w:t>要求整改</w:t>
      </w:r>
      <w:r>
        <w:rPr>
          <w:rFonts w:hint="eastAsia" w:ascii="宋体" w:hAnsi="宋体" w:cs="宋体"/>
          <w:bCs/>
          <w:color w:val="auto"/>
          <w:sz w:val="24"/>
          <w:szCs w:val="24"/>
          <w:highlight w:val="none"/>
          <w:u w:val="single"/>
        </w:rPr>
        <w:t>2</w:t>
      </w:r>
      <w:r>
        <w:rPr>
          <w:rFonts w:hint="eastAsia" w:ascii="宋体" w:hAnsi="宋体" w:cs="宋体"/>
          <w:bCs/>
          <w:color w:val="auto"/>
          <w:sz w:val="24"/>
          <w:szCs w:val="24"/>
          <w:highlight w:val="none"/>
        </w:rPr>
        <w:t>次后仍未达到合同要求的；</w:t>
      </w:r>
    </w:p>
    <w:p w14:paraId="0CBD864F">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将本合同的服务内容</w:t>
      </w:r>
      <w:r>
        <w:rPr>
          <w:rFonts w:hint="eastAsia" w:ascii="宋体" w:hAnsi="宋体" w:cs="宋体"/>
          <w:color w:val="auto"/>
          <w:sz w:val="24"/>
          <w:highlight w:val="none"/>
        </w:rPr>
        <w:t>进行分包或转包</w:t>
      </w:r>
      <w:r>
        <w:rPr>
          <w:rFonts w:hint="eastAsia" w:ascii="宋体" w:hAnsi="宋体" w:cs="宋体"/>
          <w:color w:val="auto"/>
          <w:sz w:val="24"/>
          <w:szCs w:val="24"/>
          <w:highlight w:val="none"/>
          <w:lang w:eastAsia="zh-CN"/>
        </w:rPr>
        <w:t>给</w:t>
      </w:r>
      <w:r>
        <w:rPr>
          <w:rFonts w:hint="eastAsia" w:ascii="宋体" w:hAnsi="宋体" w:cs="宋体"/>
          <w:color w:val="auto"/>
          <w:sz w:val="24"/>
          <w:szCs w:val="24"/>
          <w:highlight w:val="none"/>
        </w:rPr>
        <w:t>他人的；</w:t>
      </w:r>
    </w:p>
    <w:p w14:paraId="65FEAAF6">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服务响应时间不符合合同约定，次数达到</w:t>
      </w:r>
      <w:r>
        <w:rPr>
          <w:rFonts w:hint="eastAsia" w:ascii="宋体" w:hAnsi="宋体" w:cs="宋体"/>
          <w:color w:val="auto"/>
          <w:sz w:val="24"/>
          <w:szCs w:val="24"/>
          <w:highlight w:val="none"/>
          <w:u w:val="single"/>
        </w:rPr>
        <w:t>5</w:t>
      </w:r>
      <w:r>
        <w:rPr>
          <w:rFonts w:hint="eastAsia" w:ascii="宋体" w:hAnsi="宋体" w:cs="宋体"/>
          <w:color w:val="auto"/>
          <w:sz w:val="24"/>
          <w:szCs w:val="24"/>
          <w:highlight w:val="none"/>
        </w:rPr>
        <w:t>次以上的；</w:t>
      </w:r>
    </w:p>
    <w:p w14:paraId="2E11B83D">
      <w:pPr>
        <w:spacing w:line="360" w:lineRule="auto"/>
        <w:ind w:firstLine="585"/>
        <w:rPr>
          <w:rFonts w:hint="eastAsia" w:ascii="宋体" w:hAnsi="宋体" w:cs="宋体"/>
          <w:bCs/>
          <w:color w:val="auto"/>
          <w:sz w:val="24"/>
          <w:szCs w:val="24"/>
          <w:highlight w:val="none"/>
        </w:rPr>
      </w:pPr>
      <w:r>
        <w:rPr>
          <w:rFonts w:hint="eastAsia" w:ascii="宋体" w:hAnsi="宋体" w:cs="宋体"/>
          <w:bCs/>
          <w:color w:val="auto"/>
          <w:sz w:val="24"/>
          <w:szCs w:val="24"/>
          <w:highlight w:val="none"/>
        </w:rPr>
        <w:t>（4）设备故障无特殊原因持续</w:t>
      </w:r>
      <w:r>
        <w:rPr>
          <w:rFonts w:hint="eastAsia" w:ascii="宋体" w:hAnsi="宋体" w:cs="宋体"/>
          <w:bCs/>
          <w:color w:val="auto"/>
          <w:sz w:val="24"/>
          <w:szCs w:val="24"/>
          <w:highlight w:val="none"/>
          <w:u w:val="single"/>
        </w:rPr>
        <w:t>10</w:t>
      </w:r>
      <w:r>
        <w:rPr>
          <w:rFonts w:hint="eastAsia" w:ascii="宋体" w:hAnsi="宋体" w:cs="宋体"/>
          <w:bCs/>
          <w:color w:val="auto"/>
          <w:sz w:val="24"/>
          <w:szCs w:val="24"/>
          <w:highlight w:val="none"/>
        </w:rPr>
        <w:t>天未能排除的，超过3天未进行响应、现场排查的；</w:t>
      </w:r>
    </w:p>
    <w:p w14:paraId="6E085DFF">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rPr>
        <w:t>（5）无故更换配件或者使用的配件不属于原厂、全新、未经使用；</w:t>
      </w:r>
    </w:p>
    <w:p w14:paraId="042EB774">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rPr>
        <w:t>（6）维保后在保修期内出现故障4次以上或者出现重大（安全）事故的；</w:t>
      </w:r>
    </w:p>
    <w:p w14:paraId="6856FE09">
      <w:pPr>
        <w:spacing w:line="360" w:lineRule="auto"/>
        <w:ind w:firstLine="585"/>
        <w:rPr>
          <w:rFonts w:hint="eastAsia" w:ascii="宋体" w:hAnsi="宋体" w:cs="宋体"/>
          <w:bCs/>
          <w:color w:val="auto"/>
          <w:sz w:val="24"/>
          <w:szCs w:val="24"/>
          <w:highlight w:val="none"/>
        </w:rPr>
      </w:pPr>
      <w:r>
        <w:rPr>
          <w:rFonts w:hint="eastAsia" w:ascii="宋体" w:hAnsi="宋体" w:cs="宋体"/>
          <w:color w:val="auto"/>
          <w:sz w:val="24"/>
          <w:szCs w:val="24"/>
          <w:highlight w:val="none"/>
        </w:rPr>
        <w:t>（7）</w:t>
      </w:r>
      <w:r>
        <w:rPr>
          <w:rFonts w:hint="eastAsia" w:ascii="宋体" w:hAnsi="宋体" w:cs="宋体"/>
          <w:bCs/>
          <w:color w:val="auto"/>
          <w:sz w:val="24"/>
          <w:szCs w:val="24"/>
          <w:highlight w:val="none"/>
        </w:rPr>
        <w:t>故障考核三次不合格：根据《建设工程消防验收评定规则》或其他相关标准判定，每月A类消防不符合项控制在1项以内、B类消防不符合项控制在4项及以内，B和C类消防不符合项控制在12项及以内。</w:t>
      </w:r>
    </w:p>
    <w:p w14:paraId="68D8FFCB">
      <w:pPr>
        <w:spacing w:line="360" w:lineRule="auto"/>
        <w:ind w:firstLine="585"/>
        <w:rPr>
          <w:rFonts w:hint="eastAsia" w:ascii="宋体" w:hAnsi="宋体" w:cs="宋体"/>
          <w:bCs/>
          <w:color w:val="auto"/>
          <w:sz w:val="24"/>
          <w:szCs w:val="24"/>
          <w:highlight w:val="none"/>
        </w:rPr>
      </w:pPr>
      <w:r>
        <w:rPr>
          <w:rFonts w:hint="eastAsia" w:ascii="宋体" w:hAnsi="宋体" w:cs="宋体"/>
          <w:bCs/>
          <w:color w:val="auto"/>
          <w:sz w:val="24"/>
          <w:szCs w:val="24"/>
          <w:highlight w:val="none"/>
        </w:rPr>
        <w:t>（8）根据《重大火灾隐患判定方法》，因消防设备设施问题重大火灾隐患的。</w:t>
      </w:r>
    </w:p>
    <w:p w14:paraId="1EAFB532">
      <w:pPr>
        <w:spacing w:line="360" w:lineRule="auto"/>
        <w:ind w:firstLine="585"/>
        <w:rPr>
          <w:rFonts w:hint="eastAsia" w:ascii="宋体" w:hAnsi="宋体" w:cs="宋体"/>
          <w:bCs/>
          <w:color w:val="auto"/>
          <w:sz w:val="24"/>
          <w:szCs w:val="24"/>
          <w:highlight w:val="none"/>
        </w:rPr>
      </w:pPr>
      <w:r>
        <w:rPr>
          <w:rFonts w:hint="eastAsia" w:ascii="宋体" w:hAnsi="宋体" w:cs="宋体"/>
          <w:bCs/>
          <w:color w:val="auto"/>
          <w:sz w:val="24"/>
          <w:szCs w:val="24"/>
          <w:highlight w:val="none"/>
        </w:rPr>
        <w:t>（9）消防等监督管理部门检查发现消防隐患，因消防设备设施问题，</w:t>
      </w:r>
      <w:r>
        <w:rPr>
          <w:rFonts w:hint="eastAsia" w:ascii="宋体" w:hAnsi="宋体" w:cs="宋体"/>
          <w:bCs/>
          <w:color w:val="auto"/>
          <w:sz w:val="24"/>
          <w:szCs w:val="24"/>
          <w:highlight w:val="none"/>
          <w:lang w:eastAsia="zh-CN"/>
        </w:rPr>
        <w:t>采购人</w:t>
      </w:r>
      <w:r>
        <w:rPr>
          <w:rFonts w:hint="eastAsia" w:ascii="宋体" w:hAnsi="宋体" w:cs="宋体"/>
          <w:bCs/>
          <w:color w:val="auto"/>
          <w:sz w:val="24"/>
          <w:szCs w:val="24"/>
          <w:highlight w:val="none"/>
        </w:rPr>
        <w:t>被开具行政处罚的。</w:t>
      </w:r>
    </w:p>
    <w:p w14:paraId="279C36C3">
      <w:pPr>
        <w:spacing w:line="360" w:lineRule="auto"/>
        <w:ind w:firstLine="585"/>
        <w:rPr>
          <w:rFonts w:hint="eastAsia" w:ascii="宋体" w:hAnsi="宋体" w:cs="宋体"/>
          <w:bCs/>
          <w:color w:val="auto"/>
          <w:sz w:val="24"/>
          <w:szCs w:val="24"/>
          <w:highlight w:val="none"/>
        </w:rPr>
      </w:pPr>
      <w:r>
        <w:rPr>
          <w:rFonts w:hint="eastAsia" w:ascii="宋体" w:hAnsi="宋体" w:cs="宋体"/>
          <w:bCs/>
          <w:color w:val="auto"/>
          <w:sz w:val="24"/>
          <w:szCs w:val="24"/>
          <w:highlight w:val="none"/>
        </w:rPr>
        <w:t>（10）采取屏蔽设备等欺骗手段处理故障的。</w:t>
      </w:r>
    </w:p>
    <w:p w14:paraId="6DDAF8BF">
      <w:pPr>
        <w:spacing w:line="360" w:lineRule="auto"/>
        <w:ind w:firstLine="585"/>
        <w:rPr>
          <w:rFonts w:hint="eastAsia" w:ascii="宋体" w:hAnsi="宋体" w:cs="宋体"/>
          <w:bCs/>
          <w:color w:val="auto"/>
          <w:sz w:val="24"/>
          <w:szCs w:val="24"/>
          <w:highlight w:val="none"/>
        </w:rPr>
      </w:pPr>
      <w:r>
        <w:rPr>
          <w:rFonts w:hint="eastAsia" w:ascii="宋体" w:hAnsi="宋体" w:cs="宋体"/>
          <w:bCs/>
          <w:color w:val="auto"/>
          <w:sz w:val="24"/>
          <w:szCs w:val="24"/>
          <w:highlight w:val="none"/>
        </w:rPr>
        <w:t>（11）</w:t>
      </w:r>
      <w:r>
        <w:rPr>
          <w:rFonts w:hint="eastAsia" w:ascii="宋体" w:hAnsi="宋体" w:cs="宋体"/>
          <w:bCs/>
          <w:color w:val="auto"/>
          <w:sz w:val="24"/>
          <w:szCs w:val="24"/>
          <w:highlight w:val="none"/>
          <w:lang w:eastAsia="zh-CN"/>
        </w:rPr>
        <w:t>成交供应商</w:t>
      </w:r>
      <w:r>
        <w:rPr>
          <w:rFonts w:hint="eastAsia" w:ascii="宋体" w:hAnsi="宋体" w:cs="宋体"/>
          <w:bCs/>
          <w:color w:val="auto"/>
          <w:sz w:val="24"/>
          <w:szCs w:val="24"/>
          <w:highlight w:val="none"/>
        </w:rPr>
        <w:t>与</w:t>
      </w:r>
      <w:r>
        <w:rPr>
          <w:rFonts w:hint="eastAsia" w:ascii="宋体" w:hAnsi="宋体" w:cs="宋体"/>
          <w:bCs/>
          <w:color w:val="auto"/>
          <w:sz w:val="24"/>
          <w:szCs w:val="24"/>
          <w:highlight w:val="none"/>
          <w:lang w:eastAsia="zh-CN"/>
        </w:rPr>
        <w:t>成交供应商</w:t>
      </w:r>
      <w:r>
        <w:rPr>
          <w:rFonts w:hint="eastAsia" w:ascii="宋体" w:hAnsi="宋体" w:cs="宋体"/>
          <w:bCs/>
          <w:color w:val="auto"/>
          <w:sz w:val="24"/>
          <w:szCs w:val="24"/>
          <w:highlight w:val="none"/>
        </w:rPr>
        <w:t>所派出的项目人员不存在劳动关系。</w:t>
      </w:r>
    </w:p>
    <w:p w14:paraId="5370CF9C">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10.5</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未按照国家规定出具符合国家行政主管部门认可的有效的维保报告、检查报告，</w:t>
      </w:r>
      <w:r>
        <w:rPr>
          <w:rFonts w:hint="eastAsia" w:ascii="宋体" w:hAnsi="宋体" w:cs="宋体"/>
          <w:color w:val="auto"/>
          <w:sz w:val="24"/>
          <w:szCs w:val="24"/>
          <w:highlight w:val="none"/>
          <w:lang w:eastAsia="zh-CN"/>
        </w:rPr>
        <w:t>采购人有权另行采购，</w:t>
      </w:r>
      <w:r>
        <w:rPr>
          <w:rFonts w:hint="eastAsia" w:ascii="宋体" w:hAnsi="宋体" w:cs="宋体"/>
          <w:color w:val="auto"/>
          <w:sz w:val="24"/>
          <w:szCs w:val="24"/>
          <w:highlight w:val="none"/>
        </w:rPr>
        <w:t>费用由</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承担，因此造成的损失，由</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负责赔偿。</w:t>
      </w:r>
    </w:p>
    <w:p w14:paraId="4299A528">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10.6</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因维保服务不及时、维保服务未达到本合同的约定的标准、维保后在保修期出现故障或者事故（</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证明故障或者事故非</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维保导致的除外）等问题引起本合同约定的设备损坏或造成</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及</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外他人人身、财产损害的，由</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负责解决，因此造成的损失，由</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负责赔偿。</w:t>
      </w:r>
    </w:p>
    <w:p w14:paraId="2BF070D6">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10.7</w:t>
      </w:r>
      <w:r>
        <w:rPr>
          <w:rFonts w:hint="eastAsia" w:ascii="宋体" w:hAnsi="宋体" w:cs="宋体"/>
          <w:color w:val="auto"/>
          <w:sz w:val="24"/>
          <w:szCs w:val="24"/>
          <w:highlight w:val="none"/>
        </w:rPr>
        <w:t>维保期内</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未能按合同约定提供服务或者服务达不到合同要求的导致出现较大消防安全隐患（大面积消防故障、影响系统的故障）的、或未按规定频次、内容开展维保</w:t>
      </w:r>
      <w:r>
        <w:rPr>
          <w:rFonts w:hint="eastAsia" w:ascii="宋体" w:hAnsi="宋体" w:cs="宋体"/>
          <w:color w:val="auto"/>
          <w:sz w:val="24"/>
          <w:szCs w:val="24"/>
          <w:highlight w:val="none"/>
          <w:lang w:eastAsia="zh-CN"/>
        </w:rPr>
        <w:t>的</w:t>
      </w:r>
      <w:r>
        <w:rPr>
          <w:rFonts w:hint="eastAsia" w:ascii="宋体" w:hAnsi="宋体" w:cs="宋体"/>
          <w:color w:val="auto"/>
          <w:sz w:val="24"/>
          <w:szCs w:val="24"/>
          <w:highlight w:val="none"/>
        </w:rPr>
        <w:t>，每</w:t>
      </w:r>
      <w:r>
        <w:rPr>
          <w:rFonts w:hint="eastAsia" w:ascii="宋体" w:hAnsi="宋体" w:cs="宋体"/>
          <w:color w:val="auto"/>
          <w:sz w:val="24"/>
          <w:szCs w:val="24"/>
          <w:highlight w:val="none"/>
          <w:lang w:eastAsia="zh-CN"/>
        </w:rPr>
        <w:t>发现一次，应向采购人支付</w:t>
      </w:r>
      <w:r>
        <w:rPr>
          <w:rFonts w:hint="eastAsia" w:ascii="宋体" w:hAnsi="宋体" w:cs="宋体"/>
          <w:color w:val="auto"/>
          <w:sz w:val="24"/>
          <w:szCs w:val="24"/>
          <w:highlight w:val="none"/>
          <w:u w:val="single"/>
        </w:rPr>
        <w:t>3000</w:t>
      </w:r>
      <w:r>
        <w:rPr>
          <w:rFonts w:hint="eastAsia" w:ascii="宋体" w:hAnsi="宋体" w:cs="宋体"/>
          <w:color w:val="auto"/>
          <w:sz w:val="24"/>
          <w:szCs w:val="24"/>
          <w:highlight w:val="none"/>
        </w:rPr>
        <w:t>元违约金。重复故障超过2次仍未处理完成的，</w:t>
      </w:r>
      <w:r>
        <w:rPr>
          <w:rFonts w:hint="eastAsia" w:ascii="宋体" w:hAnsi="宋体" w:cs="宋体"/>
          <w:color w:val="auto"/>
          <w:sz w:val="24"/>
          <w:szCs w:val="24"/>
          <w:highlight w:val="none"/>
          <w:lang w:eastAsia="zh-CN"/>
        </w:rPr>
        <w:t>应向采购人支付</w:t>
      </w:r>
      <w:r>
        <w:rPr>
          <w:rFonts w:hint="eastAsia" w:ascii="宋体" w:hAnsi="宋体" w:cs="宋体"/>
          <w:color w:val="auto"/>
          <w:sz w:val="24"/>
          <w:szCs w:val="24"/>
          <w:highlight w:val="none"/>
        </w:rPr>
        <w:t>2000元违约金。故障未处理完成未报告</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的，未按规定时间处理响应的，每</w:t>
      </w:r>
      <w:r>
        <w:rPr>
          <w:rFonts w:hint="eastAsia" w:ascii="宋体" w:hAnsi="宋体" w:cs="宋体"/>
          <w:color w:val="auto"/>
          <w:sz w:val="24"/>
          <w:szCs w:val="24"/>
          <w:highlight w:val="none"/>
          <w:lang w:eastAsia="zh-CN"/>
        </w:rPr>
        <w:t>发现一次，应向采购人支付</w:t>
      </w:r>
      <w:r>
        <w:rPr>
          <w:rFonts w:hint="eastAsia" w:ascii="宋体" w:hAnsi="宋体" w:cs="宋体"/>
          <w:color w:val="auto"/>
          <w:sz w:val="24"/>
          <w:szCs w:val="24"/>
          <w:highlight w:val="none"/>
        </w:rPr>
        <w:t>2000元违约金。</w:t>
      </w:r>
    </w:p>
    <w:p w14:paraId="40426933">
      <w:pPr>
        <w:spacing w:line="360" w:lineRule="auto"/>
        <w:ind w:firstLine="585"/>
        <w:rPr>
          <w:rFonts w:hint="eastAsia" w:ascii="宋体" w:hAnsi="宋体" w:cs="宋体"/>
          <w:color w:val="auto"/>
          <w:sz w:val="24"/>
          <w:szCs w:val="24"/>
          <w:highlight w:val="none"/>
        </w:rPr>
      </w:pPr>
      <w:r>
        <w:rPr>
          <w:rFonts w:hint="eastAsia" w:ascii="宋体" w:hAnsi="宋体" w:cs="宋体"/>
          <w:color w:val="auto"/>
          <w:sz w:val="24"/>
          <w:szCs w:val="24"/>
          <w:highlight w:val="none"/>
        </w:rPr>
        <w:t>被外部检查发现维保服务范围内的消防隐患，每</w:t>
      </w:r>
      <w:r>
        <w:rPr>
          <w:rFonts w:hint="eastAsia" w:ascii="宋体" w:hAnsi="宋体" w:cs="宋体"/>
          <w:color w:val="auto"/>
          <w:sz w:val="24"/>
          <w:szCs w:val="24"/>
          <w:highlight w:val="none"/>
          <w:lang w:eastAsia="zh-CN"/>
        </w:rPr>
        <w:t>发现一次，应向采购人支付</w:t>
      </w:r>
      <w:r>
        <w:rPr>
          <w:rFonts w:hint="eastAsia" w:ascii="宋体" w:hAnsi="宋体" w:cs="宋体"/>
          <w:color w:val="auto"/>
          <w:sz w:val="24"/>
          <w:szCs w:val="24"/>
          <w:highlight w:val="none"/>
        </w:rPr>
        <w:t>1000元违约金。被</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内部检查发现维保服务范围内的消防隐患，每</w:t>
      </w:r>
      <w:r>
        <w:rPr>
          <w:rFonts w:hint="eastAsia" w:ascii="宋体" w:hAnsi="宋体" w:cs="宋体"/>
          <w:color w:val="auto"/>
          <w:sz w:val="24"/>
          <w:szCs w:val="24"/>
          <w:highlight w:val="none"/>
          <w:lang w:eastAsia="zh-CN"/>
        </w:rPr>
        <w:t>发现一次，应向采购人支付</w:t>
      </w:r>
      <w:r>
        <w:rPr>
          <w:rFonts w:hint="eastAsia" w:ascii="宋体" w:hAnsi="宋体" w:cs="宋体"/>
          <w:color w:val="auto"/>
          <w:sz w:val="24"/>
          <w:szCs w:val="24"/>
          <w:highlight w:val="none"/>
        </w:rPr>
        <w:t>500元违约金。作业前、作业后未告知</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的，或者作业结束后，现场未恢复的，每</w:t>
      </w:r>
      <w:r>
        <w:rPr>
          <w:rFonts w:hint="eastAsia" w:ascii="宋体" w:hAnsi="宋体" w:cs="宋体"/>
          <w:color w:val="auto"/>
          <w:sz w:val="24"/>
          <w:szCs w:val="24"/>
          <w:highlight w:val="none"/>
          <w:lang w:eastAsia="zh-CN"/>
        </w:rPr>
        <w:t>发现一次，应向采购人支付</w:t>
      </w:r>
      <w:r>
        <w:rPr>
          <w:rFonts w:hint="eastAsia" w:ascii="宋体" w:hAnsi="宋体" w:cs="宋体"/>
          <w:color w:val="auto"/>
          <w:sz w:val="24"/>
          <w:szCs w:val="24"/>
          <w:highlight w:val="none"/>
        </w:rPr>
        <w:t>300元违约金。且</w:t>
      </w:r>
      <w:r>
        <w:rPr>
          <w:rFonts w:hint="eastAsia" w:ascii="宋体" w:hAnsi="宋体" w:cs="宋体"/>
          <w:color w:val="auto"/>
          <w:sz w:val="24"/>
          <w:szCs w:val="24"/>
          <w:highlight w:val="none"/>
          <w:lang w:eastAsia="zh-CN"/>
        </w:rPr>
        <w:t>采购人</w:t>
      </w:r>
      <w:r>
        <w:rPr>
          <w:rFonts w:hint="eastAsia" w:ascii="宋体" w:hAnsi="宋体" w:cs="宋体"/>
          <w:color w:val="auto"/>
          <w:sz w:val="24"/>
          <w:szCs w:val="24"/>
          <w:highlight w:val="none"/>
        </w:rPr>
        <w:t>有权请第三人进行维保服务，由此造成的费用和损失由</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承担。</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存在不符合安全规定、存在违章行为的，按安全协议约定处理。</w:t>
      </w:r>
    </w:p>
    <w:p w14:paraId="7C47564C">
      <w:pPr>
        <w:pStyle w:val="45"/>
        <w:spacing w:line="360" w:lineRule="auto"/>
        <w:ind w:firstLine="480" w:firstLineChars="200"/>
        <w:jc w:val="left"/>
        <w:rPr>
          <w:rFonts w:hint="eastAsia" w:ascii="宋体" w:hAnsi="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10.8</w:t>
      </w:r>
      <w:r>
        <w:rPr>
          <w:rFonts w:hint="eastAsia" w:ascii="宋体" w:hAnsi="宋体" w:cs="宋体"/>
          <w:b w:val="0"/>
          <w:bCs w:val="0"/>
          <w:color w:val="auto"/>
          <w:sz w:val="24"/>
          <w:szCs w:val="24"/>
          <w:highlight w:val="none"/>
        </w:rPr>
        <w:t>若遇有重大节日(元旦、春节、五一、国庆节)或上级等有关领导部门组织的消防安全检查，除需提前维保检查一次外，</w:t>
      </w:r>
      <w:r>
        <w:rPr>
          <w:rFonts w:hint="eastAsia" w:ascii="宋体" w:hAnsi="宋体" w:cs="宋体"/>
          <w:b w:val="0"/>
          <w:bCs w:val="0"/>
          <w:color w:val="auto"/>
          <w:sz w:val="24"/>
          <w:szCs w:val="24"/>
          <w:highlight w:val="none"/>
          <w:lang w:eastAsia="zh-CN"/>
        </w:rPr>
        <w:t>成交供应商</w:t>
      </w:r>
      <w:r>
        <w:rPr>
          <w:rFonts w:hint="eastAsia" w:ascii="宋体" w:hAnsi="宋体" w:cs="宋体"/>
          <w:b w:val="0"/>
          <w:bCs w:val="0"/>
          <w:color w:val="auto"/>
          <w:sz w:val="24"/>
          <w:szCs w:val="24"/>
          <w:highlight w:val="none"/>
        </w:rPr>
        <w:t>还应积极配合，配备具有消防设施设备、安全生产、应急管理等相关专业技术人员现场配合迎检，确保采购方的消防设施设备正常运转，不发生因消防维保不到位导致系统无法正常运转被扣分的情形，如有此类情形每</w:t>
      </w:r>
      <w:r>
        <w:rPr>
          <w:rFonts w:hint="eastAsia" w:ascii="宋体" w:hAnsi="宋体" w:cs="宋体"/>
          <w:b w:val="0"/>
          <w:bCs w:val="0"/>
          <w:color w:val="auto"/>
          <w:sz w:val="24"/>
          <w:szCs w:val="24"/>
          <w:highlight w:val="none"/>
          <w:lang w:eastAsia="zh-CN"/>
        </w:rPr>
        <w:t>发现一次，应向采购人支付违约金</w:t>
      </w:r>
      <w:r>
        <w:rPr>
          <w:rFonts w:hint="eastAsia" w:ascii="宋体" w:hAnsi="宋体" w:cs="宋体"/>
          <w:b w:val="0"/>
          <w:bCs w:val="0"/>
          <w:color w:val="auto"/>
          <w:sz w:val="24"/>
          <w:szCs w:val="24"/>
          <w:highlight w:val="none"/>
        </w:rPr>
        <w:t>5000元。</w:t>
      </w:r>
    </w:p>
    <w:p w14:paraId="52C0FFD2">
      <w:pPr>
        <w:spacing w:line="360" w:lineRule="auto"/>
        <w:ind w:firstLine="585"/>
        <w:rPr>
          <w:rFonts w:hint="eastAsia" w:ascii="宋体" w:hAnsi="宋体" w:cs="宋体"/>
          <w:b w:val="0"/>
          <w:bCs w:val="0"/>
          <w:color w:val="auto"/>
          <w:sz w:val="24"/>
          <w:szCs w:val="24"/>
          <w:highlight w:val="none"/>
        </w:rPr>
      </w:pPr>
      <w:r>
        <w:rPr>
          <w:rFonts w:hint="eastAsia" w:ascii="宋体" w:hAnsi="宋体" w:cs="宋体"/>
          <w:color w:val="auto"/>
          <w:sz w:val="24"/>
          <w:szCs w:val="24"/>
          <w:highlight w:val="none"/>
          <w:lang w:val="en-US" w:eastAsia="zh-CN"/>
        </w:rPr>
        <w:t>10.9</w:t>
      </w:r>
      <w:r>
        <w:rPr>
          <w:rFonts w:hint="eastAsia" w:ascii="宋体" w:hAnsi="宋体" w:eastAsia="宋体" w:cs="宋体"/>
          <w:color w:val="auto"/>
          <w:sz w:val="24"/>
          <w:szCs w:val="24"/>
          <w:highlight w:val="none"/>
        </w:rPr>
        <w:t>未经</w:t>
      </w:r>
      <w:r>
        <w:rPr>
          <w:rFonts w:hint="eastAsia" w:ascii="宋体" w:hAnsi="宋体" w:cs="宋体"/>
          <w:color w:val="auto"/>
          <w:sz w:val="24"/>
          <w:szCs w:val="24"/>
          <w:highlight w:val="none"/>
          <w:lang w:val="en-US" w:eastAsia="zh-CN"/>
        </w:rPr>
        <w:t>采购人</w:t>
      </w:r>
      <w:r>
        <w:rPr>
          <w:rFonts w:hint="eastAsia" w:ascii="宋体" w:hAnsi="宋体" w:eastAsia="宋体" w:cs="宋体"/>
          <w:color w:val="auto"/>
          <w:sz w:val="24"/>
          <w:szCs w:val="24"/>
          <w:highlight w:val="none"/>
        </w:rPr>
        <w:t>书面同意，</w:t>
      </w:r>
      <w:r>
        <w:rPr>
          <w:rFonts w:hint="eastAsia" w:ascii="宋体" w:hAnsi="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不得擅自更换项目负责人，如有发现视为违约，</w:t>
      </w:r>
      <w:r>
        <w:rPr>
          <w:rFonts w:hint="eastAsia" w:ascii="宋体" w:hAnsi="宋体" w:cs="宋体"/>
          <w:color w:val="auto"/>
          <w:sz w:val="24"/>
          <w:szCs w:val="24"/>
          <w:highlight w:val="none"/>
        </w:rPr>
        <w:t>每</w:t>
      </w:r>
      <w:r>
        <w:rPr>
          <w:rFonts w:hint="eastAsia" w:ascii="宋体" w:hAnsi="宋体" w:cs="宋体"/>
          <w:color w:val="auto"/>
          <w:sz w:val="24"/>
          <w:szCs w:val="24"/>
          <w:highlight w:val="none"/>
          <w:lang w:eastAsia="zh-CN"/>
        </w:rPr>
        <w:t>发现一次，应向采购人支付</w:t>
      </w:r>
      <w:r>
        <w:rPr>
          <w:rFonts w:hint="eastAsia" w:ascii="宋体" w:hAnsi="宋体" w:cs="宋体"/>
          <w:b w:val="0"/>
          <w:bCs w:val="0"/>
          <w:color w:val="auto"/>
          <w:sz w:val="24"/>
          <w:szCs w:val="24"/>
          <w:highlight w:val="none"/>
          <w:lang w:eastAsia="zh-CN"/>
        </w:rPr>
        <w:t>违约金</w:t>
      </w:r>
      <w:r>
        <w:rPr>
          <w:rFonts w:hint="eastAsia" w:ascii="宋体" w:hAnsi="宋体" w:cs="宋体"/>
          <w:b w:val="0"/>
          <w:bCs w:val="0"/>
          <w:color w:val="auto"/>
          <w:sz w:val="24"/>
          <w:szCs w:val="24"/>
          <w:highlight w:val="none"/>
        </w:rPr>
        <w:t>5000元。</w:t>
      </w:r>
      <w:r>
        <w:rPr>
          <w:rFonts w:hint="eastAsia" w:ascii="宋体" w:hAnsi="宋体" w:eastAsia="宋体" w:cs="宋体"/>
          <w:color w:val="auto"/>
          <w:sz w:val="24"/>
          <w:szCs w:val="24"/>
          <w:highlight w:val="none"/>
        </w:rPr>
        <w:t>。如一年内违反3次以上（含3次）</w:t>
      </w:r>
      <w:r>
        <w:rPr>
          <w:rFonts w:hint="eastAsia" w:ascii="宋体" w:hAnsi="宋体" w:cs="宋体"/>
          <w:color w:val="auto"/>
          <w:sz w:val="24"/>
          <w:szCs w:val="24"/>
          <w:highlight w:val="none"/>
          <w:lang w:val="en-US" w:eastAsia="zh-CN"/>
        </w:rPr>
        <w:t>采购人</w:t>
      </w:r>
      <w:r>
        <w:rPr>
          <w:rFonts w:hint="eastAsia" w:ascii="宋体" w:hAnsi="宋体" w:eastAsia="宋体" w:cs="宋体"/>
          <w:color w:val="auto"/>
          <w:sz w:val="24"/>
          <w:szCs w:val="24"/>
          <w:highlight w:val="none"/>
        </w:rPr>
        <w:t>有权单方面解除合同，另行选择维保服务商，由此造成的损失由乙方承担。</w:t>
      </w:r>
    </w:p>
    <w:p w14:paraId="304DB96B">
      <w:pPr>
        <w:spacing w:line="360" w:lineRule="auto"/>
        <w:ind w:firstLine="480" w:firstLineChars="200"/>
        <w:outlineLvl w:val="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10.10</w:t>
      </w:r>
      <w:r>
        <w:rPr>
          <w:rFonts w:hint="eastAsia" w:ascii="宋体" w:hAnsi="宋体" w:cs="宋体"/>
          <w:color w:val="auto"/>
          <w:sz w:val="24"/>
          <w:szCs w:val="24"/>
          <w:highlight w:val="none"/>
        </w:rPr>
        <w:t>签订合同后因</w:t>
      </w:r>
      <w:r>
        <w:rPr>
          <w:rFonts w:hint="eastAsia" w:ascii="宋体" w:hAnsi="宋体" w:cs="宋体"/>
          <w:color w:val="auto"/>
          <w:sz w:val="24"/>
          <w:szCs w:val="24"/>
          <w:highlight w:val="none"/>
          <w:lang w:eastAsia="zh-CN"/>
        </w:rPr>
        <w:t>成交供应商</w:t>
      </w:r>
      <w:r>
        <w:rPr>
          <w:rFonts w:hint="eastAsia" w:ascii="宋体" w:hAnsi="宋体" w:cs="宋体"/>
          <w:color w:val="auto"/>
          <w:sz w:val="24"/>
          <w:szCs w:val="24"/>
          <w:highlight w:val="none"/>
        </w:rPr>
        <w:t>任何违约行为导致本合同无法正常继续履行或提前终止，采购人有权不予退还履约保证金，乙方还应支付本合同价款20%的违约金，违约金甲方可优先从乙方货款中扣除。</w:t>
      </w:r>
    </w:p>
    <w:p w14:paraId="465E91E7">
      <w:pPr>
        <w:keepNext w:val="0"/>
        <w:keepLines w:val="0"/>
        <w:pageBreakBefore w:val="0"/>
        <w:widowControl w:val="0"/>
        <w:kinsoku/>
        <w:wordWrap/>
        <w:overflowPunct/>
        <w:topLinePunct w:val="0"/>
        <w:autoSpaceDE/>
        <w:autoSpaceDN/>
        <w:bidi w:val="0"/>
        <w:adjustRightInd/>
        <w:snapToGrid/>
        <w:spacing w:line="360" w:lineRule="auto"/>
        <w:ind w:firstLineChars="200"/>
        <w:jc w:val="left"/>
        <w:textAlignment w:val="auto"/>
        <w:outlineLvl w:val="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w:t>
      </w:r>
      <w:r>
        <w:rPr>
          <w:rFonts w:hint="default" w:ascii="宋体" w:hAnsi="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11</w:t>
      </w:r>
      <w:r>
        <w:rPr>
          <w:rFonts w:hint="default" w:ascii="宋体" w:hAnsi="宋体" w:eastAsia="宋体" w:cs="宋体"/>
          <w:color w:val="auto"/>
          <w:sz w:val="24"/>
          <w:szCs w:val="24"/>
          <w:highlight w:val="none"/>
          <w:lang w:val="en-US" w:eastAsia="zh-Hans"/>
        </w:rPr>
        <w:t>遵守采购单位的工作制度、遵守生产区内安全管理规定。不得为改造学员传递信息、现金、手机、毒品、刀具等违规违禁品，发现违规情况当事人开除，</w:t>
      </w:r>
      <w:r>
        <w:rPr>
          <w:rFonts w:hint="eastAsia" w:ascii="宋体" w:hAnsi="宋体" w:cs="宋体"/>
          <w:color w:val="auto"/>
          <w:sz w:val="24"/>
          <w:szCs w:val="24"/>
          <w:highlight w:val="none"/>
          <w:lang w:val="en-US" w:eastAsia="zh-CN"/>
        </w:rPr>
        <w:t>成交供应商</w:t>
      </w:r>
      <w:r>
        <w:rPr>
          <w:rFonts w:hint="default" w:ascii="宋体" w:hAnsi="宋体" w:eastAsia="宋体" w:cs="宋体"/>
          <w:color w:val="auto"/>
          <w:sz w:val="24"/>
          <w:szCs w:val="24"/>
          <w:highlight w:val="none"/>
          <w:lang w:val="en-US" w:eastAsia="zh-Hans"/>
        </w:rPr>
        <w:t>处罚违约金人民币20000元，情节严重的</w:t>
      </w:r>
      <w:r>
        <w:rPr>
          <w:rFonts w:hint="default" w:ascii="宋体" w:hAnsi="宋体" w:eastAsia="宋体" w:cs="宋体"/>
          <w:color w:val="auto"/>
          <w:sz w:val="24"/>
          <w:szCs w:val="24"/>
          <w:highlight w:val="none"/>
          <w:lang w:val="en-US" w:eastAsia="zh-CN"/>
        </w:rPr>
        <w:t>采购人</w:t>
      </w:r>
      <w:r>
        <w:rPr>
          <w:rFonts w:hint="default" w:ascii="宋体" w:hAnsi="宋体" w:eastAsia="宋体" w:cs="宋体"/>
          <w:color w:val="auto"/>
          <w:sz w:val="24"/>
          <w:szCs w:val="24"/>
          <w:highlight w:val="none"/>
          <w:lang w:val="en-US" w:eastAsia="zh-Hans"/>
        </w:rPr>
        <w:t>有权取消合同及没收履约保证金，并追究其法律责任。</w:t>
      </w:r>
    </w:p>
    <w:p w14:paraId="78FF8895">
      <w:pPr>
        <w:keepNext w:val="0"/>
        <w:keepLines w:val="0"/>
        <w:pageBreakBefore w:val="0"/>
        <w:widowControl w:val="0"/>
        <w:kinsoku/>
        <w:overflowPunct/>
        <w:autoSpaceDE/>
        <w:autoSpaceDN/>
        <w:bidi w:val="0"/>
        <w:adjustRightInd/>
        <w:snapToGrid/>
        <w:spacing w:line="440" w:lineRule="exact"/>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10.12</w:t>
      </w:r>
      <w:r>
        <w:rPr>
          <w:rFonts w:hint="eastAsia" w:ascii="宋体" w:hAnsi="宋体" w:eastAsia="宋体" w:cs="宋体"/>
          <w:sz w:val="24"/>
          <w:szCs w:val="24"/>
          <w:highlight w:val="none"/>
          <w:lang w:val="en-US" w:eastAsia="zh-CN"/>
        </w:rPr>
        <w:t>在合同履行期间，若遇政府部门或上级单位出台有关该项目的政策调整，继续履行合同违反相关政策文件要求的，采购人提前30日通知成交供应商终止合同的，成交供应商应予同意，因此造成的合同解除采购人不承担违约责任。</w:t>
      </w:r>
    </w:p>
    <w:p w14:paraId="25D6B94D">
      <w:pPr>
        <w:keepNext w:val="0"/>
        <w:keepLines w:val="0"/>
        <w:pageBreakBefore w:val="0"/>
        <w:widowControl w:val="0"/>
        <w:kinsoku/>
        <w:overflowPunct/>
        <w:autoSpaceDE/>
        <w:autoSpaceDN/>
        <w:bidi w:val="0"/>
        <w:adjustRightInd/>
        <w:snapToGrid/>
        <w:spacing w:line="440" w:lineRule="exact"/>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13</w:t>
      </w:r>
      <w:r>
        <w:rPr>
          <w:rFonts w:hint="eastAsia" w:ascii="宋体" w:hAnsi="宋体" w:eastAsia="宋体" w:cs="宋体"/>
          <w:sz w:val="24"/>
          <w:szCs w:val="24"/>
          <w:highlight w:val="none"/>
          <w:lang w:val="en-US" w:eastAsia="zh-CN"/>
        </w:rPr>
        <w:t>除上述具体违约情形外，成交供应商出现违反竞争性磋商文件、成交供应商响应文件要求的其他行为，每发现一次需向采购人支付违约金1000元。</w:t>
      </w:r>
    </w:p>
    <w:p w14:paraId="495DA0B5">
      <w:pPr>
        <w:keepNext w:val="0"/>
        <w:keepLines w:val="0"/>
        <w:pageBreakBefore w:val="0"/>
        <w:widowControl w:val="0"/>
        <w:kinsoku/>
        <w:overflowPunct/>
        <w:autoSpaceDE/>
        <w:autoSpaceDN/>
        <w:bidi w:val="0"/>
        <w:adjustRightInd/>
        <w:snapToGrid/>
        <w:spacing w:line="440" w:lineRule="exact"/>
        <w:ind w:firstLine="480" w:firstLineChars="200"/>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.14在明确违约责任后，成交供应商应在接到书面通知书起十五天内支付违约金、赔偿金等，或采购人有权从未付款项中直接扣除。</w:t>
      </w:r>
    </w:p>
    <w:p w14:paraId="5EBCF6DD">
      <w:pPr>
        <w:pStyle w:val="301"/>
        <w:keepNext w:val="0"/>
        <w:keepLines w:val="0"/>
        <w:pageBreakBefore w:val="0"/>
        <w:widowControl/>
        <w:kinsoku/>
        <w:wordWrap/>
        <w:overflowPunct/>
        <w:topLinePunct w:val="0"/>
        <w:autoSpaceDE/>
        <w:autoSpaceDN/>
        <w:bidi w:val="0"/>
        <w:adjustRightInd/>
        <w:snapToGrid/>
        <w:spacing w:beforeAutospacing="0" w:line="360" w:lineRule="auto"/>
        <w:ind w:firstLine="480"/>
        <w:jc w:val="left"/>
        <w:rPr>
          <w:rFonts w:hint="eastAsia" w:ascii="宋体" w:hAnsi="宋体" w:eastAsia="宋体" w:cs="宋体"/>
          <w:b/>
          <w:bCs w:val="0"/>
          <w:color w:val="auto"/>
          <w:sz w:val="24"/>
          <w:szCs w:val="24"/>
          <w:highlight w:val="none"/>
        </w:rPr>
      </w:pPr>
      <w:r>
        <w:rPr>
          <w:rFonts w:hint="eastAsia" w:ascii="宋体" w:hAnsi="宋体" w:cs="宋体"/>
          <w:color w:val="auto"/>
          <w:sz w:val="24"/>
          <w:szCs w:val="24"/>
          <w:highlight w:val="none"/>
          <w:lang w:val="en-US" w:eastAsia="zh-CN"/>
        </w:rPr>
        <w:t>11</w:t>
      </w:r>
      <w:r>
        <w:rPr>
          <w:rFonts w:hint="eastAsia" w:ascii="宋体" w:hAnsi="宋体" w:eastAsia="宋体" w:cs="宋体"/>
          <w:b/>
          <w:bCs w:val="0"/>
          <w:color w:val="auto"/>
          <w:sz w:val="24"/>
          <w:szCs w:val="24"/>
          <w:highlight w:val="none"/>
          <w:shd w:val="clear" w:color="auto" w:fill="FFFFFF"/>
        </w:rPr>
        <w:t>、保密条款</w:t>
      </w:r>
    </w:p>
    <w:p w14:paraId="0EEFA5EA">
      <w:pPr>
        <w:pStyle w:val="301"/>
        <w:keepNext w:val="0"/>
        <w:keepLines w:val="0"/>
        <w:pageBreakBefore w:val="0"/>
        <w:widowControl/>
        <w:kinsoku/>
        <w:wordWrap/>
        <w:overflowPunct/>
        <w:topLinePunct w:val="0"/>
        <w:autoSpaceDE/>
        <w:autoSpaceDN/>
        <w:bidi w:val="0"/>
        <w:adjustRightInd/>
        <w:snapToGrid/>
        <w:spacing w:beforeAutospacing="0" w:line="360" w:lineRule="auto"/>
        <w:ind w:firstLine="480"/>
        <w:jc w:val="left"/>
        <w:rPr>
          <w:rFonts w:hint="eastAsia" w:ascii="宋体" w:hAnsi="宋体" w:eastAsia="宋体" w:cs="宋体"/>
          <w:bCs/>
          <w:color w:val="auto"/>
          <w:sz w:val="24"/>
          <w:szCs w:val="24"/>
        </w:rPr>
      </w:pPr>
      <w:r>
        <w:rPr>
          <w:rFonts w:hint="eastAsia" w:ascii="宋体" w:hAnsi="宋体" w:cs="宋体"/>
          <w:bCs/>
          <w:color w:val="auto"/>
          <w:sz w:val="24"/>
          <w:szCs w:val="24"/>
          <w:shd w:val="clear" w:color="auto" w:fill="FFFFFF"/>
          <w:lang w:val="en-US" w:eastAsia="zh-CN"/>
        </w:rPr>
        <w:t>11</w:t>
      </w:r>
      <w:r>
        <w:rPr>
          <w:rFonts w:hint="eastAsia" w:ascii="宋体" w:hAnsi="宋体" w:eastAsia="宋体" w:cs="宋体"/>
          <w:bCs/>
          <w:color w:val="auto"/>
          <w:sz w:val="24"/>
          <w:szCs w:val="24"/>
          <w:shd w:val="clear" w:color="auto" w:fill="FFFFFF"/>
        </w:rPr>
        <w:t>.1、</w:t>
      </w:r>
      <w:r>
        <w:rPr>
          <w:rFonts w:hint="eastAsia" w:ascii="宋体" w:hAnsi="宋体" w:cs="宋体"/>
          <w:bCs/>
          <w:color w:val="auto"/>
          <w:sz w:val="24"/>
          <w:szCs w:val="24"/>
          <w:shd w:val="clear" w:color="auto" w:fill="FFFFFF"/>
          <w:lang w:val="en-US" w:eastAsia="zh-CN"/>
        </w:rPr>
        <w:t>成交供应商</w:t>
      </w:r>
      <w:r>
        <w:rPr>
          <w:rFonts w:hint="eastAsia" w:ascii="宋体" w:hAnsi="宋体" w:eastAsia="宋体" w:cs="宋体"/>
          <w:bCs/>
          <w:color w:val="auto"/>
          <w:sz w:val="24"/>
          <w:szCs w:val="24"/>
          <w:shd w:val="clear" w:color="auto" w:fill="FFFFFF"/>
        </w:rPr>
        <w:t>要认真遵守国家保密法律、法规和规章制度，履行保密义务；</w:t>
      </w:r>
      <w:r>
        <w:rPr>
          <w:rFonts w:hint="eastAsia" w:ascii="宋体" w:hAnsi="宋体" w:cs="宋体"/>
          <w:bCs/>
          <w:color w:val="auto"/>
          <w:sz w:val="24"/>
          <w:szCs w:val="24"/>
          <w:shd w:val="clear" w:color="auto" w:fill="FFFFFF"/>
          <w:lang w:val="en-US" w:eastAsia="zh-CN"/>
        </w:rPr>
        <w:t>成交人</w:t>
      </w:r>
      <w:r>
        <w:rPr>
          <w:rFonts w:hint="eastAsia" w:ascii="宋体" w:hAnsi="宋体" w:eastAsia="宋体" w:cs="宋体"/>
          <w:bCs/>
          <w:color w:val="auto"/>
          <w:sz w:val="24"/>
          <w:szCs w:val="24"/>
          <w:shd w:val="clear" w:color="auto" w:fill="FFFFFF"/>
        </w:rPr>
        <w:t>进入采购人工作区域的工作人员需签订《保密承诺书》，要严格履行保密义务，不得违规记录、存储、复制国家秘密、工作秘密和内部管理信息，不以任何方式泄露所接触和知悉的国家秘密、工作秘密和内部管理信息，不得对</w:t>
      </w:r>
      <w:r>
        <w:rPr>
          <w:rFonts w:hint="eastAsia" w:ascii="宋体" w:hAnsi="宋体" w:cs="宋体"/>
          <w:bCs/>
          <w:color w:val="auto"/>
          <w:sz w:val="24"/>
          <w:szCs w:val="24"/>
          <w:shd w:val="clear" w:color="auto" w:fill="FFFFFF"/>
          <w:lang w:val="en-US" w:eastAsia="zh-CN"/>
        </w:rPr>
        <w:t>采购人</w:t>
      </w:r>
      <w:r>
        <w:rPr>
          <w:rFonts w:hint="eastAsia" w:ascii="宋体" w:hAnsi="宋体" w:eastAsia="宋体" w:cs="宋体"/>
          <w:bCs/>
          <w:color w:val="auto"/>
          <w:sz w:val="24"/>
          <w:szCs w:val="24"/>
          <w:shd w:val="clear" w:color="auto" w:fill="FFFFFF"/>
        </w:rPr>
        <w:t>工作信息资料、工作场所、内部场景等进行拍照、录像，不得将</w:t>
      </w:r>
      <w:r>
        <w:rPr>
          <w:rFonts w:hint="eastAsia" w:ascii="宋体" w:hAnsi="宋体" w:cs="宋体"/>
          <w:bCs/>
          <w:color w:val="auto"/>
          <w:sz w:val="24"/>
          <w:szCs w:val="24"/>
          <w:shd w:val="clear" w:color="auto" w:fill="FFFFFF"/>
          <w:lang w:val="en-US" w:eastAsia="zh-CN"/>
        </w:rPr>
        <w:t>采购人</w:t>
      </w:r>
      <w:r>
        <w:rPr>
          <w:rFonts w:hint="eastAsia" w:ascii="宋体" w:hAnsi="宋体" w:eastAsia="宋体" w:cs="宋体"/>
          <w:bCs/>
          <w:color w:val="auto"/>
          <w:sz w:val="24"/>
          <w:szCs w:val="24"/>
          <w:shd w:val="clear" w:color="auto" w:fill="FFFFFF"/>
        </w:rPr>
        <w:t>有关秘密、内部管理信息、工作场所场景通过微信、抖音等上传自媒体，严禁将采购人工作文件等内部资料泄露出去，如发生泄露、泄密行为，</w:t>
      </w:r>
      <w:r>
        <w:rPr>
          <w:rFonts w:hint="eastAsia" w:ascii="宋体" w:hAnsi="宋体" w:cs="宋体"/>
          <w:bCs/>
          <w:color w:val="auto"/>
          <w:sz w:val="24"/>
          <w:szCs w:val="24"/>
          <w:shd w:val="clear" w:color="auto" w:fill="FFFFFF"/>
          <w:lang w:val="en-US" w:eastAsia="zh-CN"/>
        </w:rPr>
        <w:t>成交人</w:t>
      </w:r>
      <w:r>
        <w:rPr>
          <w:rFonts w:hint="eastAsia" w:ascii="宋体" w:hAnsi="宋体" w:eastAsia="宋体" w:cs="宋体"/>
          <w:bCs/>
          <w:color w:val="auto"/>
          <w:sz w:val="24"/>
          <w:szCs w:val="24"/>
          <w:shd w:val="clear" w:color="auto" w:fill="FFFFFF"/>
        </w:rPr>
        <w:t>及其工作人员将承担相应责任和法律后果。</w:t>
      </w:r>
    </w:p>
    <w:p w14:paraId="63370793">
      <w:pPr>
        <w:pStyle w:val="301"/>
        <w:keepNext w:val="0"/>
        <w:keepLines w:val="0"/>
        <w:pageBreakBefore w:val="0"/>
        <w:widowControl/>
        <w:kinsoku/>
        <w:wordWrap/>
        <w:overflowPunct/>
        <w:topLinePunct w:val="0"/>
        <w:autoSpaceDE/>
        <w:autoSpaceDN/>
        <w:bidi w:val="0"/>
        <w:adjustRightInd/>
        <w:snapToGrid/>
        <w:spacing w:beforeAutospacing="0" w:line="360" w:lineRule="auto"/>
        <w:ind w:firstLine="480"/>
        <w:jc w:val="left"/>
        <w:rPr>
          <w:rFonts w:hint="eastAsia" w:ascii="宋体" w:hAnsi="宋体" w:eastAsia="宋体" w:cs="宋体"/>
          <w:bCs/>
          <w:color w:val="auto"/>
          <w:sz w:val="24"/>
          <w:szCs w:val="24"/>
          <w:shd w:val="clear" w:color="auto" w:fill="FFFFFF"/>
        </w:rPr>
      </w:pPr>
      <w:r>
        <w:rPr>
          <w:rFonts w:hint="eastAsia" w:ascii="宋体" w:hAnsi="宋体" w:cs="宋体"/>
          <w:bCs/>
          <w:color w:val="auto"/>
          <w:sz w:val="24"/>
          <w:szCs w:val="24"/>
          <w:shd w:val="clear" w:color="auto" w:fill="FFFFFF"/>
          <w:lang w:val="en-US" w:eastAsia="zh-CN"/>
        </w:rPr>
        <w:t>11</w:t>
      </w:r>
      <w:r>
        <w:rPr>
          <w:rFonts w:hint="eastAsia" w:ascii="宋体" w:hAnsi="宋体" w:eastAsia="宋体" w:cs="宋体"/>
          <w:bCs/>
          <w:color w:val="auto"/>
          <w:sz w:val="24"/>
          <w:szCs w:val="24"/>
          <w:shd w:val="clear" w:color="auto" w:fill="FFFFFF"/>
        </w:rPr>
        <w:t>.2、</w:t>
      </w:r>
      <w:r>
        <w:rPr>
          <w:rFonts w:hint="eastAsia" w:ascii="宋体" w:hAnsi="宋体" w:cs="宋体"/>
          <w:bCs/>
          <w:color w:val="auto"/>
          <w:sz w:val="24"/>
          <w:szCs w:val="24"/>
          <w:shd w:val="clear" w:color="auto" w:fill="FFFFFF"/>
          <w:lang w:val="en-US" w:eastAsia="zh-CN"/>
        </w:rPr>
        <w:t>成交人</w:t>
      </w:r>
      <w:r>
        <w:rPr>
          <w:rFonts w:hint="eastAsia" w:ascii="宋体" w:hAnsi="宋体" w:eastAsia="宋体" w:cs="宋体"/>
          <w:bCs/>
          <w:color w:val="auto"/>
          <w:sz w:val="24"/>
          <w:szCs w:val="24"/>
          <w:shd w:val="clear" w:color="auto" w:fill="FFFFFF"/>
        </w:rPr>
        <w:t>必须为保障相关人员组织学习保密要求，针对调换人员保密要求制定应急预案，因保密管理要求造成无法供货等所产生的所有相关责任及经济损失都由</w:t>
      </w:r>
      <w:r>
        <w:rPr>
          <w:rFonts w:hint="eastAsia" w:ascii="宋体" w:hAnsi="宋体" w:cs="宋体"/>
          <w:bCs/>
          <w:color w:val="auto"/>
          <w:sz w:val="24"/>
          <w:szCs w:val="24"/>
          <w:shd w:val="clear" w:color="auto" w:fill="FFFFFF"/>
          <w:lang w:val="en-US" w:eastAsia="zh-CN"/>
        </w:rPr>
        <w:t>成交人</w:t>
      </w:r>
      <w:r>
        <w:rPr>
          <w:rFonts w:hint="eastAsia" w:ascii="宋体" w:hAnsi="宋体" w:eastAsia="宋体" w:cs="宋体"/>
          <w:bCs/>
          <w:color w:val="auto"/>
          <w:sz w:val="24"/>
          <w:szCs w:val="24"/>
          <w:shd w:val="clear" w:color="auto" w:fill="FFFFFF"/>
        </w:rPr>
        <w:t>承担。</w:t>
      </w:r>
    </w:p>
    <w:p w14:paraId="70E9CB35">
      <w:pPr>
        <w:pStyle w:val="301"/>
        <w:keepNext w:val="0"/>
        <w:keepLines w:val="0"/>
        <w:pageBreakBefore w:val="0"/>
        <w:widowControl/>
        <w:kinsoku/>
        <w:wordWrap/>
        <w:overflowPunct/>
        <w:topLinePunct w:val="0"/>
        <w:autoSpaceDE/>
        <w:autoSpaceDN/>
        <w:bidi w:val="0"/>
        <w:adjustRightInd/>
        <w:snapToGrid/>
        <w:spacing w:beforeAutospacing="0" w:line="360" w:lineRule="auto"/>
        <w:ind w:firstLine="480"/>
        <w:jc w:val="left"/>
        <w:rPr>
          <w:rFonts w:hint="eastAsia" w:ascii="宋体" w:hAnsi="宋体" w:eastAsia="宋体" w:cs="宋体"/>
          <w:bCs/>
          <w:color w:val="auto"/>
          <w:sz w:val="24"/>
          <w:szCs w:val="24"/>
          <w:shd w:val="clear" w:color="auto" w:fill="FFFFFF"/>
        </w:rPr>
      </w:pPr>
      <w:r>
        <w:rPr>
          <w:rFonts w:hint="eastAsia" w:ascii="宋体" w:hAnsi="宋体" w:cs="宋体"/>
          <w:b/>
          <w:color w:val="auto"/>
          <w:sz w:val="24"/>
          <w:szCs w:val="24"/>
          <w:lang w:val="en-US" w:eastAsia="zh-CN"/>
        </w:rPr>
        <w:t>11</w:t>
      </w:r>
      <w:r>
        <w:rPr>
          <w:rFonts w:hint="eastAsia" w:ascii="宋体" w:hAnsi="宋体" w:eastAsia="宋体" w:cs="宋体"/>
          <w:b/>
          <w:color w:val="auto"/>
          <w:sz w:val="24"/>
          <w:szCs w:val="24"/>
        </w:rPr>
        <w:t>.3</w:t>
      </w:r>
      <w:r>
        <w:rPr>
          <w:rFonts w:hint="eastAsia" w:ascii="宋体" w:hAnsi="宋体" w:eastAsia="宋体" w:cs="宋体"/>
          <w:color w:val="auto"/>
          <w:sz w:val="24"/>
          <w:szCs w:val="24"/>
        </w:rPr>
        <w:t>本条款不因合同届满或解除而失效。</w:t>
      </w:r>
    </w:p>
    <w:p w14:paraId="47B09073">
      <w:pPr>
        <w:pStyle w:val="301"/>
        <w:keepNext w:val="0"/>
        <w:keepLines w:val="0"/>
        <w:pageBreakBefore w:val="0"/>
        <w:widowControl/>
        <w:kinsoku/>
        <w:wordWrap/>
        <w:overflowPunct/>
        <w:topLinePunct w:val="0"/>
        <w:autoSpaceDE/>
        <w:autoSpaceDN/>
        <w:bidi w:val="0"/>
        <w:adjustRightInd/>
        <w:snapToGrid/>
        <w:spacing w:beforeAutospacing="0" w:line="360" w:lineRule="auto"/>
        <w:ind w:firstLine="480"/>
        <w:jc w:val="left"/>
        <w:rPr>
          <w:rFonts w:hint="eastAsia" w:ascii="宋体" w:hAnsi="宋体" w:eastAsia="宋体" w:cs="宋体"/>
          <w:b/>
          <w:bCs w:val="0"/>
          <w:color w:val="auto"/>
          <w:sz w:val="24"/>
          <w:szCs w:val="24"/>
        </w:rPr>
      </w:pPr>
      <w:r>
        <w:rPr>
          <w:rFonts w:hint="eastAsia" w:ascii="宋体" w:hAnsi="宋体" w:cs="宋体"/>
          <w:b/>
          <w:bCs w:val="0"/>
          <w:color w:val="auto"/>
          <w:sz w:val="24"/>
          <w:szCs w:val="24"/>
          <w:shd w:val="clear" w:color="auto" w:fill="FFFFFF"/>
          <w:lang w:val="en-US" w:eastAsia="zh-CN"/>
        </w:rPr>
        <w:t>12</w:t>
      </w:r>
      <w:r>
        <w:rPr>
          <w:rFonts w:hint="eastAsia" w:ascii="宋体" w:hAnsi="宋体" w:eastAsia="宋体" w:cs="宋体"/>
          <w:b/>
          <w:bCs w:val="0"/>
          <w:color w:val="auto"/>
          <w:sz w:val="24"/>
          <w:szCs w:val="24"/>
          <w:shd w:val="clear" w:color="auto" w:fill="FFFFFF"/>
        </w:rPr>
        <w:t>、廉政条款</w:t>
      </w:r>
    </w:p>
    <w:p w14:paraId="6F489E8B">
      <w:pPr>
        <w:pStyle w:val="301"/>
        <w:keepNext w:val="0"/>
        <w:keepLines w:val="0"/>
        <w:pageBreakBefore w:val="0"/>
        <w:kinsoku/>
        <w:wordWrap/>
        <w:overflowPunct/>
        <w:topLinePunct w:val="0"/>
        <w:autoSpaceDE/>
        <w:autoSpaceDN/>
        <w:bidi w:val="0"/>
        <w:adjustRightInd/>
        <w:snapToGrid/>
        <w:spacing w:beforeAutospacing="0" w:line="360" w:lineRule="auto"/>
        <w:ind w:firstLine="480"/>
        <w:jc w:val="left"/>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成交人</w:t>
      </w:r>
      <w:r>
        <w:rPr>
          <w:rFonts w:hint="eastAsia" w:ascii="宋体" w:hAnsi="宋体" w:eastAsia="宋体" w:cs="宋体"/>
          <w:bCs/>
          <w:color w:val="auto"/>
          <w:sz w:val="24"/>
          <w:szCs w:val="24"/>
        </w:rPr>
        <w:t>及其工作人员不得有以任何形式行贿</w:t>
      </w:r>
      <w:r>
        <w:rPr>
          <w:rFonts w:hint="eastAsia" w:ascii="宋体" w:hAnsi="宋体" w:cs="宋体"/>
          <w:bCs/>
          <w:color w:val="auto"/>
          <w:sz w:val="24"/>
          <w:szCs w:val="24"/>
          <w:lang w:val="en-US" w:eastAsia="zh-CN"/>
        </w:rPr>
        <w:t>采购人</w:t>
      </w:r>
      <w:r>
        <w:rPr>
          <w:rFonts w:hint="eastAsia" w:ascii="宋体" w:hAnsi="宋体" w:eastAsia="宋体" w:cs="宋体"/>
          <w:bCs/>
          <w:color w:val="auto"/>
          <w:sz w:val="24"/>
          <w:szCs w:val="24"/>
        </w:rPr>
        <w:t>工作人员的行为，若发现并被核查属实的，</w:t>
      </w:r>
      <w:r>
        <w:rPr>
          <w:rFonts w:hint="eastAsia" w:ascii="宋体" w:hAnsi="宋体" w:cs="宋体"/>
          <w:bCs/>
          <w:color w:val="auto"/>
          <w:sz w:val="24"/>
          <w:szCs w:val="24"/>
          <w:lang w:val="en-US" w:eastAsia="zh-CN"/>
        </w:rPr>
        <w:t>采购人</w:t>
      </w:r>
      <w:r>
        <w:rPr>
          <w:rFonts w:hint="eastAsia" w:ascii="宋体" w:hAnsi="宋体" w:eastAsia="宋体" w:cs="宋体"/>
          <w:bCs/>
          <w:color w:val="auto"/>
          <w:sz w:val="24"/>
          <w:szCs w:val="24"/>
        </w:rPr>
        <w:t>有权解除合同且不退还履约保证金，同时将</w:t>
      </w:r>
      <w:r>
        <w:rPr>
          <w:rFonts w:hint="eastAsia" w:ascii="宋体" w:hAnsi="宋体" w:cs="宋体"/>
          <w:bCs/>
          <w:color w:val="auto"/>
          <w:sz w:val="24"/>
          <w:szCs w:val="24"/>
          <w:lang w:val="en-US" w:eastAsia="zh-CN"/>
        </w:rPr>
        <w:t>成交人</w:t>
      </w:r>
      <w:r>
        <w:rPr>
          <w:rFonts w:hint="eastAsia" w:ascii="宋体" w:hAnsi="宋体" w:eastAsia="宋体" w:cs="宋体"/>
          <w:bCs/>
          <w:color w:val="auto"/>
          <w:sz w:val="24"/>
          <w:szCs w:val="24"/>
        </w:rPr>
        <w:t>列入不良行为记录名单；若合同履行完毕，并且已经退还履约保证金的，将对</w:t>
      </w:r>
      <w:r>
        <w:rPr>
          <w:rFonts w:hint="eastAsia" w:ascii="宋体" w:hAnsi="宋体" w:cs="宋体"/>
          <w:bCs/>
          <w:color w:val="auto"/>
          <w:sz w:val="24"/>
          <w:szCs w:val="24"/>
          <w:lang w:val="en-US" w:eastAsia="zh-CN"/>
        </w:rPr>
        <w:t>成交人</w:t>
      </w:r>
      <w:r>
        <w:rPr>
          <w:rFonts w:hint="eastAsia" w:ascii="宋体" w:hAnsi="宋体" w:eastAsia="宋体" w:cs="宋体"/>
          <w:bCs/>
          <w:color w:val="auto"/>
          <w:sz w:val="24"/>
          <w:szCs w:val="24"/>
        </w:rPr>
        <w:t>列入不良行为记录名单；情形严重的，</w:t>
      </w:r>
      <w:r>
        <w:rPr>
          <w:rFonts w:hint="eastAsia" w:ascii="宋体" w:hAnsi="宋体" w:cs="宋体"/>
          <w:bCs/>
          <w:color w:val="auto"/>
          <w:sz w:val="24"/>
          <w:szCs w:val="24"/>
          <w:lang w:val="en-US" w:eastAsia="zh-CN"/>
        </w:rPr>
        <w:t>成交人</w:t>
      </w:r>
      <w:r>
        <w:rPr>
          <w:rFonts w:hint="eastAsia" w:ascii="宋体" w:hAnsi="宋体" w:eastAsia="宋体" w:cs="宋体"/>
          <w:bCs/>
          <w:color w:val="auto"/>
          <w:sz w:val="24"/>
          <w:szCs w:val="24"/>
        </w:rPr>
        <w:t>及其工作人员还要承担相应的法律责任；</w:t>
      </w:r>
      <w:r>
        <w:rPr>
          <w:rFonts w:hint="eastAsia" w:ascii="宋体" w:hAnsi="宋体" w:cs="宋体"/>
          <w:bCs/>
          <w:color w:val="auto"/>
          <w:sz w:val="24"/>
          <w:szCs w:val="24"/>
          <w:lang w:val="en-US" w:eastAsia="zh-CN"/>
        </w:rPr>
        <w:t>采购人</w:t>
      </w:r>
      <w:r>
        <w:rPr>
          <w:rFonts w:hint="eastAsia" w:ascii="宋体" w:hAnsi="宋体" w:eastAsia="宋体" w:cs="宋体"/>
          <w:bCs/>
          <w:color w:val="auto"/>
          <w:sz w:val="24"/>
          <w:szCs w:val="24"/>
        </w:rPr>
        <w:t>及其工作人员不得索要或接受</w:t>
      </w:r>
      <w:r>
        <w:rPr>
          <w:rFonts w:hint="eastAsia" w:ascii="宋体" w:hAnsi="宋体" w:cs="宋体"/>
          <w:bCs/>
          <w:color w:val="auto"/>
          <w:sz w:val="24"/>
          <w:szCs w:val="24"/>
          <w:lang w:val="en-US" w:eastAsia="zh-CN"/>
        </w:rPr>
        <w:t>成交人</w:t>
      </w:r>
      <w:r>
        <w:rPr>
          <w:rFonts w:hint="eastAsia" w:ascii="宋体" w:hAnsi="宋体" w:eastAsia="宋体" w:cs="宋体"/>
          <w:bCs/>
          <w:color w:val="auto"/>
          <w:sz w:val="24"/>
          <w:szCs w:val="24"/>
        </w:rPr>
        <w:t>的礼金及吃请等，如有违反廉政纪律等行为的，依据有关规定给予党纪、政纪或组织处理，情节严重的，还应承担相应的法律责任。</w:t>
      </w:r>
    </w:p>
    <w:p w14:paraId="720D8792">
      <w:pPr>
        <w:pStyle w:val="301"/>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szCs w:val="24"/>
          <w:highlight w:val="none"/>
          <w:lang w:val="zh-TW"/>
        </w:rPr>
      </w:pPr>
      <w:r>
        <w:rPr>
          <w:rFonts w:hint="eastAsia" w:ascii="宋体" w:hAnsi="宋体" w:cs="宋体"/>
          <w:b/>
          <w:bCs/>
          <w:sz w:val="24"/>
          <w:szCs w:val="24"/>
          <w:highlight w:val="none"/>
          <w:lang w:val="en-US" w:eastAsia="zh-CN"/>
        </w:rPr>
        <w:t>13</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lang w:val="zh-TW"/>
        </w:rPr>
        <w:t>不可抗力</w:t>
      </w:r>
    </w:p>
    <w:p w14:paraId="4795BA3D">
      <w:pPr>
        <w:pStyle w:val="30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highlight w:val="none"/>
          <w:lang w:val="zh-TW"/>
        </w:rPr>
      </w:pPr>
      <w:r>
        <w:rPr>
          <w:rFonts w:hint="eastAsia" w:ascii="宋体" w:hAnsi="宋体" w:cs="宋体"/>
          <w:sz w:val="24"/>
          <w:szCs w:val="24"/>
          <w:highlight w:val="none"/>
          <w:lang w:val="en-US" w:eastAsia="zh-CN"/>
        </w:rPr>
        <w:t>13</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w:t>
      </w:r>
      <w:r>
        <w:rPr>
          <w:rFonts w:hint="eastAsia" w:ascii="宋体" w:hAnsi="宋体" w:eastAsia="宋体" w:cs="宋体"/>
          <w:sz w:val="24"/>
          <w:szCs w:val="24"/>
          <w:highlight w:val="none"/>
          <w:lang w:val="en-US" w:eastAsia="zh-CN"/>
        </w:rPr>
        <w:t>30</w:t>
      </w:r>
      <w:r>
        <w:rPr>
          <w:rFonts w:hint="eastAsia" w:ascii="宋体" w:hAnsi="宋体" w:eastAsia="宋体" w:cs="宋体"/>
          <w:sz w:val="24"/>
          <w:szCs w:val="24"/>
          <w:highlight w:val="none"/>
          <w:lang w:val="zh-TW"/>
        </w:rPr>
        <w:t>日内向另一方提供不可抗力发生及持续期间的充分证据。基于以上行为，允许遭受不可抗力一方延期履行、部分履行或不履行合同，并根据情况可部分或全部免于承担违约责任。</w:t>
      </w:r>
    </w:p>
    <w:p w14:paraId="1A60A274">
      <w:pPr>
        <w:pStyle w:val="30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highlight w:val="none"/>
          <w:lang w:val="zh-TW"/>
        </w:rPr>
      </w:pPr>
      <w:r>
        <w:rPr>
          <w:rFonts w:hint="eastAsia" w:ascii="宋体" w:hAnsi="宋体" w:cs="宋体"/>
          <w:sz w:val="24"/>
          <w:szCs w:val="24"/>
          <w:highlight w:val="none"/>
          <w:lang w:val="en-US" w:eastAsia="zh-CN"/>
        </w:rPr>
        <w:t>13</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507A6ECA">
      <w:pPr>
        <w:pStyle w:val="301"/>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szCs w:val="24"/>
          <w:highlight w:val="none"/>
          <w:lang w:val="zh-TW"/>
        </w:rPr>
      </w:pPr>
      <w:r>
        <w:rPr>
          <w:rFonts w:hint="eastAsia" w:ascii="宋体" w:hAnsi="宋体" w:cs="宋体"/>
          <w:b/>
          <w:bCs/>
          <w:sz w:val="24"/>
          <w:szCs w:val="24"/>
          <w:highlight w:val="none"/>
          <w:lang w:val="en-US" w:eastAsia="zh-CN"/>
        </w:rPr>
        <w:t>14</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lang w:val="zh-TW"/>
        </w:rPr>
        <w:t>知识产权</w:t>
      </w:r>
    </w:p>
    <w:p w14:paraId="00717BAB">
      <w:pPr>
        <w:pStyle w:val="30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成交人</w:t>
      </w:r>
      <w:r>
        <w:rPr>
          <w:rFonts w:hint="eastAsia" w:ascii="宋体" w:hAnsi="宋体" w:eastAsia="宋体" w:cs="宋体"/>
          <w:sz w:val="24"/>
          <w:szCs w:val="24"/>
          <w:highlight w:val="none"/>
          <w:lang w:val="zh-TW"/>
        </w:rPr>
        <w:t>提供的服务中有涉及知识产权的部分应符合国家知识产权法律、法规的规定；</w:t>
      </w:r>
      <w:r>
        <w:rPr>
          <w:rFonts w:hint="eastAsia" w:ascii="宋体" w:hAnsi="宋体" w:eastAsia="宋体" w:cs="宋体"/>
          <w:sz w:val="24"/>
          <w:szCs w:val="24"/>
          <w:highlight w:val="none"/>
          <w:lang w:val="en-US" w:eastAsia="zh-CN"/>
        </w:rPr>
        <w:t>成交人</w:t>
      </w:r>
      <w:r>
        <w:rPr>
          <w:rFonts w:hint="eastAsia" w:ascii="宋体" w:hAnsi="宋体" w:eastAsia="宋体" w:cs="宋体"/>
          <w:sz w:val="24"/>
          <w:szCs w:val="24"/>
          <w:highlight w:val="none"/>
          <w:lang w:val="zh-TW"/>
        </w:rPr>
        <w:t>还应保证</w:t>
      </w:r>
      <w:r>
        <w:rPr>
          <w:rFonts w:hint="eastAsia" w:ascii="宋体" w:hAnsi="宋体" w:eastAsia="宋体" w:cs="宋体"/>
          <w:sz w:val="24"/>
          <w:szCs w:val="24"/>
          <w:highlight w:val="none"/>
          <w:lang w:val="en-US" w:eastAsia="zh-CN"/>
        </w:rPr>
        <w:t>采购人</w:t>
      </w:r>
      <w:r>
        <w:rPr>
          <w:rFonts w:hint="eastAsia" w:ascii="宋体" w:hAnsi="宋体" w:eastAsia="宋体" w:cs="宋体"/>
          <w:sz w:val="24"/>
          <w:szCs w:val="24"/>
          <w:highlight w:val="none"/>
          <w:lang w:val="zh-TW"/>
        </w:rPr>
        <w:t>不受到第三方关于侵犯知识产权及专利权、商标权或工业设计权等知识产权方面的指控，若任何第三方提出此方面指控均与</w:t>
      </w:r>
      <w:r>
        <w:rPr>
          <w:rFonts w:hint="eastAsia" w:ascii="宋体" w:hAnsi="宋体" w:eastAsia="宋体" w:cs="宋体"/>
          <w:sz w:val="24"/>
          <w:szCs w:val="24"/>
          <w:highlight w:val="none"/>
          <w:lang w:val="en-US" w:eastAsia="zh-CN"/>
        </w:rPr>
        <w:t>采购人</w:t>
      </w:r>
      <w:r>
        <w:rPr>
          <w:rFonts w:hint="eastAsia" w:ascii="宋体" w:hAnsi="宋体" w:eastAsia="宋体" w:cs="宋体"/>
          <w:sz w:val="24"/>
          <w:szCs w:val="24"/>
          <w:highlight w:val="none"/>
          <w:lang w:val="zh-TW"/>
        </w:rPr>
        <w:t>无关，</w:t>
      </w:r>
      <w:r>
        <w:rPr>
          <w:rFonts w:hint="eastAsia" w:ascii="宋体" w:hAnsi="宋体" w:eastAsia="宋体" w:cs="宋体"/>
          <w:sz w:val="24"/>
          <w:szCs w:val="24"/>
          <w:highlight w:val="none"/>
          <w:lang w:val="en-US" w:eastAsia="zh-CN"/>
        </w:rPr>
        <w:t>成交人</w:t>
      </w:r>
      <w:r>
        <w:rPr>
          <w:rFonts w:hint="eastAsia" w:ascii="宋体" w:hAnsi="宋体" w:eastAsia="宋体" w:cs="宋体"/>
          <w:sz w:val="24"/>
          <w:szCs w:val="24"/>
          <w:highlight w:val="none"/>
          <w:lang w:val="zh-TW"/>
        </w:rPr>
        <w:t>应与第三方交涉，并承担可能发生的一切法律责任、费用和后果；若</w:t>
      </w:r>
      <w:r>
        <w:rPr>
          <w:rFonts w:hint="eastAsia" w:ascii="宋体" w:hAnsi="宋体" w:eastAsia="宋体" w:cs="宋体"/>
          <w:sz w:val="24"/>
          <w:szCs w:val="24"/>
          <w:highlight w:val="none"/>
          <w:lang w:val="en-US" w:eastAsia="zh-CN"/>
        </w:rPr>
        <w:t>采购人</w:t>
      </w:r>
      <w:r>
        <w:rPr>
          <w:rFonts w:hint="eastAsia" w:ascii="宋体" w:hAnsi="宋体" w:eastAsia="宋体" w:cs="宋体"/>
          <w:sz w:val="24"/>
          <w:szCs w:val="24"/>
          <w:highlight w:val="none"/>
          <w:lang w:val="zh-TW"/>
        </w:rPr>
        <w:t>因此而遭致损失，则</w:t>
      </w:r>
      <w:r>
        <w:rPr>
          <w:rFonts w:hint="eastAsia" w:ascii="宋体" w:hAnsi="宋体" w:eastAsia="宋体" w:cs="宋体"/>
          <w:sz w:val="24"/>
          <w:szCs w:val="24"/>
          <w:highlight w:val="none"/>
          <w:lang w:val="en-US" w:eastAsia="zh-CN"/>
        </w:rPr>
        <w:t>成交人</w:t>
      </w:r>
      <w:r>
        <w:rPr>
          <w:rFonts w:hint="eastAsia" w:ascii="宋体" w:hAnsi="宋体" w:eastAsia="宋体" w:cs="宋体"/>
          <w:sz w:val="24"/>
          <w:szCs w:val="24"/>
          <w:highlight w:val="none"/>
          <w:lang w:val="zh-TW"/>
        </w:rPr>
        <w:t>应赔偿该损失。</w:t>
      </w:r>
    </w:p>
    <w:p w14:paraId="2A29AC25">
      <w:pPr>
        <w:pStyle w:val="301"/>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jc w:val="left"/>
        <w:textAlignment w:val="auto"/>
        <w:outlineLvl w:val="3"/>
        <w:rPr>
          <w:rFonts w:hint="eastAsia" w:ascii="宋体" w:hAnsi="宋体" w:eastAsia="宋体" w:cs="宋体"/>
          <w:color w:val="auto"/>
          <w:sz w:val="24"/>
          <w:szCs w:val="24"/>
        </w:rPr>
      </w:pPr>
      <w:r>
        <w:rPr>
          <w:rFonts w:hint="eastAsia" w:ascii="宋体" w:hAnsi="宋体" w:cs="宋体"/>
          <w:b/>
          <w:color w:val="auto"/>
          <w:sz w:val="24"/>
          <w:szCs w:val="24"/>
          <w:lang w:val="en-US" w:eastAsia="zh-CN"/>
        </w:rPr>
        <w:t>15</w:t>
      </w:r>
      <w:r>
        <w:rPr>
          <w:rFonts w:hint="eastAsia" w:ascii="宋体" w:hAnsi="宋体" w:eastAsia="宋体" w:cs="宋体"/>
          <w:b/>
          <w:color w:val="auto"/>
          <w:sz w:val="24"/>
          <w:szCs w:val="24"/>
          <w:lang w:val="en-US" w:eastAsia="zh-CN"/>
        </w:rPr>
        <w:t>、</w:t>
      </w:r>
      <w:r>
        <w:rPr>
          <w:rFonts w:hint="eastAsia" w:ascii="宋体" w:hAnsi="宋体" w:eastAsia="宋体" w:cs="宋体"/>
          <w:b/>
          <w:color w:val="auto"/>
          <w:sz w:val="24"/>
          <w:szCs w:val="24"/>
        </w:rPr>
        <w:t>解决争议的方法</w:t>
      </w:r>
    </w:p>
    <w:p w14:paraId="702C788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hint="eastAsia" w:ascii="宋体" w:hAnsi="宋体" w:eastAsia="宋体" w:cs="宋体"/>
          <w:color w:val="auto"/>
          <w:sz w:val="24"/>
          <w:szCs w:val="24"/>
          <w:lang w:eastAsia="zh-Hans"/>
        </w:rPr>
      </w:pPr>
      <w:r>
        <w:rPr>
          <w:rFonts w:hint="eastAsia" w:ascii="宋体" w:hAnsi="宋体" w:eastAsia="宋体" w:cs="宋体"/>
          <w:color w:val="auto"/>
          <w:sz w:val="24"/>
          <w:szCs w:val="24"/>
          <w:lang w:eastAsia="zh-Hans"/>
        </w:rPr>
        <w:t>因本项目有关的一切事项发生争议，由双方友好协商解决。协商不成的，任何一方均可选择以下方式解决：</w:t>
      </w:r>
      <w:r>
        <w:rPr>
          <w:rFonts w:hint="eastAsia" w:ascii="宋体" w:hAnsi="宋体" w:cs="宋体"/>
          <w:color w:val="auto"/>
          <w:sz w:val="24"/>
          <w:szCs w:val="24"/>
          <w:lang w:val="en-US" w:eastAsia="zh-Hans"/>
        </w:rPr>
        <w:t>向采购人所在地</w:t>
      </w:r>
      <w:r>
        <w:rPr>
          <w:rFonts w:hint="eastAsia" w:ascii="宋体" w:hAnsi="宋体" w:cs="宋体"/>
          <w:color w:val="auto"/>
          <w:sz w:val="24"/>
          <w:szCs w:val="24"/>
          <w:highlight w:val="none"/>
          <w:lang w:eastAsia="zh-Hans"/>
        </w:rPr>
        <w:t>人民法院提起诉讼</w:t>
      </w:r>
      <w:r>
        <w:rPr>
          <w:rFonts w:hint="eastAsia" w:ascii="宋体" w:hAnsi="宋体" w:eastAsia="宋体" w:cs="宋体"/>
          <w:color w:val="auto"/>
          <w:sz w:val="24"/>
          <w:szCs w:val="24"/>
          <w:lang w:eastAsia="zh-Hans"/>
        </w:rPr>
        <w:t>。</w:t>
      </w:r>
    </w:p>
    <w:p w14:paraId="5B4C619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hint="eastAsia" w:ascii="宋体" w:hAnsi="宋体" w:eastAsia="宋体" w:cs="宋体"/>
          <w:color w:val="auto"/>
          <w:sz w:val="24"/>
          <w:szCs w:val="24"/>
          <w:lang w:eastAsia="zh-Hans"/>
        </w:rPr>
      </w:pPr>
      <w:r>
        <w:rPr>
          <w:rFonts w:hint="eastAsia" w:ascii="宋体" w:hAnsi="宋体" w:eastAsia="宋体" w:cs="宋体"/>
          <w:color w:val="auto"/>
          <w:sz w:val="24"/>
          <w:szCs w:val="24"/>
          <w:lang w:eastAsia="zh-Hans"/>
        </w:rPr>
        <w:t>若因</w:t>
      </w:r>
      <w:r>
        <w:rPr>
          <w:rFonts w:hint="eastAsia" w:ascii="宋体" w:hAnsi="宋体" w:cs="宋体"/>
          <w:bCs/>
          <w:color w:val="auto"/>
          <w:sz w:val="24"/>
          <w:szCs w:val="24"/>
          <w:lang w:val="en-US" w:eastAsia="zh-CN"/>
        </w:rPr>
        <w:t>成交人</w:t>
      </w:r>
      <w:r>
        <w:rPr>
          <w:rFonts w:hint="eastAsia" w:ascii="宋体" w:hAnsi="宋体" w:eastAsia="宋体" w:cs="宋体"/>
          <w:color w:val="auto"/>
          <w:sz w:val="24"/>
          <w:szCs w:val="24"/>
          <w:lang w:eastAsia="zh-Hans"/>
        </w:rPr>
        <w:t>未按约定履行本合同义务导致</w:t>
      </w:r>
      <w:r>
        <w:rPr>
          <w:rFonts w:hint="eastAsia" w:ascii="宋体" w:hAnsi="宋体" w:cs="宋体"/>
          <w:color w:val="auto"/>
          <w:sz w:val="24"/>
          <w:szCs w:val="24"/>
          <w:lang w:val="en-US" w:eastAsia="zh-CN"/>
        </w:rPr>
        <w:t>采购人</w:t>
      </w:r>
      <w:r>
        <w:rPr>
          <w:rFonts w:hint="eastAsia" w:ascii="宋体" w:hAnsi="宋体" w:eastAsia="宋体" w:cs="宋体"/>
          <w:color w:val="auto"/>
          <w:sz w:val="24"/>
          <w:szCs w:val="24"/>
          <w:lang w:eastAsia="zh-Hans"/>
        </w:rPr>
        <w:t>所产生的一切损失（包括但不限于人身财产的损失、律师费、诉讼费、保全费、鉴定费等），均由</w:t>
      </w:r>
      <w:r>
        <w:rPr>
          <w:rFonts w:hint="eastAsia" w:ascii="宋体" w:hAnsi="宋体" w:cs="宋体"/>
          <w:color w:val="auto"/>
          <w:sz w:val="24"/>
          <w:szCs w:val="24"/>
          <w:lang w:val="en-US" w:eastAsia="zh-CN"/>
        </w:rPr>
        <w:t>成交人</w:t>
      </w:r>
      <w:r>
        <w:rPr>
          <w:rFonts w:hint="eastAsia" w:ascii="宋体" w:hAnsi="宋体" w:eastAsia="宋体" w:cs="宋体"/>
          <w:color w:val="auto"/>
          <w:sz w:val="24"/>
          <w:szCs w:val="24"/>
          <w:lang w:eastAsia="zh-Hans"/>
        </w:rPr>
        <w:t>承担赔偿责任。</w:t>
      </w:r>
    </w:p>
    <w:p w14:paraId="22644F0D">
      <w:pPr>
        <w:pStyle w:val="301"/>
        <w:keepNext w:val="0"/>
        <w:keepLines w:val="0"/>
        <w:pageBreakBefore w:val="0"/>
        <w:kinsoku/>
        <w:wordWrap/>
        <w:overflowPunct/>
        <w:topLinePunct w:val="0"/>
        <w:autoSpaceDE/>
        <w:autoSpaceDN/>
        <w:bidi w:val="0"/>
        <w:adjustRightInd/>
        <w:spacing w:line="360" w:lineRule="auto"/>
        <w:ind w:firstLine="482"/>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rPr>
        <w:t>四、其他事项</w:t>
      </w:r>
    </w:p>
    <w:p w14:paraId="0DA58501">
      <w:pPr>
        <w:pStyle w:val="44"/>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1、除</w:t>
      </w:r>
      <w:r>
        <w:rPr>
          <w:rFonts w:hint="eastAsia" w:ascii="宋体" w:hAnsi="宋体" w:cs="宋体"/>
          <w:color w:val="auto"/>
          <w:sz w:val="24"/>
          <w:szCs w:val="24"/>
          <w:lang w:val="en-US" w:eastAsia="zh-CN"/>
        </w:rPr>
        <w:t>磋商</w:t>
      </w:r>
      <w:r>
        <w:rPr>
          <w:rFonts w:hint="eastAsia" w:ascii="宋体" w:hAnsi="宋体" w:eastAsia="宋体" w:cs="宋体"/>
          <w:color w:val="auto"/>
          <w:sz w:val="24"/>
          <w:szCs w:val="24"/>
        </w:rPr>
        <w:t>文件另有规定外，若出现有关法律、法规和规章有强制性规定但</w:t>
      </w:r>
      <w:r>
        <w:rPr>
          <w:rFonts w:hint="eastAsia" w:ascii="宋体" w:hAnsi="宋体" w:cs="宋体"/>
          <w:color w:val="auto"/>
          <w:sz w:val="24"/>
          <w:szCs w:val="24"/>
          <w:lang w:val="en-US" w:eastAsia="zh-CN"/>
        </w:rPr>
        <w:t>磋商</w:t>
      </w:r>
      <w:r>
        <w:rPr>
          <w:rFonts w:hint="eastAsia" w:ascii="宋体" w:hAnsi="宋体" w:eastAsia="宋体" w:cs="宋体"/>
          <w:color w:val="auto"/>
          <w:sz w:val="24"/>
          <w:szCs w:val="24"/>
        </w:rPr>
        <w:t>文件未列明的情形，则</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应按照有关法律、法规和规章强制性规定执行。</w:t>
      </w:r>
    </w:p>
    <w:p w14:paraId="64C49F7A">
      <w:pPr>
        <w:pStyle w:val="44"/>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2、本项目不允许</w:t>
      </w:r>
      <w:r>
        <w:rPr>
          <w:rFonts w:hint="eastAsia" w:ascii="宋体" w:hAnsi="宋体" w:cs="宋体"/>
          <w:color w:val="auto"/>
          <w:sz w:val="24"/>
          <w:szCs w:val="24"/>
          <w:lang w:val="en-US" w:eastAsia="zh-CN"/>
        </w:rPr>
        <w:t>成交人</w:t>
      </w:r>
      <w:r>
        <w:rPr>
          <w:rFonts w:hint="eastAsia" w:ascii="宋体" w:hAnsi="宋体" w:eastAsia="宋体" w:cs="宋体"/>
          <w:color w:val="auto"/>
          <w:sz w:val="24"/>
          <w:szCs w:val="24"/>
        </w:rPr>
        <w:t>以任何名义和理由进行转包，如有发现，</w:t>
      </w:r>
      <w:r>
        <w:rPr>
          <w:rFonts w:hint="eastAsia" w:ascii="宋体" w:hAnsi="宋体" w:cs="宋体"/>
          <w:color w:val="auto"/>
          <w:sz w:val="24"/>
          <w:szCs w:val="24"/>
          <w:lang w:val="en-US" w:eastAsia="zh-CN"/>
        </w:rPr>
        <w:t>采购人</w:t>
      </w:r>
      <w:r>
        <w:rPr>
          <w:rFonts w:hint="eastAsia" w:ascii="宋体" w:hAnsi="宋体" w:eastAsia="宋体" w:cs="宋体"/>
          <w:color w:val="auto"/>
          <w:sz w:val="24"/>
          <w:szCs w:val="24"/>
        </w:rPr>
        <w:t>有权单方终止合同，视为</w:t>
      </w:r>
      <w:r>
        <w:rPr>
          <w:rFonts w:hint="eastAsia" w:ascii="宋体" w:hAnsi="宋体" w:cs="宋体"/>
          <w:color w:val="auto"/>
          <w:sz w:val="24"/>
          <w:szCs w:val="24"/>
          <w:lang w:val="en-US" w:eastAsia="zh-CN"/>
        </w:rPr>
        <w:t>成交人</w:t>
      </w:r>
      <w:r>
        <w:rPr>
          <w:rFonts w:hint="eastAsia" w:ascii="宋体" w:hAnsi="宋体" w:eastAsia="宋体" w:cs="宋体"/>
          <w:color w:val="auto"/>
          <w:sz w:val="24"/>
          <w:szCs w:val="24"/>
        </w:rPr>
        <w:t>违约；</w:t>
      </w:r>
      <w:r>
        <w:rPr>
          <w:rFonts w:hint="eastAsia" w:ascii="宋体" w:hAnsi="宋体" w:cs="宋体"/>
          <w:color w:val="auto"/>
          <w:sz w:val="24"/>
          <w:szCs w:val="24"/>
          <w:lang w:val="en-US" w:eastAsia="zh-CN"/>
        </w:rPr>
        <w:t>成交人</w:t>
      </w:r>
      <w:r>
        <w:rPr>
          <w:rFonts w:hint="eastAsia" w:ascii="宋体" w:hAnsi="宋体" w:eastAsia="宋体" w:cs="宋体"/>
          <w:color w:val="auto"/>
          <w:sz w:val="24"/>
          <w:szCs w:val="24"/>
        </w:rPr>
        <w:t>违约对</w:t>
      </w:r>
      <w:r>
        <w:rPr>
          <w:rFonts w:hint="eastAsia" w:ascii="宋体" w:hAnsi="宋体" w:cs="宋体"/>
          <w:color w:val="auto"/>
          <w:sz w:val="24"/>
          <w:szCs w:val="24"/>
          <w:lang w:val="en-US" w:eastAsia="zh-CN"/>
        </w:rPr>
        <w:t>采购人</w:t>
      </w:r>
      <w:r>
        <w:rPr>
          <w:rFonts w:hint="eastAsia" w:ascii="宋体" w:hAnsi="宋体" w:eastAsia="宋体" w:cs="宋体"/>
          <w:color w:val="auto"/>
          <w:sz w:val="24"/>
          <w:szCs w:val="24"/>
        </w:rPr>
        <w:t>造成的损失的，需另行支付相应的赔偿。</w:t>
      </w:r>
    </w:p>
    <w:p w14:paraId="7257D57E">
      <w:pPr>
        <w:pStyle w:val="4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3、本</w:t>
      </w:r>
      <w:r>
        <w:rPr>
          <w:rFonts w:hint="eastAsia" w:ascii="宋体" w:hAnsi="宋体" w:cs="宋体"/>
          <w:color w:val="auto"/>
          <w:sz w:val="24"/>
          <w:szCs w:val="24"/>
          <w:lang w:val="en-US" w:eastAsia="zh-CN"/>
        </w:rPr>
        <w:t>磋商</w:t>
      </w:r>
      <w:r>
        <w:rPr>
          <w:rFonts w:hint="eastAsia" w:ascii="宋体" w:hAnsi="宋体" w:eastAsia="宋体" w:cs="宋体"/>
          <w:color w:val="auto"/>
          <w:sz w:val="24"/>
          <w:szCs w:val="24"/>
        </w:rPr>
        <w:t>文件未明确的其它约定事项或条款，待</w:t>
      </w:r>
      <w:r>
        <w:rPr>
          <w:rFonts w:hint="eastAsia" w:ascii="宋体" w:hAnsi="宋体" w:cs="宋体"/>
          <w:color w:val="auto"/>
          <w:sz w:val="24"/>
          <w:szCs w:val="24"/>
          <w:lang w:val="en-US" w:eastAsia="zh-CN"/>
        </w:rPr>
        <w:t>采购人</w:t>
      </w:r>
      <w:r>
        <w:rPr>
          <w:rFonts w:hint="eastAsia" w:ascii="宋体" w:hAnsi="宋体" w:eastAsia="宋体" w:cs="宋体"/>
          <w:color w:val="auto"/>
          <w:sz w:val="24"/>
          <w:szCs w:val="24"/>
        </w:rPr>
        <w:t>与</w:t>
      </w:r>
      <w:r>
        <w:rPr>
          <w:rFonts w:hint="eastAsia" w:ascii="宋体" w:hAnsi="宋体" w:cs="宋体"/>
          <w:color w:val="auto"/>
          <w:sz w:val="24"/>
          <w:szCs w:val="24"/>
          <w:lang w:val="en-US" w:eastAsia="zh-CN"/>
        </w:rPr>
        <w:t>成交人</w:t>
      </w:r>
      <w:r>
        <w:rPr>
          <w:rFonts w:hint="eastAsia" w:ascii="宋体" w:hAnsi="宋体" w:eastAsia="宋体" w:cs="宋体"/>
          <w:color w:val="auto"/>
          <w:sz w:val="24"/>
          <w:szCs w:val="24"/>
        </w:rPr>
        <w:t>签订合同时，由双方协商订立。</w:t>
      </w:r>
    </w:p>
    <w:p w14:paraId="47C21C3C">
      <w:pPr>
        <w:jc w:val="center"/>
        <w:outlineLvl w:val="0"/>
        <w:rPr>
          <w:rFonts w:hint="eastAsia" w:ascii="宋体" w:hAnsi="宋体" w:eastAsia="宋体" w:cs="宋体"/>
          <w:b/>
          <w:color w:val="auto"/>
          <w:sz w:val="36"/>
          <w:lang w:eastAsia="zh-CN"/>
        </w:rPr>
      </w:pPr>
      <w:r>
        <w:rPr>
          <w:rFonts w:hint="eastAsia" w:ascii="宋体" w:hAnsi="宋体" w:cs="宋体"/>
          <w:color w:val="auto"/>
          <w:kern w:val="0"/>
          <w:sz w:val="24"/>
          <w:szCs w:val="24"/>
        </w:rPr>
        <w:br w:type="page"/>
      </w:r>
      <w:r>
        <w:rPr>
          <w:rFonts w:hint="eastAsia" w:ascii="宋体" w:hAnsi="宋体" w:cs="宋体"/>
          <w:b/>
          <w:color w:val="auto"/>
          <w:sz w:val="36"/>
        </w:rPr>
        <w:t xml:space="preserve">第四章  </w:t>
      </w:r>
      <w:bookmarkStart w:id="149" w:name="福建师范大学采购合同"/>
      <w:bookmarkEnd w:id="149"/>
      <w:bookmarkStart w:id="150" w:name="投标文件格式"/>
      <w:r>
        <w:rPr>
          <w:rFonts w:hint="eastAsia" w:ascii="宋体" w:hAnsi="宋体" w:cs="宋体"/>
          <w:b/>
          <w:color w:val="auto"/>
          <w:sz w:val="36"/>
        </w:rPr>
        <w:t>采购合同</w:t>
      </w:r>
      <w:bookmarkEnd w:id="144"/>
      <w:bookmarkEnd w:id="145"/>
      <w:bookmarkEnd w:id="146"/>
      <w:bookmarkEnd w:id="147"/>
      <w:r>
        <w:rPr>
          <w:rFonts w:hint="eastAsia" w:ascii="宋体" w:hAnsi="宋体" w:cs="宋体"/>
          <w:b/>
          <w:color w:val="auto"/>
          <w:sz w:val="36"/>
          <w:lang w:eastAsia="zh-CN"/>
        </w:rPr>
        <w:t>（</w:t>
      </w:r>
      <w:r>
        <w:rPr>
          <w:rFonts w:hint="eastAsia" w:ascii="宋体" w:hAnsi="宋体" w:cs="宋体"/>
          <w:b/>
          <w:color w:val="auto"/>
          <w:sz w:val="36"/>
          <w:lang w:val="en-US" w:eastAsia="zh-CN"/>
        </w:rPr>
        <w:t>参考</w:t>
      </w:r>
      <w:r>
        <w:rPr>
          <w:rFonts w:hint="eastAsia" w:ascii="宋体" w:hAnsi="宋体" w:cs="宋体"/>
          <w:b/>
          <w:color w:val="auto"/>
          <w:sz w:val="36"/>
          <w:lang w:eastAsia="zh-CN"/>
        </w:rPr>
        <w:t>）</w:t>
      </w:r>
    </w:p>
    <w:p w14:paraId="45C3C4AE">
      <w:pPr>
        <w:pStyle w:val="44"/>
        <w:widowControl/>
        <w:spacing w:before="0" w:beforeAutospacing="0" w:after="0" w:afterAutospacing="0" w:line="380" w:lineRule="exact"/>
        <w:jc w:val="right"/>
        <w:rPr>
          <w:rFonts w:hint="eastAsia" w:ascii="宋体" w:hAnsi="宋体" w:cs="宋体"/>
          <w:color w:val="auto"/>
        </w:rPr>
      </w:pPr>
      <w:bookmarkStart w:id="151" w:name="_Toc4701_WPSOffice_Level1"/>
      <w:bookmarkStart w:id="152" w:name="_Toc31831_WPSOffice_Level1"/>
      <w:bookmarkStart w:id="153" w:name="_Toc21948_WPSOffice_Level1"/>
      <w:r>
        <w:rPr>
          <w:rFonts w:hint="eastAsia" w:ascii="宋体" w:hAnsi="宋体" w:cs="宋体"/>
          <w:color w:val="auto"/>
        </w:rPr>
        <w:t>合同号：</w:t>
      </w:r>
    </w:p>
    <w:p w14:paraId="250D94DA">
      <w:pPr>
        <w:keepNext w:val="0"/>
        <w:keepLines w:val="0"/>
        <w:pageBreakBefore w:val="0"/>
        <w:kinsoku/>
        <w:wordWrap/>
        <w:bidi w:val="0"/>
        <w:spacing w:line="360" w:lineRule="auto"/>
        <w:ind w:firstLine="590" w:firstLineChars="245"/>
        <w:rPr>
          <w:rFonts w:hint="eastAsia" w:ascii="宋体" w:hAnsi="宋体" w:cs="宋体"/>
          <w:b/>
          <w:color w:val="auto"/>
          <w:sz w:val="24"/>
        </w:rPr>
      </w:pPr>
      <w:r>
        <w:rPr>
          <w:rFonts w:hint="eastAsia" w:ascii="宋体" w:hAnsi="宋体" w:cs="宋体"/>
          <w:b/>
          <w:color w:val="auto"/>
          <w:sz w:val="24"/>
        </w:rPr>
        <w:t>甲方（</w:t>
      </w:r>
      <w:r>
        <w:rPr>
          <w:rFonts w:hint="eastAsia" w:ascii="宋体" w:hAnsi="宋体" w:cs="宋体"/>
          <w:b/>
          <w:color w:val="auto"/>
          <w:sz w:val="24"/>
          <w:lang w:eastAsia="zh-CN"/>
        </w:rPr>
        <w:t>采购人</w:t>
      </w:r>
      <w:r>
        <w:rPr>
          <w:rFonts w:hint="eastAsia" w:ascii="宋体" w:hAnsi="宋体" w:cs="宋体"/>
          <w:b/>
          <w:color w:val="auto"/>
          <w:sz w:val="24"/>
        </w:rPr>
        <w:t xml:space="preserve">）:                         </w:t>
      </w:r>
    </w:p>
    <w:p w14:paraId="7D275789">
      <w:pPr>
        <w:keepNext w:val="0"/>
        <w:keepLines w:val="0"/>
        <w:pageBreakBefore w:val="0"/>
        <w:kinsoku/>
        <w:wordWrap/>
        <w:bidi w:val="0"/>
        <w:spacing w:line="360" w:lineRule="auto"/>
        <w:ind w:firstLine="590" w:firstLineChars="245"/>
        <w:rPr>
          <w:rFonts w:hint="eastAsia" w:ascii="宋体" w:hAnsi="宋体" w:cs="宋体"/>
          <w:color w:val="auto"/>
          <w:sz w:val="36"/>
          <w:szCs w:val="36"/>
        </w:rPr>
      </w:pPr>
      <w:r>
        <w:rPr>
          <w:rFonts w:hint="eastAsia" w:ascii="宋体" w:hAnsi="宋体" w:cs="宋体"/>
          <w:b/>
          <w:color w:val="auto"/>
          <w:sz w:val="24"/>
        </w:rPr>
        <w:t>乙方（</w:t>
      </w:r>
      <w:r>
        <w:rPr>
          <w:rFonts w:hint="eastAsia" w:ascii="宋体" w:hAnsi="宋体" w:cs="宋体"/>
          <w:b/>
          <w:color w:val="auto"/>
          <w:sz w:val="24"/>
          <w:lang w:eastAsia="zh-CN"/>
        </w:rPr>
        <w:t>成交人</w:t>
      </w:r>
      <w:r>
        <w:rPr>
          <w:rFonts w:hint="eastAsia" w:ascii="宋体" w:hAnsi="宋体" w:cs="宋体"/>
          <w:b/>
          <w:color w:val="auto"/>
          <w:sz w:val="24"/>
        </w:rPr>
        <w:t xml:space="preserve">）:                        </w:t>
      </w:r>
    </w:p>
    <w:p w14:paraId="0559D65A">
      <w:pPr>
        <w:keepNext w:val="0"/>
        <w:keepLines w:val="0"/>
        <w:pageBreakBefore w:val="0"/>
        <w:kinsoku/>
        <w:wordWrap/>
        <w:topLinePunct/>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根据福建优胜招标项目管理集团有限公司招标编号为</w:t>
      </w:r>
      <w:r>
        <w:rPr>
          <w:rFonts w:hint="eastAsia" w:ascii="宋体" w:hAnsi="宋体" w:cs="宋体"/>
          <w:color w:val="auto"/>
          <w:sz w:val="24"/>
          <w:u w:val="single"/>
        </w:rPr>
        <w:t xml:space="preserve">       </w:t>
      </w:r>
      <w:r>
        <w:rPr>
          <w:rFonts w:hint="eastAsia" w:ascii="宋体" w:hAnsi="宋体" w:cs="宋体"/>
          <w:color w:val="auto"/>
          <w:sz w:val="24"/>
        </w:rPr>
        <w:t>的</w:t>
      </w:r>
      <w:r>
        <w:rPr>
          <w:rFonts w:hint="eastAsia" w:ascii="宋体" w:hAnsi="宋体" w:cs="宋体"/>
          <w:color w:val="auto"/>
          <w:sz w:val="24"/>
          <w:u w:val="single"/>
          <w:lang w:eastAsia="zh-CN"/>
        </w:rPr>
        <w:t>建筑消防维护保养服务及相关消防设施配件配送服务采购项目（重新招标）</w:t>
      </w:r>
      <w:r>
        <w:rPr>
          <w:rFonts w:hint="eastAsia" w:ascii="宋体" w:hAnsi="宋体" w:cs="宋体"/>
          <w:color w:val="auto"/>
          <w:sz w:val="24"/>
        </w:rPr>
        <w:t>的招标结果，乙方为本项目</w:t>
      </w:r>
      <w:r>
        <w:rPr>
          <w:rFonts w:hint="eastAsia" w:ascii="宋体" w:hAnsi="宋体" w:cs="宋体"/>
          <w:color w:val="auto"/>
          <w:sz w:val="24"/>
          <w:lang w:eastAsia="zh-CN"/>
        </w:rPr>
        <w:t>成交人</w:t>
      </w:r>
      <w:r>
        <w:rPr>
          <w:rFonts w:hint="eastAsia" w:ascii="宋体" w:hAnsi="宋体" w:cs="宋体"/>
          <w:color w:val="auto"/>
          <w:sz w:val="24"/>
        </w:rPr>
        <w:t>。甲乙双方就以下事项达成一致并签订本合同：</w:t>
      </w:r>
    </w:p>
    <w:p w14:paraId="4605AB45">
      <w:pPr>
        <w:keepNext w:val="0"/>
        <w:keepLines w:val="0"/>
        <w:pageBreakBefore w:val="0"/>
        <w:kinsoku/>
        <w:wordWrap/>
        <w:topLinePunct/>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一、下列文件是构成本合同不可分割的部分</w:t>
      </w:r>
    </w:p>
    <w:p w14:paraId="4EE85F73">
      <w:pPr>
        <w:keepNext w:val="0"/>
        <w:keepLines w:val="0"/>
        <w:pageBreakBefore w:val="0"/>
        <w:kinsoku/>
        <w:wordWrap/>
        <w:topLinePunct/>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1.合同条款；</w:t>
      </w:r>
    </w:p>
    <w:p w14:paraId="3F969098">
      <w:pPr>
        <w:keepNext w:val="0"/>
        <w:keepLines w:val="0"/>
        <w:pageBreakBefore w:val="0"/>
        <w:kinsoku/>
        <w:wordWrap/>
        <w:topLinePunct/>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eastAsia="zh-CN"/>
        </w:rPr>
        <w:t>磋商文件</w:t>
      </w:r>
      <w:r>
        <w:rPr>
          <w:rFonts w:hint="eastAsia" w:ascii="宋体" w:hAnsi="宋体" w:cs="宋体"/>
          <w:color w:val="auto"/>
          <w:sz w:val="24"/>
        </w:rPr>
        <w:t>、乙方的</w:t>
      </w:r>
      <w:r>
        <w:rPr>
          <w:rFonts w:hint="eastAsia" w:ascii="宋体" w:hAnsi="宋体" w:cs="宋体"/>
          <w:color w:val="auto"/>
          <w:sz w:val="24"/>
          <w:lang w:eastAsia="zh-CN"/>
        </w:rPr>
        <w:t>响应文件</w:t>
      </w:r>
      <w:r>
        <w:rPr>
          <w:rFonts w:hint="eastAsia" w:ascii="宋体" w:hAnsi="宋体" w:cs="宋体"/>
          <w:color w:val="auto"/>
          <w:sz w:val="24"/>
        </w:rPr>
        <w:t>；</w:t>
      </w:r>
    </w:p>
    <w:p w14:paraId="1AD03D5C">
      <w:pPr>
        <w:keepNext w:val="0"/>
        <w:keepLines w:val="0"/>
        <w:pageBreakBefore w:val="0"/>
        <w:kinsoku/>
        <w:wordWrap/>
        <w:topLinePunct/>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3.乙方提供的设备及服务应符合</w:t>
      </w:r>
      <w:r>
        <w:rPr>
          <w:rFonts w:hint="eastAsia" w:ascii="宋体" w:hAnsi="宋体" w:cs="宋体"/>
          <w:color w:val="auto"/>
          <w:sz w:val="24"/>
          <w:lang w:eastAsia="zh-CN"/>
        </w:rPr>
        <w:t>磋商文件</w:t>
      </w:r>
      <w:r>
        <w:rPr>
          <w:rFonts w:hint="eastAsia" w:ascii="宋体" w:hAnsi="宋体" w:cs="宋体"/>
          <w:color w:val="auto"/>
          <w:sz w:val="24"/>
        </w:rPr>
        <w:t>的规定和乙方</w:t>
      </w:r>
      <w:r>
        <w:rPr>
          <w:rFonts w:hint="eastAsia" w:ascii="宋体" w:hAnsi="宋体" w:cs="宋体"/>
          <w:color w:val="auto"/>
          <w:sz w:val="24"/>
          <w:lang w:eastAsia="zh-CN"/>
        </w:rPr>
        <w:t>响应文件</w:t>
      </w:r>
      <w:r>
        <w:rPr>
          <w:rFonts w:hint="eastAsia" w:ascii="宋体" w:hAnsi="宋体" w:cs="宋体"/>
          <w:color w:val="auto"/>
          <w:sz w:val="24"/>
        </w:rPr>
        <w:t>的承诺。乙方</w:t>
      </w:r>
      <w:r>
        <w:rPr>
          <w:rFonts w:hint="eastAsia" w:ascii="宋体" w:hAnsi="宋体" w:cs="宋体"/>
          <w:color w:val="auto"/>
          <w:sz w:val="24"/>
          <w:lang w:eastAsia="zh-CN"/>
        </w:rPr>
        <w:t>响应文件</w:t>
      </w:r>
      <w:r>
        <w:rPr>
          <w:rFonts w:hint="eastAsia" w:ascii="宋体" w:hAnsi="宋体" w:cs="宋体"/>
          <w:color w:val="auto"/>
          <w:sz w:val="24"/>
        </w:rPr>
        <w:t>低于</w:t>
      </w:r>
      <w:r>
        <w:rPr>
          <w:rFonts w:hint="eastAsia" w:ascii="宋体" w:hAnsi="宋体" w:cs="宋体"/>
          <w:color w:val="auto"/>
          <w:sz w:val="24"/>
          <w:lang w:eastAsia="zh-CN"/>
        </w:rPr>
        <w:t>磋商文件</w:t>
      </w:r>
      <w:r>
        <w:rPr>
          <w:rFonts w:hint="eastAsia" w:ascii="宋体" w:hAnsi="宋体" w:cs="宋体"/>
          <w:color w:val="auto"/>
          <w:sz w:val="24"/>
        </w:rPr>
        <w:t>的以</w:t>
      </w:r>
      <w:r>
        <w:rPr>
          <w:rFonts w:hint="eastAsia" w:ascii="宋体" w:hAnsi="宋体" w:cs="宋体"/>
          <w:color w:val="auto"/>
          <w:sz w:val="24"/>
          <w:lang w:eastAsia="zh-CN"/>
        </w:rPr>
        <w:t>磋商文件</w:t>
      </w:r>
      <w:r>
        <w:rPr>
          <w:rFonts w:hint="eastAsia" w:ascii="宋体" w:hAnsi="宋体" w:cs="宋体"/>
          <w:color w:val="auto"/>
          <w:sz w:val="24"/>
        </w:rPr>
        <w:t>为准，乙方</w:t>
      </w:r>
      <w:r>
        <w:rPr>
          <w:rFonts w:hint="eastAsia" w:ascii="宋体" w:hAnsi="宋体" w:cs="宋体"/>
          <w:color w:val="auto"/>
          <w:sz w:val="24"/>
          <w:lang w:eastAsia="zh-CN"/>
        </w:rPr>
        <w:t>响应文件</w:t>
      </w:r>
      <w:r>
        <w:rPr>
          <w:rFonts w:hint="eastAsia" w:ascii="宋体" w:hAnsi="宋体" w:cs="宋体"/>
          <w:color w:val="auto"/>
          <w:sz w:val="24"/>
        </w:rPr>
        <w:t>高于</w:t>
      </w:r>
      <w:r>
        <w:rPr>
          <w:rFonts w:hint="eastAsia" w:ascii="宋体" w:hAnsi="宋体" w:cs="宋体"/>
          <w:color w:val="auto"/>
          <w:sz w:val="24"/>
          <w:lang w:eastAsia="zh-CN"/>
        </w:rPr>
        <w:t>磋商文件</w:t>
      </w:r>
      <w:r>
        <w:rPr>
          <w:rFonts w:hint="eastAsia" w:ascii="宋体" w:hAnsi="宋体" w:cs="宋体"/>
          <w:color w:val="auto"/>
          <w:sz w:val="24"/>
        </w:rPr>
        <w:t>的，以乙方</w:t>
      </w:r>
      <w:r>
        <w:rPr>
          <w:rFonts w:hint="eastAsia" w:ascii="宋体" w:hAnsi="宋体" w:cs="宋体"/>
          <w:color w:val="auto"/>
          <w:sz w:val="24"/>
          <w:lang w:eastAsia="zh-CN"/>
        </w:rPr>
        <w:t>响应文件</w:t>
      </w:r>
      <w:r>
        <w:rPr>
          <w:rFonts w:hint="eastAsia" w:ascii="宋体" w:hAnsi="宋体" w:cs="宋体"/>
          <w:color w:val="auto"/>
          <w:sz w:val="24"/>
        </w:rPr>
        <w:t>为准。</w:t>
      </w:r>
    </w:p>
    <w:p w14:paraId="067472AB">
      <w:pPr>
        <w:keepNext w:val="0"/>
        <w:keepLines w:val="0"/>
        <w:pageBreakBefore w:val="0"/>
        <w:kinsoku/>
        <w:wordWrap/>
        <w:topLinePunct/>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二、合同标的</w:t>
      </w:r>
    </w:p>
    <w:p w14:paraId="40456F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cs="宋体"/>
          <w:color w:val="auto"/>
          <w:sz w:val="24"/>
        </w:rPr>
      </w:pPr>
      <w:r>
        <w:rPr>
          <w:rFonts w:hint="eastAsia" w:ascii="宋体" w:hAnsi="宋体" w:eastAsia="宋体" w:cs="宋体"/>
          <w:color w:val="auto"/>
          <w:kern w:val="2"/>
          <w:sz w:val="24"/>
          <w:szCs w:val="24"/>
          <w:lang w:val="en-US" w:eastAsia="zh-CN" w:bidi="ar"/>
        </w:rPr>
        <w:t>根据采购文件要求，乙方应包括采购清单涉及的所有配件。</w:t>
      </w:r>
    </w:p>
    <w:p w14:paraId="1CCF1579">
      <w:pPr>
        <w:keepNext w:val="0"/>
        <w:keepLines w:val="0"/>
        <w:pageBreakBefore w:val="0"/>
        <w:widowControl/>
        <w:kinsoku/>
        <w:wordWrap/>
        <w:bidi w:val="0"/>
        <w:spacing w:line="360" w:lineRule="auto"/>
        <w:ind w:firstLine="482" w:firstLineChars="200"/>
        <w:jc w:val="left"/>
        <w:rPr>
          <w:rStyle w:val="52"/>
          <w:rFonts w:hint="eastAsia" w:ascii="宋体" w:hAnsi="宋体" w:cs="宋体"/>
          <w:b w:val="0"/>
          <w:color w:val="auto"/>
          <w:kern w:val="0"/>
          <w:sz w:val="24"/>
          <w:lang w:bidi="ar"/>
        </w:rPr>
      </w:pPr>
      <w:r>
        <w:rPr>
          <w:rFonts w:hint="eastAsia" w:ascii="宋体" w:hAnsi="宋体" w:cs="宋体"/>
          <w:b/>
          <w:color w:val="auto"/>
          <w:sz w:val="24"/>
        </w:rPr>
        <w:t>三、</w:t>
      </w:r>
      <w:r>
        <w:rPr>
          <w:rStyle w:val="52"/>
          <w:rFonts w:hint="eastAsia" w:ascii="宋体" w:hAnsi="宋体" w:cs="宋体"/>
          <w:b w:val="0"/>
          <w:color w:val="auto"/>
          <w:kern w:val="0"/>
          <w:sz w:val="24"/>
          <w:lang w:bidi="ar"/>
        </w:rPr>
        <w:t>履约保证金</w:t>
      </w:r>
    </w:p>
    <w:p w14:paraId="0C803F74">
      <w:pPr>
        <w:pStyle w:val="62"/>
        <w:keepNext w:val="0"/>
        <w:keepLines w:val="0"/>
        <w:pageBreakBefore w:val="0"/>
        <w:kinsoku/>
        <w:wordWrap/>
        <w:bidi w:val="0"/>
        <w:spacing w:line="360" w:lineRule="auto"/>
        <w:ind w:firstLine="480"/>
        <w:rPr>
          <w:rFonts w:hint="eastAsia" w:ascii="宋体" w:hAnsi="宋体" w:eastAsia="宋体" w:cs="宋体"/>
          <w:color w:val="auto"/>
        </w:rPr>
      </w:pPr>
    </w:p>
    <w:p w14:paraId="3A0BEA02">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四、合同标的交付时间、地点和条件</w:t>
      </w:r>
    </w:p>
    <w:p w14:paraId="0C9D4658">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1.交付时间：</w:t>
      </w:r>
    </w:p>
    <w:p w14:paraId="5055857F">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2.交付地点：</w:t>
      </w:r>
    </w:p>
    <w:p w14:paraId="28FFD0A5">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3.交付条件：</w:t>
      </w:r>
    </w:p>
    <w:p w14:paraId="7C881D4D">
      <w:pPr>
        <w:pStyle w:val="44"/>
        <w:keepNext w:val="0"/>
        <w:keepLines w:val="0"/>
        <w:pageBreakBefore w:val="0"/>
        <w:widowControl/>
        <w:kinsoku/>
        <w:wordWrap/>
        <w:bidi w:val="0"/>
        <w:spacing w:before="0" w:beforeAutospacing="0" w:after="0" w:afterAutospacing="0" w:line="360" w:lineRule="auto"/>
        <w:ind w:firstLine="480" w:firstLineChars="200"/>
        <w:rPr>
          <w:rFonts w:hint="eastAsia" w:ascii="宋体" w:hAnsi="宋体" w:cs="宋体"/>
          <w:color w:val="auto"/>
        </w:rPr>
      </w:pPr>
      <w:r>
        <w:rPr>
          <w:rFonts w:hint="eastAsia" w:ascii="宋体" w:hAnsi="宋体" w:cs="宋体"/>
          <w:color w:val="auto"/>
        </w:rPr>
        <w:t>五、验收：</w:t>
      </w:r>
    </w:p>
    <w:p w14:paraId="4F98F90A">
      <w:pPr>
        <w:keepNext w:val="0"/>
        <w:keepLines w:val="0"/>
        <w:pageBreakBefore w:val="0"/>
        <w:kinsoku/>
        <w:wordWrap/>
        <w:bidi w:val="0"/>
        <w:spacing w:line="360" w:lineRule="auto"/>
        <w:ind w:firstLine="480" w:firstLineChars="200"/>
        <w:rPr>
          <w:rFonts w:hint="eastAsia" w:ascii="宋体" w:hAnsi="宋体" w:cs="宋体"/>
          <w:color w:val="auto"/>
          <w:kern w:val="0"/>
          <w:sz w:val="24"/>
          <w:shd w:val="clear" w:color="auto" w:fill="FFFFFF"/>
        </w:rPr>
      </w:pPr>
    </w:p>
    <w:p w14:paraId="07692ECB">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七、付款方式</w:t>
      </w:r>
    </w:p>
    <w:p w14:paraId="18A64D12">
      <w:pPr>
        <w:pStyle w:val="48"/>
        <w:keepNext w:val="0"/>
        <w:keepLines w:val="0"/>
        <w:pageBreakBefore w:val="0"/>
        <w:kinsoku/>
        <w:wordWrap/>
        <w:bidi w:val="0"/>
        <w:spacing w:line="360" w:lineRule="auto"/>
        <w:rPr>
          <w:rFonts w:hint="eastAsia"/>
          <w:color w:val="auto"/>
        </w:rPr>
      </w:pPr>
    </w:p>
    <w:p w14:paraId="66F5B91D">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八、合同有效期</w:t>
      </w:r>
    </w:p>
    <w:p w14:paraId="3FE623C9">
      <w:pPr>
        <w:keepNext w:val="0"/>
        <w:keepLines w:val="0"/>
        <w:pageBreakBefore w:val="0"/>
        <w:kinsoku/>
        <w:wordWrap/>
        <w:bidi w:val="0"/>
        <w:spacing w:line="360" w:lineRule="auto"/>
        <w:ind w:firstLine="480" w:firstLineChars="200"/>
        <w:rPr>
          <w:rFonts w:hint="eastAsia" w:ascii="宋体" w:hAnsi="宋体" w:cs="宋体"/>
          <w:color w:val="auto"/>
          <w:sz w:val="24"/>
        </w:rPr>
      </w:pPr>
    </w:p>
    <w:p w14:paraId="0B88AE30">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九、违约责任</w:t>
      </w:r>
    </w:p>
    <w:p w14:paraId="0B3CA87D">
      <w:pPr>
        <w:pStyle w:val="20"/>
        <w:keepNext w:val="0"/>
        <w:keepLines w:val="0"/>
        <w:pageBreakBefore w:val="0"/>
        <w:kinsoku/>
        <w:wordWrap/>
        <w:bidi w:val="0"/>
        <w:spacing w:line="360" w:lineRule="auto"/>
        <w:ind w:firstLine="480" w:firstLineChars="200"/>
        <w:rPr>
          <w:rFonts w:hint="eastAsia" w:ascii="宋体" w:hAnsi="宋体" w:cs="宋体"/>
          <w:color w:val="auto"/>
        </w:rPr>
      </w:pPr>
    </w:p>
    <w:p w14:paraId="20D63126">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十、知识产权</w:t>
      </w:r>
    </w:p>
    <w:p w14:paraId="57D32EA1">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1.乙方提供的设备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14:paraId="4621A95F">
      <w:pPr>
        <w:pStyle w:val="62"/>
        <w:keepNext w:val="0"/>
        <w:keepLines w:val="0"/>
        <w:pageBreakBefore w:val="0"/>
        <w:kinsoku/>
        <w:wordWrap/>
        <w:bidi w:val="0"/>
        <w:spacing w:line="360" w:lineRule="auto"/>
        <w:ind w:firstLine="420" w:firstLineChars="200"/>
        <w:rPr>
          <w:rFonts w:hint="eastAsia" w:ascii="宋体" w:hAnsi="宋体" w:eastAsia="宋体" w:cs="宋体"/>
          <w:color w:val="auto"/>
          <w:kern w:val="2"/>
          <w:szCs w:val="24"/>
        </w:rPr>
      </w:pPr>
      <w:r>
        <w:rPr>
          <w:rFonts w:hint="eastAsia" w:ascii="宋体" w:hAnsi="宋体" w:eastAsia="宋体" w:cs="宋体"/>
          <w:color w:val="auto"/>
          <w:kern w:val="2"/>
          <w:szCs w:val="24"/>
        </w:rPr>
        <w:t>2.若乙方提供的设备的不符合国家知识产权法律、法规的规定或被有关主管机关认定为假冒伪劣品，则乙方中标资格将被取消；甲方还将按照有关法律、法规和规章的规定进行处理。</w:t>
      </w:r>
    </w:p>
    <w:p w14:paraId="12C8DE65">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十一、不可抗力</w:t>
      </w:r>
    </w:p>
    <w:p w14:paraId="1FB1DF13">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5D31E19D">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2.本合同中的不可抗力指不能预见、不能避免、不能克服的客观情况，包括但不限于：自然灾害如地震、台风、洪水、火灾及政府行为、法律规定或其适用的变化或其他任何无法预见、避免或控制的事件。</w:t>
      </w:r>
    </w:p>
    <w:p w14:paraId="203F52EF">
      <w:pPr>
        <w:keepNext w:val="0"/>
        <w:keepLines w:val="0"/>
        <w:pageBreakBefore w:val="0"/>
        <w:kinsoku/>
        <w:wordWrap/>
        <w:bidi w:val="0"/>
        <w:spacing w:line="360" w:lineRule="auto"/>
        <w:jc w:val="left"/>
        <w:rPr>
          <w:rFonts w:hint="eastAsia" w:ascii="宋体" w:hAnsi="宋体" w:cs="宋体"/>
          <w:bCs/>
          <w:color w:val="auto"/>
          <w:sz w:val="24"/>
        </w:rPr>
      </w:pPr>
      <w:r>
        <w:rPr>
          <w:rFonts w:hint="eastAsia" w:ascii="宋体" w:hAnsi="宋体" w:cs="宋体"/>
          <w:bCs/>
          <w:color w:val="auto"/>
          <w:sz w:val="24"/>
        </w:rPr>
        <w:t>　　十二、保密条款</w:t>
      </w:r>
    </w:p>
    <w:p w14:paraId="4271741F">
      <w:pPr>
        <w:pStyle w:val="44"/>
        <w:keepNext w:val="0"/>
        <w:keepLines w:val="0"/>
        <w:pageBreakBefore w:val="0"/>
        <w:widowControl/>
        <w:suppressLineNumbers w:val="0"/>
        <w:kinsoku/>
        <w:wordWrap/>
        <w:autoSpaceDE w:val="0"/>
        <w:autoSpaceDN/>
        <w:bidi w:val="0"/>
        <w:spacing w:before="0" w:beforeAutospacing="0" w:after="0" w:afterAutospacing="0" w:line="360" w:lineRule="auto"/>
        <w:ind w:left="0" w:right="0" w:firstLine="480"/>
        <w:jc w:val="left"/>
        <w:rPr>
          <w:rFonts w:hint="eastAsia" w:ascii="宋体" w:hAnsi="宋体" w:eastAsia="宋体" w:cs="宋体"/>
          <w:bCs/>
          <w:color w:val="auto"/>
          <w:kern w:val="0"/>
          <w:sz w:val="24"/>
          <w:szCs w:val="24"/>
        </w:rPr>
      </w:pPr>
      <w:r>
        <w:rPr>
          <w:rFonts w:hint="eastAsia" w:ascii="宋体" w:hAnsi="宋体" w:cs="宋体"/>
          <w:bCs/>
          <w:color w:val="auto"/>
          <w:kern w:val="0"/>
          <w:sz w:val="24"/>
          <w:szCs w:val="24"/>
          <w:shd w:val="clear" w:color="auto" w:fill="FFFFFF"/>
          <w:lang w:val="en-US" w:eastAsia="zh-CN" w:bidi="ar"/>
        </w:rPr>
        <w:t>1.乙方</w:t>
      </w:r>
      <w:r>
        <w:rPr>
          <w:rFonts w:hint="eastAsia" w:ascii="宋体" w:hAnsi="宋体" w:eastAsia="宋体" w:cs="宋体"/>
          <w:bCs/>
          <w:color w:val="auto"/>
          <w:kern w:val="0"/>
          <w:sz w:val="24"/>
          <w:szCs w:val="24"/>
          <w:shd w:val="clear" w:color="auto" w:fill="FFFFFF"/>
          <w:lang w:val="en-US" w:eastAsia="zh-CN" w:bidi="ar"/>
        </w:rPr>
        <w:t>要认真遵守国家保密法律、法规和规章制度，履行保密义务；乙方进入</w:t>
      </w:r>
      <w:r>
        <w:rPr>
          <w:rFonts w:hint="eastAsia" w:ascii="宋体" w:hAnsi="宋体" w:cs="宋体"/>
          <w:bCs/>
          <w:color w:val="auto"/>
          <w:kern w:val="0"/>
          <w:sz w:val="24"/>
          <w:szCs w:val="24"/>
          <w:shd w:val="clear" w:color="auto" w:fill="FFFFFF"/>
          <w:lang w:val="en-US" w:eastAsia="zh-CN" w:bidi="ar"/>
        </w:rPr>
        <w:t>甲方</w:t>
      </w:r>
      <w:r>
        <w:rPr>
          <w:rFonts w:hint="eastAsia" w:ascii="宋体" w:hAnsi="宋体" w:eastAsia="宋体" w:cs="宋体"/>
          <w:bCs/>
          <w:color w:val="auto"/>
          <w:kern w:val="0"/>
          <w:sz w:val="24"/>
          <w:szCs w:val="24"/>
          <w:shd w:val="clear" w:color="auto" w:fill="FFFFFF"/>
          <w:lang w:val="en-US" w:eastAsia="zh-CN" w:bidi="ar"/>
        </w:rPr>
        <w:t>工作区域的工作人员需签订《保密承诺书》，要严格履行保密义务，不得违规记录、存储、复制国家秘密、工作秘密和内部管理信息，不以任何方式泄露所接触和知悉的国家秘密、工作秘密和内部管理信息，不得对甲方工作信息资料、工作场所、内部场景等进行拍照、录像，不得将甲方有关秘密、内部管理信息、工作场所场景通过微信、抖音等上传自媒体，严禁将甲方工作文件等内部资料泄露出去，如发生泄露、泄密行为，乙方及其工作人员将承担相应责任和法律后果。</w:t>
      </w:r>
    </w:p>
    <w:p w14:paraId="16765E56">
      <w:pPr>
        <w:pStyle w:val="44"/>
        <w:keepNext w:val="0"/>
        <w:keepLines w:val="0"/>
        <w:pageBreakBefore w:val="0"/>
        <w:widowControl/>
        <w:suppressLineNumbers w:val="0"/>
        <w:kinsoku/>
        <w:wordWrap/>
        <w:autoSpaceDE w:val="0"/>
        <w:autoSpaceDN/>
        <w:bidi w:val="0"/>
        <w:spacing w:before="0" w:beforeAutospacing="0" w:after="0" w:afterAutospacing="0" w:line="360" w:lineRule="auto"/>
        <w:ind w:left="0" w:right="0" w:firstLine="480"/>
        <w:jc w:val="left"/>
        <w:rPr>
          <w:rFonts w:hint="eastAsia" w:ascii="宋体" w:hAnsi="宋体" w:eastAsia="宋体" w:cs="宋体"/>
          <w:bCs/>
          <w:color w:val="auto"/>
          <w:kern w:val="0"/>
          <w:sz w:val="24"/>
          <w:szCs w:val="24"/>
          <w:shd w:val="clear" w:color="auto" w:fill="FFFFFF"/>
        </w:rPr>
      </w:pPr>
      <w:r>
        <w:rPr>
          <w:rFonts w:hint="eastAsia" w:ascii="宋体" w:hAnsi="宋体" w:cs="宋体"/>
          <w:bCs/>
          <w:color w:val="auto"/>
          <w:kern w:val="0"/>
          <w:sz w:val="24"/>
          <w:szCs w:val="24"/>
          <w:shd w:val="clear" w:color="auto" w:fill="FFFFFF"/>
          <w:lang w:val="en-US" w:eastAsia="zh-CN" w:bidi="ar"/>
        </w:rPr>
        <w:t>2.</w:t>
      </w:r>
      <w:r>
        <w:rPr>
          <w:rFonts w:hint="eastAsia" w:ascii="宋体" w:hAnsi="宋体" w:eastAsia="宋体" w:cs="宋体"/>
          <w:bCs/>
          <w:color w:val="auto"/>
          <w:kern w:val="0"/>
          <w:sz w:val="24"/>
          <w:szCs w:val="24"/>
          <w:shd w:val="clear" w:color="auto" w:fill="FFFFFF"/>
          <w:lang w:val="en-US" w:eastAsia="zh-CN" w:bidi="ar"/>
        </w:rPr>
        <w:t>乙方必须为保障相关人员组织学习保密要求，针对调换人员保密要求制定应急预案，因保密管理要求造成无法供货等所产生的所有相关责任及经济损失都由乙方承担。</w:t>
      </w:r>
    </w:p>
    <w:p w14:paraId="0D6A84FF">
      <w:pPr>
        <w:pStyle w:val="44"/>
        <w:keepNext w:val="0"/>
        <w:keepLines w:val="0"/>
        <w:pageBreakBefore w:val="0"/>
        <w:widowControl/>
        <w:suppressLineNumbers w:val="0"/>
        <w:kinsoku/>
        <w:wordWrap/>
        <w:autoSpaceDE w:val="0"/>
        <w:autoSpaceDN/>
        <w:bidi w:val="0"/>
        <w:spacing w:before="0" w:beforeAutospacing="0" w:after="0" w:afterAutospacing="0" w:line="360" w:lineRule="auto"/>
        <w:ind w:left="0" w:right="0" w:firstLine="480"/>
        <w:jc w:val="left"/>
        <w:rPr>
          <w:rFonts w:hint="eastAsia" w:ascii="宋体" w:hAnsi="宋体" w:cs="宋体"/>
          <w:color w:val="auto"/>
          <w:sz w:val="24"/>
        </w:rPr>
      </w:pPr>
      <w:r>
        <w:rPr>
          <w:rFonts w:hint="eastAsia" w:ascii="宋体" w:hAnsi="宋体" w:cs="宋体"/>
          <w:b/>
          <w:bCs w:val="0"/>
          <w:color w:val="auto"/>
          <w:kern w:val="0"/>
          <w:sz w:val="24"/>
          <w:szCs w:val="24"/>
          <w:lang w:val="en-US" w:eastAsia="zh-CN" w:bidi="ar"/>
        </w:rPr>
        <w:t>3.</w:t>
      </w:r>
      <w:r>
        <w:rPr>
          <w:rFonts w:hint="eastAsia" w:ascii="宋体" w:hAnsi="宋体" w:eastAsia="宋体" w:cs="宋体"/>
          <w:color w:val="auto"/>
          <w:kern w:val="0"/>
          <w:sz w:val="24"/>
          <w:szCs w:val="24"/>
          <w:lang w:val="en-US" w:eastAsia="zh-CN" w:bidi="ar"/>
        </w:rPr>
        <w:t>本条款不因合同届满或解除而失效。</w:t>
      </w:r>
    </w:p>
    <w:p w14:paraId="634E6F93">
      <w:pPr>
        <w:pStyle w:val="352"/>
        <w:keepNext w:val="0"/>
        <w:keepLines w:val="0"/>
        <w:pageBreakBefore w:val="0"/>
        <w:kinsoku/>
        <w:wordWrap/>
        <w:bidi w:val="0"/>
        <w:spacing w:line="360" w:lineRule="auto"/>
        <w:ind w:firstLine="0" w:firstLineChars="0"/>
        <w:rPr>
          <w:rFonts w:hint="eastAsia" w:ascii="宋体" w:hAnsi="宋体" w:cs="宋体"/>
          <w:color w:val="auto"/>
          <w:sz w:val="24"/>
        </w:rPr>
      </w:pPr>
      <w:r>
        <w:rPr>
          <w:rFonts w:hint="eastAsia" w:ascii="宋体" w:hAnsi="宋体" w:cs="宋体"/>
          <w:color w:val="auto"/>
          <w:sz w:val="24"/>
        </w:rPr>
        <w:t>　　十三、廉政条款</w:t>
      </w:r>
    </w:p>
    <w:p w14:paraId="4A6EAEF5">
      <w:pPr>
        <w:pStyle w:val="352"/>
        <w:keepNext w:val="0"/>
        <w:keepLines w:val="0"/>
        <w:pageBreakBefore w:val="0"/>
        <w:kinsoku/>
        <w:wordWrap/>
        <w:bidi w:val="0"/>
        <w:spacing w:line="360" w:lineRule="auto"/>
        <w:ind w:firstLine="0" w:firstLineChars="0"/>
        <w:jc w:val="left"/>
        <w:rPr>
          <w:rFonts w:hint="eastAsia" w:ascii="宋体" w:hAnsi="宋体" w:cs="宋体"/>
          <w:color w:val="auto"/>
          <w:sz w:val="24"/>
        </w:rPr>
      </w:pPr>
      <w:r>
        <w:rPr>
          <w:rFonts w:hint="eastAsia" w:ascii="宋体" w:hAnsi="宋体" w:cs="宋体"/>
          <w:color w:val="auto"/>
          <w:sz w:val="24"/>
        </w:rPr>
        <w:t>　　</w:t>
      </w:r>
      <w:r>
        <w:rPr>
          <w:rFonts w:hint="eastAsia" w:ascii="宋体" w:hAnsi="宋体" w:cs="宋体"/>
          <w:color w:val="auto"/>
          <w:sz w:val="24"/>
          <w:lang w:val="en-US" w:eastAsia="zh-CN"/>
        </w:rPr>
        <w:t>乙方</w:t>
      </w:r>
      <w:r>
        <w:rPr>
          <w:rFonts w:hint="eastAsia" w:ascii="宋体" w:hAnsi="宋体" w:cs="宋体"/>
          <w:color w:val="auto"/>
          <w:sz w:val="24"/>
        </w:rPr>
        <w:t>及其工作人员不得有以任何形式行贿</w:t>
      </w:r>
      <w:r>
        <w:rPr>
          <w:rFonts w:hint="eastAsia" w:ascii="宋体" w:hAnsi="宋体" w:cs="宋体"/>
          <w:color w:val="auto"/>
          <w:sz w:val="24"/>
          <w:lang w:val="en-US" w:eastAsia="zh-CN"/>
        </w:rPr>
        <w:t>甲方</w:t>
      </w:r>
      <w:r>
        <w:rPr>
          <w:rFonts w:hint="eastAsia" w:ascii="宋体" w:hAnsi="宋体" w:cs="宋体"/>
          <w:color w:val="auto"/>
          <w:sz w:val="24"/>
        </w:rPr>
        <w:t>工作人员的行为，若发现并被核查属实的，</w:t>
      </w:r>
      <w:r>
        <w:rPr>
          <w:rFonts w:hint="eastAsia" w:ascii="宋体" w:hAnsi="宋体" w:cs="宋体"/>
          <w:color w:val="auto"/>
          <w:sz w:val="24"/>
          <w:lang w:val="en-US" w:eastAsia="zh-CN"/>
        </w:rPr>
        <w:t>甲方</w:t>
      </w:r>
      <w:r>
        <w:rPr>
          <w:rFonts w:hint="eastAsia" w:ascii="宋体" w:hAnsi="宋体" w:cs="宋体"/>
          <w:color w:val="auto"/>
          <w:sz w:val="24"/>
        </w:rPr>
        <w:t>有权解除合同且不退还履约保证金，同时将</w:t>
      </w:r>
      <w:r>
        <w:rPr>
          <w:rFonts w:hint="eastAsia" w:ascii="宋体" w:hAnsi="宋体" w:cs="宋体"/>
          <w:color w:val="auto"/>
          <w:sz w:val="24"/>
          <w:lang w:val="en-US" w:eastAsia="zh-CN"/>
        </w:rPr>
        <w:t>乙方</w:t>
      </w:r>
      <w:r>
        <w:rPr>
          <w:rFonts w:hint="eastAsia" w:ascii="宋体" w:hAnsi="宋体" w:cs="宋体"/>
          <w:color w:val="auto"/>
          <w:sz w:val="24"/>
        </w:rPr>
        <w:t>列入不良行为记录名单；若合同履行完毕，并且已经退还履约保证金的，将对</w:t>
      </w:r>
      <w:r>
        <w:rPr>
          <w:rFonts w:hint="eastAsia" w:ascii="宋体" w:hAnsi="宋体" w:cs="宋体"/>
          <w:color w:val="auto"/>
          <w:sz w:val="24"/>
          <w:lang w:val="en-US" w:eastAsia="zh-CN"/>
        </w:rPr>
        <w:t>乙方</w:t>
      </w:r>
      <w:r>
        <w:rPr>
          <w:rFonts w:hint="eastAsia" w:ascii="宋体" w:hAnsi="宋体" w:cs="宋体"/>
          <w:color w:val="auto"/>
          <w:sz w:val="24"/>
        </w:rPr>
        <w:t>列入不良行为记录名单；情形严重的，</w:t>
      </w:r>
      <w:r>
        <w:rPr>
          <w:rFonts w:hint="eastAsia" w:ascii="宋体" w:hAnsi="宋体" w:cs="宋体"/>
          <w:color w:val="auto"/>
          <w:sz w:val="24"/>
          <w:lang w:val="en-US" w:eastAsia="zh-CN"/>
        </w:rPr>
        <w:t>乙方</w:t>
      </w:r>
      <w:r>
        <w:rPr>
          <w:rFonts w:hint="eastAsia" w:ascii="宋体" w:hAnsi="宋体" w:cs="宋体"/>
          <w:color w:val="auto"/>
          <w:sz w:val="24"/>
        </w:rPr>
        <w:t>及其工作人员还要承担相应的法律责任；</w:t>
      </w:r>
      <w:r>
        <w:rPr>
          <w:rFonts w:hint="eastAsia" w:ascii="宋体" w:hAnsi="宋体" w:cs="宋体"/>
          <w:color w:val="auto"/>
          <w:sz w:val="24"/>
          <w:lang w:val="en-US" w:eastAsia="zh-CN"/>
        </w:rPr>
        <w:t>甲方</w:t>
      </w:r>
      <w:r>
        <w:rPr>
          <w:rFonts w:hint="eastAsia" w:ascii="宋体" w:hAnsi="宋体" w:cs="宋体"/>
          <w:color w:val="auto"/>
          <w:sz w:val="24"/>
        </w:rPr>
        <w:t>及其工作人员不得索要或接受</w:t>
      </w:r>
      <w:r>
        <w:rPr>
          <w:rFonts w:hint="eastAsia" w:ascii="宋体" w:hAnsi="宋体" w:cs="宋体"/>
          <w:color w:val="auto"/>
          <w:sz w:val="24"/>
          <w:lang w:val="en-US" w:eastAsia="zh-CN"/>
        </w:rPr>
        <w:t>乙方</w:t>
      </w:r>
      <w:r>
        <w:rPr>
          <w:rFonts w:hint="eastAsia" w:ascii="宋体" w:hAnsi="宋体" w:cs="宋体"/>
          <w:color w:val="auto"/>
          <w:sz w:val="24"/>
        </w:rPr>
        <w:t>的礼金及吃请等，如有违反廉政纪律等行为的，依据有关规定给予党纪、政纪或组织处理，情节严重的，还应承担相应的法律责任。</w:t>
      </w:r>
    </w:p>
    <w:p w14:paraId="29D2877B">
      <w:pPr>
        <w:pStyle w:val="20"/>
        <w:keepNext w:val="0"/>
        <w:keepLines w:val="0"/>
        <w:pageBreakBefore w:val="0"/>
        <w:kinsoku/>
        <w:wordWrap/>
        <w:bidi w:val="0"/>
        <w:adjustRightInd w:val="0"/>
        <w:snapToGrid w:val="0"/>
        <w:spacing w:line="360" w:lineRule="auto"/>
        <w:rPr>
          <w:rFonts w:hint="eastAsia" w:ascii="宋体" w:hAnsi="宋体" w:cs="宋体"/>
          <w:bCs/>
          <w:color w:val="auto"/>
        </w:rPr>
      </w:pPr>
      <w:r>
        <w:rPr>
          <w:rFonts w:hint="eastAsia" w:ascii="宋体" w:hAnsi="宋体" w:cs="宋体"/>
          <w:bCs/>
          <w:color w:val="auto"/>
        </w:rPr>
        <w:t>　　十四、合同纠纷处理方式</w:t>
      </w:r>
    </w:p>
    <w:p w14:paraId="7E82F69C">
      <w:pPr>
        <w:pStyle w:val="20"/>
        <w:keepNext w:val="0"/>
        <w:keepLines w:val="0"/>
        <w:pageBreakBefore w:val="0"/>
        <w:kinsoku/>
        <w:wordWrap/>
        <w:bidi w:val="0"/>
        <w:adjustRightInd w:val="0"/>
        <w:snapToGrid w:val="0"/>
        <w:spacing w:line="360" w:lineRule="auto"/>
        <w:rPr>
          <w:rFonts w:hint="eastAsia" w:ascii="宋体" w:hAnsi="宋体" w:cs="宋体"/>
          <w:color w:val="auto"/>
        </w:rPr>
      </w:pPr>
      <w:r>
        <w:rPr>
          <w:rFonts w:hint="eastAsia" w:ascii="宋体" w:hAnsi="宋体" w:cs="宋体"/>
          <w:b/>
          <w:color w:val="auto"/>
        </w:rPr>
        <w:t>　　</w:t>
      </w:r>
      <w:r>
        <w:rPr>
          <w:rFonts w:hint="eastAsia" w:ascii="宋体" w:hAnsi="宋体" w:cs="宋体"/>
          <w:color w:val="auto"/>
        </w:rPr>
        <w:t>1.合同争议处理方式</w:t>
      </w:r>
    </w:p>
    <w:p w14:paraId="09855C2D">
      <w:pPr>
        <w:pStyle w:val="20"/>
        <w:keepNext w:val="0"/>
        <w:keepLines w:val="0"/>
        <w:pageBreakBefore w:val="0"/>
        <w:kinsoku/>
        <w:wordWrap/>
        <w:bidi w:val="0"/>
        <w:adjustRightInd w:val="0"/>
        <w:snapToGrid w:val="0"/>
        <w:spacing w:line="360" w:lineRule="auto"/>
        <w:rPr>
          <w:rFonts w:hint="eastAsia" w:ascii="宋体" w:hAnsi="宋体" w:cs="宋体"/>
          <w:color w:val="auto"/>
        </w:rPr>
      </w:pPr>
      <w:r>
        <w:rPr>
          <w:rFonts w:hint="eastAsia" w:ascii="宋体" w:hAnsi="宋体" w:cs="宋体"/>
          <w:color w:val="auto"/>
        </w:rPr>
        <w:t>　　甲乙双方必须认真履行合同条款。因本合同或与本合同有关的一切事项发生争议，由双方友好协商解决，协商不成的，任何一方均可向甲方所在地人民法院提起诉讼。</w:t>
      </w:r>
    </w:p>
    <w:p w14:paraId="66F69175">
      <w:pPr>
        <w:pStyle w:val="20"/>
        <w:keepNext w:val="0"/>
        <w:keepLines w:val="0"/>
        <w:pageBreakBefore w:val="0"/>
        <w:kinsoku/>
        <w:wordWrap/>
        <w:bidi w:val="0"/>
        <w:adjustRightInd w:val="0"/>
        <w:snapToGrid w:val="0"/>
        <w:spacing w:line="360" w:lineRule="auto"/>
        <w:rPr>
          <w:rFonts w:hint="eastAsia" w:ascii="宋体" w:hAnsi="宋体" w:cs="宋体"/>
          <w:color w:val="auto"/>
        </w:rPr>
      </w:pPr>
      <w:r>
        <w:rPr>
          <w:rFonts w:hint="eastAsia" w:ascii="宋体" w:hAnsi="宋体" w:cs="宋体"/>
          <w:b/>
          <w:color w:val="auto"/>
        </w:rPr>
        <w:t>　</w:t>
      </w:r>
      <w:r>
        <w:rPr>
          <w:rFonts w:hint="eastAsia" w:ascii="宋体" w:hAnsi="宋体" w:cs="宋体"/>
          <w:color w:val="auto"/>
        </w:rPr>
        <w:t>　2.合同补充和修改</w:t>
      </w:r>
    </w:p>
    <w:p w14:paraId="77B5B15C">
      <w:pPr>
        <w:pStyle w:val="20"/>
        <w:keepNext w:val="0"/>
        <w:keepLines w:val="0"/>
        <w:pageBreakBefore w:val="0"/>
        <w:kinsoku/>
        <w:wordWrap/>
        <w:bidi w:val="0"/>
        <w:adjustRightInd w:val="0"/>
        <w:snapToGrid w:val="0"/>
        <w:spacing w:line="360" w:lineRule="auto"/>
        <w:rPr>
          <w:rFonts w:hint="eastAsia" w:ascii="宋体" w:hAnsi="宋体" w:cs="宋体"/>
          <w:color w:val="auto"/>
        </w:rPr>
      </w:pPr>
      <w:r>
        <w:rPr>
          <w:rFonts w:hint="eastAsia" w:ascii="宋体" w:hAnsi="宋体" w:cs="宋体"/>
          <w:color w:val="auto"/>
        </w:rPr>
        <w:t>　　本合同生效后，双方对合同内容的变更或补充应采取书面形式，并经双方签字并盖章确认。</w:t>
      </w:r>
    </w:p>
    <w:p w14:paraId="4B2FCE82">
      <w:pPr>
        <w:pStyle w:val="20"/>
        <w:keepNext w:val="0"/>
        <w:keepLines w:val="0"/>
        <w:pageBreakBefore w:val="0"/>
        <w:kinsoku/>
        <w:wordWrap/>
        <w:bidi w:val="0"/>
        <w:adjustRightInd w:val="0"/>
        <w:snapToGrid w:val="0"/>
        <w:spacing w:line="360" w:lineRule="auto"/>
        <w:ind w:firstLine="480" w:firstLineChars="200"/>
        <w:rPr>
          <w:rFonts w:hint="eastAsia" w:ascii="宋体" w:hAnsi="宋体" w:cs="宋体"/>
          <w:bCs/>
          <w:color w:val="auto"/>
        </w:rPr>
      </w:pPr>
      <w:r>
        <w:rPr>
          <w:rFonts w:hint="eastAsia" w:ascii="宋体" w:hAnsi="宋体" w:cs="宋体"/>
          <w:bCs/>
          <w:color w:val="auto"/>
        </w:rPr>
        <w:t>十五、其他</w:t>
      </w:r>
    </w:p>
    <w:p w14:paraId="5661BE20">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1.本采购项目的</w:t>
      </w:r>
      <w:r>
        <w:rPr>
          <w:rFonts w:hint="eastAsia" w:ascii="宋体" w:hAnsi="宋体" w:cs="宋体"/>
          <w:color w:val="auto"/>
          <w:sz w:val="24"/>
          <w:lang w:eastAsia="zh-CN"/>
        </w:rPr>
        <w:t>磋商文件</w:t>
      </w:r>
      <w:r>
        <w:rPr>
          <w:rFonts w:hint="eastAsia" w:ascii="宋体" w:hAnsi="宋体" w:cs="宋体"/>
          <w:color w:val="auto"/>
          <w:sz w:val="24"/>
        </w:rPr>
        <w:t>、乙方的</w:t>
      </w:r>
      <w:r>
        <w:rPr>
          <w:rFonts w:hint="eastAsia" w:ascii="宋体" w:hAnsi="宋体" w:cs="宋体"/>
          <w:color w:val="auto"/>
          <w:sz w:val="24"/>
          <w:lang w:eastAsia="zh-CN"/>
        </w:rPr>
        <w:t>响应文件</w:t>
      </w:r>
      <w:r>
        <w:rPr>
          <w:rFonts w:hint="eastAsia" w:ascii="宋体" w:hAnsi="宋体" w:cs="宋体"/>
          <w:color w:val="auto"/>
          <w:sz w:val="24"/>
        </w:rPr>
        <w:t>以及相关的承诺等均为本合同不可分割的一部分，与本合同具有同等法律效力。</w:t>
      </w:r>
    </w:p>
    <w:p w14:paraId="0F6334DB">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2.本合同一式五份，经双方法定代表人或其授权代表签名并盖章后生效。甲方、乙方各执二份，送一份至招标代理备案，具有同等效力。</w:t>
      </w:r>
    </w:p>
    <w:p w14:paraId="63FAB593">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（以下无正文）</w:t>
      </w:r>
    </w:p>
    <w:p w14:paraId="2D528B13">
      <w:pPr>
        <w:keepNext w:val="0"/>
        <w:keepLines w:val="0"/>
        <w:pageBreakBefore w:val="0"/>
        <w:kinsoku/>
        <w:wordWrap/>
        <w:bidi w:val="0"/>
        <w:spacing w:line="360" w:lineRule="auto"/>
        <w:ind w:firstLine="480" w:firstLineChars="200"/>
        <w:rPr>
          <w:rFonts w:hint="eastAsia" w:ascii="宋体" w:hAnsi="宋体" w:cs="宋体"/>
          <w:color w:val="auto"/>
          <w:sz w:val="24"/>
        </w:rPr>
      </w:pPr>
    </w:p>
    <w:p w14:paraId="2DF78106">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甲    方：                            乙    方：</w:t>
      </w:r>
    </w:p>
    <w:p w14:paraId="2BCF77A0">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单位地址：                            单位地址：</w:t>
      </w:r>
    </w:p>
    <w:p w14:paraId="285ECB6B">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法定代表人：                          法定代表人：</w:t>
      </w:r>
    </w:p>
    <w:p w14:paraId="687C402F">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委托代理人：                          委托代理人：</w:t>
      </w:r>
    </w:p>
    <w:p w14:paraId="79BA6F60">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电    话：                            电    话：</w:t>
      </w:r>
    </w:p>
    <w:p w14:paraId="6A8E560D">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开户银行：                            开户银行：</w:t>
      </w:r>
    </w:p>
    <w:p w14:paraId="6A7043A6">
      <w:pPr>
        <w:keepNext w:val="0"/>
        <w:keepLines w:val="0"/>
        <w:pageBreakBefore w:val="0"/>
        <w:kinsoku/>
        <w:wordWrap/>
        <w:bidi w:val="0"/>
        <w:spacing w:line="360" w:lineRule="auto"/>
        <w:ind w:firstLine="480" w:firstLineChars="200"/>
        <w:rPr>
          <w:rFonts w:hint="eastAsia" w:ascii="宋体" w:hAnsi="宋体" w:cs="宋体"/>
          <w:color w:val="auto"/>
          <w:sz w:val="24"/>
        </w:rPr>
      </w:pPr>
      <w:r>
        <w:rPr>
          <w:rFonts w:hint="eastAsia" w:ascii="宋体" w:hAnsi="宋体" w:cs="宋体"/>
          <w:color w:val="auto"/>
          <w:sz w:val="24"/>
        </w:rPr>
        <w:t>账    号：                            账    号：</w:t>
      </w:r>
    </w:p>
    <w:p w14:paraId="73287B8D">
      <w:pPr>
        <w:keepNext w:val="0"/>
        <w:keepLines w:val="0"/>
        <w:pageBreakBefore w:val="0"/>
        <w:kinsoku/>
        <w:wordWrap/>
        <w:bidi w:val="0"/>
        <w:spacing w:line="360" w:lineRule="auto"/>
        <w:ind w:firstLine="480" w:firstLineChars="200"/>
        <w:rPr>
          <w:rFonts w:hint="eastAsia" w:ascii="宋体" w:hAnsi="宋体" w:cs="宋体"/>
          <w:color w:val="auto"/>
          <w:szCs w:val="21"/>
        </w:rPr>
      </w:pPr>
      <w:r>
        <w:rPr>
          <w:rFonts w:hint="eastAsia" w:ascii="宋体" w:hAnsi="宋体" w:cs="宋体"/>
          <w:color w:val="auto"/>
          <w:sz w:val="24"/>
        </w:rPr>
        <w:t>日    期：                            日    期：</w:t>
      </w:r>
    </w:p>
    <w:p w14:paraId="44A178C4">
      <w:pPr>
        <w:keepNext w:val="0"/>
        <w:keepLines w:val="0"/>
        <w:pageBreakBefore w:val="0"/>
        <w:kinsoku/>
        <w:wordWrap/>
        <w:bidi w:val="0"/>
        <w:spacing w:line="360" w:lineRule="auto"/>
        <w:rPr>
          <w:rFonts w:hint="eastAsia" w:ascii="宋体" w:hAnsi="宋体" w:cs="宋体"/>
          <w:color w:val="auto"/>
          <w:sz w:val="24"/>
        </w:rPr>
      </w:pPr>
    </w:p>
    <w:p w14:paraId="439D8709">
      <w:pPr>
        <w:autoSpaceDE w:val="0"/>
        <w:autoSpaceDN w:val="0"/>
        <w:adjustRightInd w:val="0"/>
        <w:spacing w:line="360" w:lineRule="auto"/>
        <w:rPr>
          <w:rFonts w:hint="eastAsia" w:ascii="宋体" w:hAnsi="宋体" w:cs="宋体"/>
          <w:color w:val="auto"/>
          <w:szCs w:val="21"/>
        </w:rPr>
      </w:pPr>
    </w:p>
    <w:p w14:paraId="4F49105F">
      <w:pPr>
        <w:pStyle w:val="27"/>
        <w:spacing w:line="360" w:lineRule="auto"/>
        <w:jc w:val="center"/>
        <w:outlineLvl w:val="0"/>
        <w:rPr>
          <w:rFonts w:hint="eastAsia" w:hAnsi="宋体" w:cs="宋体"/>
          <w:color w:val="auto"/>
          <w:sz w:val="24"/>
        </w:rPr>
      </w:pPr>
      <w:r>
        <w:rPr>
          <w:rFonts w:hint="eastAsia" w:hAnsi="宋体" w:cs="宋体"/>
          <w:color w:val="auto"/>
          <w:sz w:val="24"/>
          <w:szCs w:val="24"/>
        </w:rPr>
        <w:br w:type="page"/>
      </w:r>
      <w:bookmarkStart w:id="154" w:name="_Toc12704"/>
      <w:r>
        <w:rPr>
          <w:rFonts w:hint="eastAsia" w:hAnsi="宋体" w:cs="宋体"/>
          <w:b/>
          <w:color w:val="auto"/>
          <w:sz w:val="36"/>
        </w:rPr>
        <w:t>第五章 响应文件格式</w:t>
      </w:r>
      <w:bookmarkEnd w:id="150"/>
      <w:bookmarkEnd w:id="151"/>
      <w:bookmarkEnd w:id="152"/>
      <w:bookmarkEnd w:id="153"/>
      <w:bookmarkEnd w:id="154"/>
    </w:p>
    <w:p w14:paraId="494C5F83">
      <w:pPr>
        <w:spacing w:line="360" w:lineRule="auto"/>
        <w:jc w:val="center"/>
        <w:rPr>
          <w:rFonts w:hint="eastAsia" w:ascii="宋体" w:hAnsi="宋体" w:cs="宋体"/>
          <w:b/>
          <w:color w:val="auto"/>
          <w:sz w:val="36"/>
        </w:rPr>
      </w:pPr>
    </w:p>
    <w:p w14:paraId="279BEAD4">
      <w:pPr>
        <w:spacing w:line="360" w:lineRule="auto"/>
        <w:jc w:val="center"/>
        <w:rPr>
          <w:rFonts w:hint="eastAsia" w:ascii="宋体" w:hAnsi="宋体" w:cs="宋体"/>
          <w:b/>
          <w:color w:val="auto"/>
          <w:sz w:val="36"/>
        </w:rPr>
      </w:pPr>
    </w:p>
    <w:p w14:paraId="1D366AB3">
      <w:pPr>
        <w:spacing w:line="360" w:lineRule="auto"/>
        <w:jc w:val="center"/>
        <w:rPr>
          <w:rFonts w:hint="eastAsia" w:ascii="宋体" w:hAnsi="宋体" w:cs="宋体"/>
          <w:b/>
          <w:color w:val="auto"/>
          <w:sz w:val="36"/>
        </w:rPr>
      </w:pPr>
    </w:p>
    <w:tbl>
      <w:tblPr>
        <w:tblStyle w:val="4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9"/>
      </w:tblGrid>
      <w:tr w14:paraId="78EF2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6" w:hRule="atLeast"/>
          <w:jc w:val="center"/>
        </w:trPr>
        <w:tc>
          <w:tcPr>
            <w:tcW w:w="8529" w:type="dxa"/>
            <w:noWrap w:val="0"/>
            <w:vAlign w:val="center"/>
          </w:tcPr>
          <w:p w14:paraId="7EA81A6A">
            <w:pPr>
              <w:keepNext w:val="0"/>
              <w:keepLines w:val="0"/>
              <w:suppressLineNumbers w:val="0"/>
              <w:spacing w:before="0" w:beforeAutospacing="0" w:after="0" w:afterAutospacing="0" w:line="360" w:lineRule="auto"/>
              <w:ind w:left="0" w:right="0"/>
              <w:rPr>
                <w:rFonts w:hint="eastAsia" w:ascii="宋体" w:hAnsi="宋体" w:cs="宋体"/>
                <w:b/>
                <w:color w:val="auto"/>
                <w:sz w:val="28"/>
                <w:szCs w:val="28"/>
                <w:u w:val="single"/>
              </w:rPr>
            </w:pPr>
            <w:r>
              <w:rPr>
                <w:rFonts w:hint="eastAsia" w:ascii="宋体" w:hAnsi="宋体" w:cs="宋体"/>
                <w:b/>
                <w:color w:val="auto"/>
                <w:sz w:val="28"/>
                <w:szCs w:val="28"/>
                <w:u w:val="single"/>
              </w:rPr>
              <w:t>注:本附件所有格式仅供制作响应文件时参考，供应商应根据行业特点结合本次采购的技术规格要求，对有关表格进行补充或修改，但不得对实质性文件的相关条款做出变动。</w:t>
            </w:r>
          </w:p>
        </w:tc>
      </w:tr>
    </w:tbl>
    <w:p w14:paraId="3F9D49AD">
      <w:pPr>
        <w:jc w:val="center"/>
        <w:rPr>
          <w:rFonts w:hint="eastAsia" w:ascii="宋体" w:hAnsi="宋体" w:cs="宋体"/>
          <w:b/>
          <w:color w:val="auto"/>
          <w:sz w:val="72"/>
        </w:rPr>
      </w:pPr>
    </w:p>
    <w:p w14:paraId="1EFD8B2B">
      <w:pPr>
        <w:spacing w:line="360" w:lineRule="auto"/>
        <w:jc w:val="center"/>
        <w:rPr>
          <w:rFonts w:hint="eastAsia" w:ascii="宋体" w:hAnsi="宋体" w:cs="宋体"/>
          <w:b/>
          <w:color w:val="auto"/>
          <w:sz w:val="24"/>
        </w:rPr>
      </w:pPr>
      <w:r>
        <w:rPr>
          <w:rFonts w:hint="eastAsia" w:ascii="宋体" w:hAnsi="宋体" w:cs="宋体"/>
          <w:color w:val="auto"/>
        </w:rPr>
        <w:br w:type="page"/>
      </w:r>
      <w:r>
        <w:rPr>
          <w:rFonts w:hint="eastAsia" w:ascii="宋体" w:hAnsi="宋体" w:cs="宋体"/>
          <w:b/>
          <w:color w:val="auto"/>
          <w:sz w:val="24"/>
        </w:rPr>
        <w:t xml:space="preserve"> </w:t>
      </w:r>
    </w:p>
    <w:p w14:paraId="0FF7FD18">
      <w:pPr>
        <w:jc w:val="center"/>
        <w:rPr>
          <w:rFonts w:hint="eastAsia" w:ascii="宋体" w:hAnsi="宋体" w:cs="宋体"/>
          <w:b/>
          <w:color w:val="auto"/>
          <w:sz w:val="28"/>
          <w:szCs w:val="28"/>
        </w:rPr>
      </w:pPr>
    </w:p>
    <w:p w14:paraId="011E6440">
      <w:pPr>
        <w:jc w:val="center"/>
        <w:outlineLvl w:val="0"/>
        <w:rPr>
          <w:rFonts w:hint="eastAsia" w:ascii="宋体" w:hAnsi="宋体" w:cs="宋体"/>
          <w:b/>
          <w:color w:val="auto"/>
          <w:sz w:val="72"/>
        </w:rPr>
      </w:pPr>
      <w:bookmarkStart w:id="155" w:name="_Toc30699_WPSOffice_Level1"/>
      <w:bookmarkStart w:id="156" w:name="_Toc14290_WPSOffice_Level1"/>
      <w:bookmarkStart w:id="157" w:name="_Toc13664"/>
      <w:bookmarkStart w:id="158" w:name="_Toc11565_WPSOffice_Level1"/>
    </w:p>
    <w:p w14:paraId="1310B571">
      <w:pPr>
        <w:jc w:val="center"/>
        <w:outlineLvl w:val="0"/>
        <w:rPr>
          <w:rFonts w:hint="eastAsia" w:ascii="宋体" w:hAnsi="宋体" w:cs="宋体"/>
          <w:b/>
          <w:color w:val="auto"/>
          <w:sz w:val="72"/>
        </w:rPr>
      </w:pPr>
      <w:r>
        <w:rPr>
          <w:rFonts w:hint="eastAsia" w:ascii="宋体" w:hAnsi="宋体" w:cs="宋体"/>
          <w:b/>
          <w:color w:val="auto"/>
          <w:sz w:val="72"/>
        </w:rPr>
        <w:t>响  应  文  件</w:t>
      </w:r>
      <w:bookmarkEnd w:id="155"/>
      <w:bookmarkEnd w:id="156"/>
      <w:bookmarkEnd w:id="157"/>
      <w:bookmarkEnd w:id="158"/>
    </w:p>
    <w:p w14:paraId="49C0105F">
      <w:pPr>
        <w:jc w:val="center"/>
        <w:rPr>
          <w:rFonts w:hint="eastAsia" w:ascii="宋体" w:hAnsi="宋体" w:cs="宋体"/>
          <w:b/>
          <w:color w:val="auto"/>
          <w:sz w:val="36"/>
        </w:rPr>
      </w:pPr>
    </w:p>
    <w:p w14:paraId="79A5E2A3">
      <w:pPr>
        <w:jc w:val="center"/>
        <w:outlineLvl w:val="0"/>
        <w:rPr>
          <w:rFonts w:hint="eastAsia" w:ascii="宋体" w:hAnsi="宋体" w:cs="宋体"/>
          <w:b/>
          <w:color w:val="auto"/>
          <w:sz w:val="36"/>
        </w:rPr>
      </w:pPr>
      <w:bookmarkStart w:id="159" w:name="_Toc27067"/>
      <w:bookmarkStart w:id="160" w:name="_Toc29741_WPSOffice_Level1"/>
      <w:bookmarkStart w:id="161" w:name="_Toc23742_WPSOffice_Level1"/>
      <w:bookmarkStart w:id="162" w:name="_Toc13963_WPSOffice_Level1"/>
      <w:r>
        <w:rPr>
          <w:rFonts w:hint="eastAsia" w:ascii="宋体" w:hAnsi="宋体" w:cs="宋体"/>
          <w:b/>
          <w:color w:val="auto"/>
          <w:sz w:val="36"/>
        </w:rPr>
        <w:t>（正本/副本）</w:t>
      </w:r>
      <w:bookmarkEnd w:id="159"/>
      <w:bookmarkEnd w:id="160"/>
      <w:bookmarkEnd w:id="161"/>
      <w:bookmarkEnd w:id="162"/>
    </w:p>
    <w:p w14:paraId="076789A4">
      <w:pPr>
        <w:jc w:val="center"/>
        <w:rPr>
          <w:rFonts w:hint="eastAsia" w:ascii="宋体" w:hAnsi="宋体" w:cs="宋体"/>
          <w:b/>
          <w:color w:val="auto"/>
          <w:sz w:val="36"/>
        </w:rPr>
      </w:pPr>
    </w:p>
    <w:p w14:paraId="63352E43">
      <w:pPr>
        <w:jc w:val="center"/>
        <w:rPr>
          <w:rFonts w:hint="eastAsia" w:ascii="宋体" w:hAnsi="宋体" w:cs="宋体"/>
          <w:b/>
          <w:color w:val="auto"/>
          <w:sz w:val="36"/>
        </w:rPr>
      </w:pPr>
    </w:p>
    <w:p w14:paraId="4B688B76">
      <w:pPr>
        <w:ind w:firstLine="1970" w:firstLineChars="545"/>
        <w:outlineLvl w:val="0"/>
        <w:rPr>
          <w:rFonts w:hint="eastAsia" w:ascii="宋体" w:hAnsi="宋体" w:cs="宋体"/>
          <w:b/>
          <w:color w:val="auto"/>
          <w:sz w:val="36"/>
          <w:u w:val="single"/>
        </w:rPr>
      </w:pPr>
      <w:bookmarkStart w:id="163" w:name="_Toc27974"/>
      <w:bookmarkStart w:id="164" w:name="_Toc8149_WPSOffice_Level2"/>
      <w:bookmarkStart w:id="165" w:name="_Toc26979_WPSOffice_Level2"/>
      <w:r>
        <w:rPr>
          <w:rFonts w:hint="eastAsia" w:ascii="宋体" w:hAnsi="宋体" w:cs="宋体"/>
          <w:b/>
          <w:color w:val="auto"/>
          <w:sz w:val="36"/>
        </w:rPr>
        <w:t>项目名称：</w:t>
      </w:r>
      <w:bookmarkEnd w:id="163"/>
      <w:bookmarkEnd w:id="164"/>
      <w:bookmarkEnd w:id="165"/>
      <w:r>
        <w:rPr>
          <w:rFonts w:hint="eastAsia" w:ascii="宋体" w:hAnsi="宋体" w:cs="宋体"/>
          <w:b/>
          <w:color w:val="auto"/>
          <w:sz w:val="36"/>
          <w:u w:val="single"/>
        </w:rPr>
        <w:t xml:space="preserve">               </w:t>
      </w:r>
    </w:p>
    <w:p w14:paraId="06389662">
      <w:pPr>
        <w:ind w:firstLine="1970" w:firstLineChars="545"/>
        <w:outlineLvl w:val="0"/>
        <w:rPr>
          <w:rFonts w:hint="eastAsia" w:ascii="宋体" w:hAnsi="宋体" w:cs="宋体"/>
          <w:b/>
          <w:color w:val="auto"/>
          <w:sz w:val="36"/>
          <w:u w:val="single"/>
        </w:rPr>
      </w:pPr>
      <w:bookmarkStart w:id="166" w:name="_Toc18178"/>
      <w:bookmarkStart w:id="167" w:name="_Toc24901_WPSOffice_Level2"/>
      <w:bookmarkStart w:id="168" w:name="_Toc28016_WPSOffice_Level2"/>
      <w:r>
        <w:rPr>
          <w:rFonts w:hint="eastAsia" w:ascii="宋体" w:hAnsi="宋体" w:cs="宋体"/>
          <w:b/>
          <w:color w:val="auto"/>
          <w:sz w:val="36"/>
        </w:rPr>
        <w:t>项目编号：</w:t>
      </w:r>
      <w:bookmarkEnd w:id="166"/>
      <w:bookmarkEnd w:id="167"/>
      <w:bookmarkEnd w:id="168"/>
      <w:r>
        <w:rPr>
          <w:rFonts w:hint="eastAsia" w:ascii="宋体" w:hAnsi="宋体" w:cs="宋体"/>
          <w:b/>
          <w:color w:val="auto"/>
          <w:sz w:val="36"/>
          <w:u w:val="single"/>
        </w:rPr>
        <w:t xml:space="preserve">               </w:t>
      </w:r>
    </w:p>
    <w:p w14:paraId="3C7214B1">
      <w:pPr>
        <w:ind w:firstLine="1970" w:firstLineChars="545"/>
        <w:outlineLvl w:val="0"/>
        <w:rPr>
          <w:rFonts w:hint="eastAsia" w:ascii="宋体" w:hAnsi="宋体" w:cs="宋体"/>
          <w:b/>
          <w:color w:val="auto"/>
          <w:sz w:val="36"/>
        </w:rPr>
      </w:pPr>
      <w:bookmarkStart w:id="169" w:name="_Toc31272"/>
      <w:bookmarkStart w:id="170" w:name="_Toc7855_WPSOffice_Level2"/>
      <w:bookmarkStart w:id="171" w:name="_Toc12089_WPSOffice_Level2"/>
      <w:r>
        <w:rPr>
          <w:rFonts w:hint="eastAsia" w:ascii="宋体" w:hAnsi="宋体" w:cs="宋体"/>
          <w:b/>
          <w:color w:val="auto"/>
          <w:sz w:val="36"/>
        </w:rPr>
        <w:t>合同包：</w:t>
      </w:r>
      <w:bookmarkEnd w:id="169"/>
      <w:bookmarkEnd w:id="170"/>
      <w:bookmarkEnd w:id="171"/>
      <w:r>
        <w:rPr>
          <w:rFonts w:hint="eastAsia" w:ascii="宋体" w:hAnsi="宋体" w:cs="宋体"/>
          <w:b/>
          <w:color w:val="auto"/>
          <w:sz w:val="36"/>
          <w:u w:val="single"/>
        </w:rPr>
        <w:t xml:space="preserve">                 </w:t>
      </w:r>
      <w:r>
        <w:rPr>
          <w:rFonts w:hint="eastAsia" w:ascii="宋体" w:hAnsi="宋体" w:cs="宋体"/>
          <w:b/>
          <w:color w:val="auto"/>
          <w:sz w:val="36"/>
        </w:rPr>
        <w:t xml:space="preserve">                </w:t>
      </w:r>
    </w:p>
    <w:p w14:paraId="3B2132BB">
      <w:pPr>
        <w:spacing w:line="360" w:lineRule="auto"/>
        <w:jc w:val="center"/>
        <w:rPr>
          <w:rFonts w:hint="eastAsia" w:ascii="宋体" w:hAnsi="宋体" w:cs="宋体"/>
          <w:b/>
          <w:color w:val="auto"/>
          <w:sz w:val="36"/>
        </w:rPr>
      </w:pPr>
    </w:p>
    <w:p w14:paraId="0DADAE5E">
      <w:pPr>
        <w:rPr>
          <w:rFonts w:hint="eastAsia" w:ascii="宋体" w:hAnsi="宋体" w:cs="宋体"/>
          <w:b/>
          <w:color w:val="auto"/>
          <w:sz w:val="36"/>
        </w:rPr>
      </w:pPr>
    </w:p>
    <w:p w14:paraId="49B10564">
      <w:pPr>
        <w:spacing w:line="440" w:lineRule="exact"/>
        <w:rPr>
          <w:rFonts w:hint="eastAsia" w:ascii="宋体" w:hAnsi="宋体" w:cs="宋体"/>
          <w:b/>
          <w:color w:val="auto"/>
          <w:sz w:val="36"/>
        </w:rPr>
      </w:pPr>
    </w:p>
    <w:p w14:paraId="0553071B">
      <w:pPr>
        <w:spacing w:line="440" w:lineRule="exact"/>
        <w:rPr>
          <w:rFonts w:hint="eastAsia" w:ascii="宋体" w:hAnsi="宋体" w:cs="宋体"/>
          <w:b/>
          <w:color w:val="auto"/>
          <w:sz w:val="36"/>
        </w:rPr>
      </w:pPr>
    </w:p>
    <w:p w14:paraId="1CF0105E">
      <w:pPr>
        <w:spacing w:line="440" w:lineRule="exact"/>
        <w:rPr>
          <w:rFonts w:hint="eastAsia" w:ascii="宋体" w:hAnsi="宋体" w:cs="宋体"/>
          <w:b/>
          <w:color w:val="auto"/>
          <w:sz w:val="36"/>
        </w:rPr>
      </w:pPr>
    </w:p>
    <w:p w14:paraId="6F4BE5BA">
      <w:pPr>
        <w:spacing w:line="500" w:lineRule="exact"/>
        <w:outlineLvl w:val="0"/>
        <w:rPr>
          <w:rFonts w:hint="eastAsia" w:ascii="宋体" w:hAnsi="宋体" w:cs="宋体"/>
          <w:b/>
          <w:color w:val="auto"/>
          <w:sz w:val="32"/>
          <w:u w:val="single"/>
        </w:rPr>
      </w:pPr>
      <w:r>
        <w:rPr>
          <w:rFonts w:hint="eastAsia" w:ascii="宋体" w:hAnsi="宋体" w:cs="宋体"/>
          <w:b/>
          <w:color w:val="auto"/>
          <w:sz w:val="32"/>
        </w:rPr>
        <w:t xml:space="preserve">     </w:t>
      </w:r>
      <w:bookmarkStart w:id="172" w:name="_Toc5976"/>
      <w:bookmarkStart w:id="173" w:name="_Toc21759_WPSOffice_Level2"/>
      <w:bookmarkStart w:id="174" w:name="_Toc13423_WPSOffice_Level2"/>
      <w:r>
        <w:rPr>
          <w:rFonts w:hint="eastAsia" w:ascii="宋体" w:hAnsi="宋体" w:cs="宋体"/>
          <w:b/>
          <w:color w:val="auto"/>
          <w:sz w:val="32"/>
        </w:rPr>
        <w:t>供应商全称（</w:t>
      </w:r>
      <w:r>
        <w:rPr>
          <w:rFonts w:hint="eastAsia" w:ascii="宋体" w:hAnsi="宋体" w:cs="宋体"/>
          <w:b/>
          <w:color w:val="auto"/>
          <w:sz w:val="32"/>
          <w:szCs w:val="22"/>
        </w:rPr>
        <w:t>全称并加盖单位公章</w:t>
      </w:r>
      <w:r>
        <w:rPr>
          <w:rFonts w:hint="eastAsia" w:ascii="宋体" w:hAnsi="宋体" w:cs="宋体"/>
          <w:b/>
          <w:color w:val="auto"/>
          <w:sz w:val="32"/>
        </w:rPr>
        <w:t>） ：</w:t>
      </w:r>
      <w:bookmarkEnd w:id="172"/>
      <w:bookmarkEnd w:id="173"/>
      <w:bookmarkEnd w:id="174"/>
      <w:r>
        <w:rPr>
          <w:rFonts w:hint="eastAsia" w:ascii="宋体" w:hAnsi="宋体" w:cs="宋体"/>
          <w:b/>
          <w:color w:val="auto"/>
          <w:sz w:val="32"/>
          <w:u w:val="single"/>
        </w:rPr>
        <w:t xml:space="preserve">                    </w:t>
      </w:r>
    </w:p>
    <w:p w14:paraId="1C4363AF">
      <w:pPr>
        <w:spacing w:line="500" w:lineRule="exact"/>
        <w:ind w:firstLine="790" w:firstLineChars="246"/>
        <w:rPr>
          <w:rFonts w:hint="eastAsia" w:ascii="宋体" w:hAnsi="宋体" w:cs="宋体"/>
          <w:b/>
          <w:color w:val="auto"/>
          <w:sz w:val="32"/>
          <w:u w:val="single"/>
        </w:rPr>
      </w:pPr>
      <w:r>
        <w:rPr>
          <w:rFonts w:hint="eastAsia" w:ascii="宋体" w:hAnsi="宋体" w:cs="宋体"/>
          <w:b/>
          <w:color w:val="auto"/>
          <w:sz w:val="32"/>
        </w:rPr>
        <w:t xml:space="preserve"> </w:t>
      </w:r>
    </w:p>
    <w:p w14:paraId="65FB4982">
      <w:pPr>
        <w:spacing w:line="500" w:lineRule="exact"/>
        <w:ind w:firstLine="790" w:firstLineChars="246"/>
        <w:outlineLvl w:val="0"/>
        <w:rPr>
          <w:rFonts w:hint="eastAsia" w:ascii="宋体" w:hAnsi="宋体" w:cs="宋体"/>
          <w:b/>
          <w:color w:val="auto"/>
          <w:sz w:val="32"/>
        </w:rPr>
      </w:pPr>
      <w:bookmarkStart w:id="175" w:name="_Toc25473_WPSOffice_Level2"/>
      <w:bookmarkStart w:id="176" w:name="_Toc20387_WPSOffice_Level2"/>
      <w:bookmarkStart w:id="177" w:name="_Toc29908"/>
      <w:r>
        <w:rPr>
          <w:rFonts w:hint="eastAsia" w:ascii="宋体" w:hAnsi="宋体" w:cs="宋体"/>
          <w:b/>
          <w:color w:val="auto"/>
          <w:sz w:val="32"/>
        </w:rPr>
        <w:t>日    期 ：202</w:t>
      </w:r>
      <w:r>
        <w:rPr>
          <w:rFonts w:hint="eastAsia" w:ascii="宋体" w:hAnsi="宋体" w:cs="宋体"/>
          <w:b/>
          <w:color w:val="auto"/>
          <w:sz w:val="32"/>
          <w:u w:val="single"/>
        </w:rPr>
        <w:t xml:space="preserve">  </w:t>
      </w:r>
      <w:r>
        <w:rPr>
          <w:rFonts w:hint="eastAsia" w:ascii="宋体" w:hAnsi="宋体" w:cs="宋体"/>
          <w:b/>
          <w:color w:val="auto"/>
          <w:sz w:val="32"/>
        </w:rPr>
        <w:t>年</w:t>
      </w:r>
      <w:r>
        <w:rPr>
          <w:rFonts w:hint="eastAsia" w:ascii="宋体" w:hAnsi="宋体" w:cs="宋体"/>
          <w:b/>
          <w:color w:val="auto"/>
          <w:sz w:val="32"/>
          <w:u w:val="single"/>
        </w:rPr>
        <w:t xml:space="preserve">   </w:t>
      </w:r>
      <w:r>
        <w:rPr>
          <w:rFonts w:hint="eastAsia" w:ascii="宋体" w:hAnsi="宋体" w:cs="宋体"/>
          <w:b/>
          <w:color w:val="auto"/>
          <w:sz w:val="32"/>
        </w:rPr>
        <w:t>月</w:t>
      </w:r>
      <w:r>
        <w:rPr>
          <w:rFonts w:hint="eastAsia" w:ascii="宋体" w:hAnsi="宋体" w:cs="宋体"/>
          <w:b/>
          <w:color w:val="auto"/>
          <w:sz w:val="32"/>
          <w:u w:val="single"/>
        </w:rPr>
        <w:t xml:space="preserve">   </w:t>
      </w:r>
      <w:r>
        <w:rPr>
          <w:rFonts w:hint="eastAsia" w:ascii="宋体" w:hAnsi="宋体" w:cs="宋体"/>
          <w:b/>
          <w:color w:val="auto"/>
          <w:sz w:val="32"/>
        </w:rPr>
        <w:t>日</w:t>
      </w:r>
      <w:bookmarkEnd w:id="175"/>
      <w:bookmarkEnd w:id="176"/>
      <w:bookmarkEnd w:id="177"/>
    </w:p>
    <w:p w14:paraId="1C633DD0">
      <w:pPr>
        <w:pStyle w:val="7"/>
        <w:snapToGrid w:val="0"/>
        <w:spacing w:line="420" w:lineRule="atLeast"/>
        <w:ind w:firstLine="0"/>
        <w:jc w:val="center"/>
        <w:outlineLvl w:val="0"/>
        <w:rPr>
          <w:rFonts w:hint="eastAsia" w:ascii="宋体" w:hAnsi="宋体" w:cs="宋体"/>
          <w:b/>
          <w:color w:val="auto"/>
          <w:sz w:val="32"/>
        </w:rPr>
      </w:pPr>
      <w:r>
        <w:rPr>
          <w:rFonts w:hint="eastAsia" w:ascii="宋体" w:hAnsi="宋体" w:cs="宋体"/>
          <w:b/>
          <w:color w:val="auto"/>
          <w:sz w:val="32"/>
        </w:rPr>
        <w:br w:type="page"/>
      </w:r>
      <w:bookmarkStart w:id="178" w:name="_Toc29293"/>
      <w:bookmarkStart w:id="179" w:name="_Toc13548_WPSOffice_Level2"/>
      <w:bookmarkStart w:id="180" w:name="_Toc21853_WPSOffice_Level2"/>
      <w:r>
        <w:rPr>
          <w:rFonts w:hint="eastAsia" w:ascii="宋体" w:hAnsi="宋体" w:cs="宋体"/>
          <w:b/>
          <w:color w:val="auto"/>
          <w:sz w:val="32"/>
        </w:rPr>
        <w:t>目    录</w:t>
      </w:r>
      <w:bookmarkEnd w:id="178"/>
      <w:bookmarkEnd w:id="179"/>
      <w:bookmarkEnd w:id="180"/>
    </w:p>
    <w:p w14:paraId="33D90EF9">
      <w:pPr>
        <w:spacing w:line="360" w:lineRule="auto"/>
        <w:jc w:val="center"/>
        <w:rPr>
          <w:rFonts w:hint="eastAsia" w:ascii="宋体" w:hAnsi="宋体" w:cs="宋体"/>
          <w:b/>
          <w:color w:val="auto"/>
          <w:sz w:val="24"/>
        </w:rPr>
      </w:pPr>
    </w:p>
    <w:p w14:paraId="1308CA83">
      <w:pPr>
        <w:spacing w:line="360" w:lineRule="auto"/>
        <w:jc w:val="left"/>
        <w:outlineLvl w:val="0"/>
        <w:rPr>
          <w:rFonts w:hint="eastAsia" w:ascii="宋体" w:hAnsi="宋体" w:cs="宋体"/>
          <w:color w:val="auto"/>
          <w:sz w:val="24"/>
        </w:rPr>
      </w:pPr>
      <w:bookmarkStart w:id="181" w:name="_Toc22505"/>
      <w:bookmarkStart w:id="182" w:name="_Toc5252_WPSOffice_Level2"/>
      <w:bookmarkStart w:id="183" w:name="_Toc14366_WPSOffice_Level2"/>
      <w:r>
        <w:rPr>
          <w:rFonts w:hint="eastAsia" w:ascii="宋体" w:hAnsi="宋体" w:cs="宋体"/>
          <w:color w:val="auto"/>
          <w:sz w:val="24"/>
        </w:rPr>
        <w:t>（1）报价一览表</w:t>
      </w:r>
      <w:bookmarkEnd w:id="181"/>
      <w:bookmarkEnd w:id="182"/>
      <w:bookmarkEnd w:id="183"/>
    </w:p>
    <w:p w14:paraId="588A0357">
      <w:pPr>
        <w:spacing w:line="360" w:lineRule="auto"/>
        <w:jc w:val="left"/>
        <w:outlineLvl w:val="0"/>
        <w:rPr>
          <w:rFonts w:hint="eastAsia" w:ascii="宋体" w:hAnsi="宋体" w:cs="宋体"/>
          <w:color w:val="auto"/>
          <w:sz w:val="24"/>
        </w:rPr>
      </w:pPr>
      <w:bookmarkStart w:id="184" w:name="_Toc27469"/>
      <w:bookmarkStart w:id="185" w:name="_Toc23077_WPSOffice_Level2"/>
      <w:bookmarkStart w:id="186" w:name="_Toc1597_WPSOffice_Level2"/>
      <w:r>
        <w:rPr>
          <w:rFonts w:hint="eastAsia" w:ascii="宋体" w:hAnsi="宋体" w:cs="宋体"/>
          <w:color w:val="auto"/>
          <w:sz w:val="24"/>
        </w:rPr>
        <w:t>（2）报价一览表（最终报价）</w:t>
      </w:r>
      <w:bookmarkEnd w:id="184"/>
      <w:bookmarkEnd w:id="185"/>
      <w:bookmarkEnd w:id="186"/>
    </w:p>
    <w:p w14:paraId="412BAE1B">
      <w:pPr>
        <w:spacing w:line="360" w:lineRule="auto"/>
        <w:jc w:val="left"/>
        <w:outlineLvl w:val="0"/>
        <w:rPr>
          <w:rFonts w:hint="eastAsia" w:ascii="宋体" w:hAnsi="宋体" w:cs="宋体"/>
          <w:color w:val="auto"/>
          <w:sz w:val="24"/>
        </w:rPr>
      </w:pPr>
      <w:bookmarkStart w:id="187" w:name="_Toc16203_WPSOffice_Level2"/>
      <w:bookmarkStart w:id="188" w:name="_Toc31181"/>
      <w:bookmarkStart w:id="189" w:name="_Toc7330_WPSOffice_Level2"/>
      <w:r>
        <w:rPr>
          <w:rFonts w:hint="eastAsia" w:ascii="宋体" w:hAnsi="宋体" w:cs="宋体"/>
          <w:color w:val="auto"/>
          <w:sz w:val="24"/>
        </w:rPr>
        <w:t>（3）报价书</w:t>
      </w:r>
      <w:bookmarkEnd w:id="187"/>
      <w:bookmarkEnd w:id="188"/>
      <w:bookmarkEnd w:id="189"/>
    </w:p>
    <w:p w14:paraId="1C5FAC0D">
      <w:pPr>
        <w:spacing w:line="360" w:lineRule="auto"/>
        <w:jc w:val="left"/>
        <w:outlineLvl w:val="0"/>
        <w:rPr>
          <w:rFonts w:hint="eastAsia"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4</w:t>
      </w:r>
      <w:r>
        <w:rPr>
          <w:rFonts w:hint="eastAsia" w:ascii="宋体" w:hAnsi="宋体" w:cs="宋体"/>
          <w:color w:val="auto"/>
          <w:sz w:val="24"/>
          <w:lang w:eastAsia="zh-CN"/>
        </w:rPr>
        <w:t>）</w:t>
      </w:r>
      <w:r>
        <w:rPr>
          <w:rFonts w:hint="eastAsia" w:ascii="宋体" w:hAnsi="宋体" w:cs="宋体"/>
          <w:color w:val="auto"/>
          <w:sz w:val="24"/>
        </w:rPr>
        <w:t>标的说明一览表</w:t>
      </w:r>
    </w:p>
    <w:p w14:paraId="3CB56F6B">
      <w:pPr>
        <w:spacing w:line="360" w:lineRule="auto"/>
        <w:jc w:val="left"/>
        <w:outlineLvl w:val="0"/>
        <w:rPr>
          <w:rFonts w:hint="eastAsia" w:ascii="宋体" w:hAnsi="宋体" w:cs="宋体"/>
          <w:color w:val="auto"/>
          <w:sz w:val="24"/>
        </w:rPr>
      </w:pPr>
      <w:bookmarkStart w:id="190" w:name="_Toc18740_WPSOffice_Level2"/>
      <w:bookmarkStart w:id="191" w:name="_Toc2604_WPSOffice_Level2"/>
      <w:bookmarkStart w:id="192" w:name="_Toc2948"/>
      <w:r>
        <w:rPr>
          <w:rFonts w:hint="eastAsia"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w:t>
      </w:r>
      <w:bookmarkEnd w:id="190"/>
      <w:bookmarkEnd w:id="191"/>
      <w:r>
        <w:rPr>
          <w:rFonts w:hint="eastAsia" w:ascii="宋体" w:hAnsi="宋体" w:cs="宋体"/>
          <w:color w:val="auto"/>
          <w:sz w:val="24"/>
        </w:rPr>
        <w:t>技术和服务要求响应表</w:t>
      </w:r>
      <w:bookmarkEnd w:id="192"/>
    </w:p>
    <w:p w14:paraId="2A6D757E">
      <w:pPr>
        <w:spacing w:line="360" w:lineRule="auto"/>
        <w:jc w:val="left"/>
        <w:outlineLvl w:val="0"/>
        <w:rPr>
          <w:rFonts w:hint="eastAsia" w:ascii="宋体" w:hAnsi="宋体" w:cs="宋体"/>
          <w:color w:val="auto"/>
          <w:sz w:val="24"/>
        </w:rPr>
      </w:pPr>
      <w:bookmarkStart w:id="193" w:name="_Toc9354"/>
      <w:r>
        <w:rPr>
          <w:rFonts w:hint="eastAsia" w:ascii="宋体" w:hAnsi="宋体" w:cs="宋体"/>
          <w:color w:val="auto"/>
          <w:sz w:val="24"/>
        </w:rPr>
        <w:t>（</w:t>
      </w:r>
      <w:r>
        <w:rPr>
          <w:rFonts w:hint="eastAsia" w:ascii="宋体" w:hAnsi="宋体" w:cs="宋体"/>
          <w:color w:val="auto"/>
          <w:sz w:val="24"/>
          <w:lang w:val="en-US" w:eastAsia="zh-CN"/>
        </w:rPr>
        <w:t>6</w:t>
      </w:r>
      <w:r>
        <w:rPr>
          <w:rFonts w:hint="eastAsia" w:ascii="宋体" w:hAnsi="宋体" w:cs="宋体"/>
          <w:color w:val="auto"/>
          <w:sz w:val="24"/>
        </w:rPr>
        <w:t>）商务条件和其他事项响应表</w:t>
      </w:r>
      <w:bookmarkEnd w:id="193"/>
    </w:p>
    <w:p w14:paraId="1D7DAC49">
      <w:pPr>
        <w:spacing w:line="360" w:lineRule="auto"/>
        <w:jc w:val="left"/>
        <w:outlineLvl w:val="0"/>
        <w:rPr>
          <w:rFonts w:hint="eastAsia" w:ascii="宋体" w:hAnsi="宋体" w:cs="宋体"/>
          <w:color w:val="auto"/>
          <w:sz w:val="24"/>
        </w:rPr>
      </w:pPr>
      <w:bookmarkStart w:id="194" w:name="_Toc29920_WPSOffice_Level2"/>
      <w:bookmarkStart w:id="195" w:name="_Toc9164_WPSOffice_Level2"/>
      <w:bookmarkStart w:id="196" w:name="_Toc19945"/>
      <w:r>
        <w:rPr>
          <w:rFonts w:hint="eastAsia" w:ascii="宋体" w:hAnsi="宋体" w:cs="宋体"/>
          <w:color w:val="auto"/>
          <w:sz w:val="24"/>
        </w:rPr>
        <w:t>（</w:t>
      </w:r>
      <w:r>
        <w:rPr>
          <w:rFonts w:hint="eastAsia" w:ascii="宋体" w:hAnsi="宋体" w:cs="宋体"/>
          <w:color w:val="auto"/>
          <w:sz w:val="24"/>
          <w:lang w:val="en-US" w:eastAsia="zh-CN"/>
        </w:rPr>
        <w:t>7</w:t>
      </w:r>
      <w:r>
        <w:rPr>
          <w:rFonts w:hint="eastAsia" w:ascii="宋体" w:hAnsi="宋体" w:cs="宋体"/>
          <w:color w:val="auto"/>
          <w:sz w:val="24"/>
        </w:rPr>
        <w:t>）</w:t>
      </w:r>
      <w:bookmarkEnd w:id="194"/>
      <w:bookmarkEnd w:id="195"/>
      <w:r>
        <w:rPr>
          <w:rFonts w:hint="eastAsia" w:ascii="宋体" w:hAnsi="宋体" w:cs="宋体"/>
          <w:color w:val="auto"/>
          <w:sz w:val="24"/>
        </w:rPr>
        <w:t>相关技术、商务、服务响应承诺及资料</w:t>
      </w:r>
      <w:bookmarkEnd w:id="196"/>
    </w:p>
    <w:p w14:paraId="0D32F69C">
      <w:pPr>
        <w:spacing w:line="360" w:lineRule="auto"/>
        <w:jc w:val="left"/>
        <w:outlineLvl w:val="0"/>
        <w:rPr>
          <w:rFonts w:hint="eastAsia" w:ascii="宋体" w:hAnsi="宋体" w:cs="宋体"/>
          <w:color w:val="auto"/>
          <w:sz w:val="24"/>
        </w:rPr>
      </w:pPr>
      <w:bookmarkStart w:id="197" w:name="_Toc6062"/>
      <w:r>
        <w:rPr>
          <w:rFonts w:hint="eastAsia" w:ascii="宋体" w:hAnsi="宋体" w:cs="宋体"/>
          <w:color w:val="auto"/>
          <w:sz w:val="24"/>
        </w:rPr>
        <w:t>（</w:t>
      </w:r>
      <w:r>
        <w:rPr>
          <w:rFonts w:hint="eastAsia" w:ascii="宋体" w:hAnsi="宋体" w:cs="宋体"/>
          <w:color w:val="auto"/>
          <w:sz w:val="24"/>
          <w:lang w:val="en-US" w:eastAsia="zh-CN"/>
        </w:rPr>
        <w:t>8</w:t>
      </w:r>
      <w:r>
        <w:rPr>
          <w:rFonts w:hint="eastAsia" w:ascii="宋体" w:hAnsi="宋体" w:cs="宋体"/>
          <w:color w:val="auto"/>
          <w:sz w:val="24"/>
        </w:rPr>
        <w:t>）供应商的资格证明文件</w:t>
      </w:r>
      <w:bookmarkEnd w:id="197"/>
    </w:p>
    <w:p w14:paraId="2448A9BD">
      <w:pPr>
        <w:spacing w:line="360" w:lineRule="auto"/>
        <w:jc w:val="left"/>
        <w:outlineLvl w:val="0"/>
        <w:rPr>
          <w:rFonts w:hint="eastAsia" w:ascii="宋体" w:hAnsi="宋体" w:cs="宋体"/>
          <w:color w:val="auto"/>
          <w:sz w:val="24"/>
        </w:rPr>
      </w:pPr>
      <w:bookmarkStart w:id="198" w:name="_Toc32525_WPSOffice_Level2"/>
      <w:bookmarkStart w:id="199" w:name="_Toc16427_WPSOffice_Level2"/>
      <w:bookmarkStart w:id="200" w:name="_Toc16164"/>
      <w:r>
        <w:rPr>
          <w:rFonts w:hint="eastAsia" w:ascii="宋体" w:hAnsi="宋体" w:cs="宋体"/>
          <w:color w:val="auto"/>
          <w:sz w:val="24"/>
        </w:rPr>
        <w:t>（</w:t>
      </w:r>
      <w:r>
        <w:rPr>
          <w:rFonts w:hint="eastAsia" w:ascii="宋体" w:hAnsi="宋体" w:cs="宋体"/>
          <w:color w:val="auto"/>
          <w:sz w:val="24"/>
          <w:lang w:val="en-US" w:eastAsia="zh-CN"/>
        </w:rPr>
        <w:t>9</w:t>
      </w:r>
      <w:r>
        <w:rPr>
          <w:rFonts w:hint="eastAsia" w:ascii="宋体" w:hAnsi="宋体" w:cs="宋体"/>
          <w:color w:val="auto"/>
          <w:sz w:val="24"/>
        </w:rPr>
        <w:t>）磋商保证金提交说明函</w:t>
      </w:r>
      <w:bookmarkEnd w:id="198"/>
      <w:bookmarkEnd w:id="199"/>
      <w:bookmarkEnd w:id="200"/>
    </w:p>
    <w:p w14:paraId="1033A8B8">
      <w:pPr>
        <w:spacing w:line="360" w:lineRule="auto"/>
        <w:jc w:val="left"/>
        <w:outlineLvl w:val="0"/>
        <w:rPr>
          <w:rFonts w:hint="eastAsia" w:ascii="宋体" w:hAnsi="宋体" w:cs="宋体"/>
          <w:color w:val="auto"/>
          <w:sz w:val="24"/>
        </w:rPr>
      </w:pPr>
      <w:bookmarkStart w:id="201" w:name="_Toc31643_WPSOffice_Level2"/>
      <w:bookmarkStart w:id="202" w:name="_Toc30492"/>
      <w:bookmarkStart w:id="203" w:name="_Toc29530_WPSOffice_Level2"/>
      <w:r>
        <w:rPr>
          <w:rFonts w:hint="eastAsia" w:ascii="宋体" w:hAnsi="宋体" w:cs="宋体"/>
          <w:color w:val="auto"/>
          <w:sz w:val="24"/>
        </w:rPr>
        <w:t>（</w:t>
      </w:r>
      <w:r>
        <w:rPr>
          <w:rFonts w:hint="eastAsia" w:ascii="宋体" w:hAnsi="宋体" w:cs="宋体"/>
          <w:color w:val="auto"/>
          <w:sz w:val="24"/>
          <w:lang w:val="en-US" w:eastAsia="zh-CN"/>
        </w:rPr>
        <w:t>10</w:t>
      </w:r>
      <w:r>
        <w:rPr>
          <w:rFonts w:hint="eastAsia" w:ascii="宋体" w:hAnsi="宋体" w:cs="宋体"/>
          <w:color w:val="auto"/>
          <w:sz w:val="24"/>
        </w:rPr>
        <w:t>）退还磋商保证金申请函</w:t>
      </w:r>
      <w:bookmarkEnd w:id="201"/>
      <w:bookmarkEnd w:id="202"/>
      <w:bookmarkEnd w:id="203"/>
    </w:p>
    <w:p w14:paraId="1870B957">
      <w:pPr>
        <w:spacing w:line="360" w:lineRule="auto"/>
        <w:jc w:val="left"/>
        <w:outlineLvl w:val="0"/>
        <w:rPr>
          <w:rFonts w:hint="eastAsia" w:ascii="宋体" w:hAnsi="宋体" w:cs="宋体"/>
          <w:color w:val="auto"/>
          <w:sz w:val="24"/>
        </w:rPr>
      </w:pPr>
      <w:bookmarkStart w:id="204" w:name="_Toc21112_WPSOffice_Level2"/>
      <w:bookmarkStart w:id="205" w:name="_Toc2771_WPSOffice_Level2"/>
      <w:bookmarkStart w:id="206" w:name="_Toc19991"/>
      <w:r>
        <w:rPr>
          <w:rFonts w:hint="eastAsia" w:ascii="宋体" w:hAnsi="宋体" w:cs="宋体"/>
          <w:color w:val="auto"/>
          <w:sz w:val="24"/>
        </w:rPr>
        <w:t>（</w:t>
      </w:r>
      <w:r>
        <w:rPr>
          <w:rFonts w:hint="eastAsia" w:ascii="宋体" w:hAnsi="宋体" w:cs="宋体"/>
          <w:color w:val="auto"/>
          <w:sz w:val="24"/>
          <w:lang w:val="en-US" w:eastAsia="zh-CN"/>
        </w:rPr>
        <w:t>11</w:t>
      </w:r>
      <w:r>
        <w:rPr>
          <w:rFonts w:hint="eastAsia" w:ascii="宋体" w:hAnsi="宋体" w:cs="宋体"/>
          <w:color w:val="auto"/>
          <w:sz w:val="24"/>
        </w:rPr>
        <w:t>）供应商应交的其他资料</w:t>
      </w:r>
      <w:bookmarkEnd w:id="204"/>
      <w:bookmarkEnd w:id="205"/>
      <w:bookmarkEnd w:id="206"/>
    </w:p>
    <w:p w14:paraId="579B22CC">
      <w:pPr>
        <w:spacing w:line="440" w:lineRule="exact"/>
        <w:rPr>
          <w:rFonts w:hint="eastAsia" w:ascii="宋体" w:hAnsi="宋体" w:cs="宋体"/>
          <w:color w:val="auto"/>
          <w:sz w:val="24"/>
        </w:rPr>
      </w:pPr>
    </w:p>
    <w:p w14:paraId="59DF9918">
      <w:pPr>
        <w:spacing w:line="440" w:lineRule="exact"/>
        <w:rPr>
          <w:rFonts w:hint="eastAsia" w:ascii="宋体" w:hAnsi="宋体" w:cs="宋体"/>
          <w:color w:val="auto"/>
          <w:sz w:val="24"/>
        </w:rPr>
        <w:sectPr>
          <w:pgSz w:w="11907" w:h="16840"/>
          <w:pgMar w:top="1440" w:right="1080" w:bottom="1440" w:left="1080" w:header="851" w:footer="794" w:gutter="0"/>
          <w:cols w:space="720" w:num="1"/>
          <w:docGrid w:linePitch="312" w:charSpace="0"/>
        </w:sectPr>
      </w:pPr>
    </w:p>
    <w:p w14:paraId="5AC5D704">
      <w:pPr>
        <w:spacing w:line="360" w:lineRule="auto"/>
        <w:jc w:val="left"/>
        <w:outlineLvl w:val="0"/>
        <w:rPr>
          <w:rFonts w:hint="eastAsia" w:ascii="宋体" w:hAnsi="宋体" w:cs="宋体"/>
          <w:b/>
          <w:color w:val="auto"/>
          <w:spacing w:val="-4"/>
          <w:szCs w:val="21"/>
        </w:rPr>
      </w:pPr>
      <w:bookmarkStart w:id="207" w:name="_Toc20755_WPSOffice_Level3"/>
      <w:bookmarkStart w:id="208" w:name="_Toc5430_WPSOffice_Level3"/>
      <w:bookmarkStart w:id="209" w:name="_Toc28334"/>
      <w:r>
        <w:rPr>
          <w:rFonts w:hint="eastAsia" w:ascii="宋体" w:hAnsi="宋体" w:cs="宋体"/>
          <w:b/>
          <w:color w:val="auto"/>
          <w:spacing w:val="-4"/>
          <w:szCs w:val="21"/>
        </w:rPr>
        <w:t xml:space="preserve">附件1                </w:t>
      </w:r>
    </w:p>
    <w:p w14:paraId="45C76326">
      <w:pPr>
        <w:spacing w:line="360" w:lineRule="auto"/>
        <w:jc w:val="center"/>
        <w:outlineLvl w:val="0"/>
        <w:rPr>
          <w:rFonts w:hint="eastAsia" w:ascii="宋体" w:hAnsi="宋体" w:eastAsia="宋体" w:cs="宋体"/>
          <w:b/>
          <w:color w:val="auto"/>
          <w:spacing w:val="20"/>
          <w:sz w:val="28"/>
          <w:lang w:eastAsia="zh-CN"/>
        </w:rPr>
      </w:pPr>
      <w:r>
        <w:rPr>
          <w:rFonts w:hint="eastAsia" w:ascii="宋体" w:hAnsi="宋体" w:cs="宋体"/>
          <w:b/>
          <w:color w:val="auto"/>
          <w:spacing w:val="20"/>
          <w:sz w:val="32"/>
          <w:szCs w:val="32"/>
        </w:rPr>
        <w:t>一、报价一览表</w:t>
      </w:r>
      <w:bookmarkEnd w:id="207"/>
      <w:bookmarkEnd w:id="208"/>
      <w:bookmarkEnd w:id="209"/>
      <w:r>
        <w:rPr>
          <w:rFonts w:hint="eastAsia" w:ascii="宋体" w:hAnsi="宋体" w:cs="宋体"/>
          <w:b/>
          <w:color w:val="auto"/>
          <w:spacing w:val="20"/>
          <w:sz w:val="32"/>
          <w:szCs w:val="32"/>
          <w:lang w:eastAsia="zh-CN"/>
        </w:rPr>
        <w:t>（</w:t>
      </w:r>
      <w:r>
        <w:rPr>
          <w:rFonts w:hint="eastAsia" w:ascii="宋体" w:hAnsi="宋体" w:cs="宋体"/>
          <w:b/>
          <w:color w:val="auto"/>
          <w:spacing w:val="20"/>
          <w:sz w:val="32"/>
          <w:szCs w:val="32"/>
          <w:lang w:val="en-US" w:eastAsia="zh-CN"/>
        </w:rPr>
        <w:t>首次报价</w:t>
      </w:r>
      <w:r>
        <w:rPr>
          <w:rFonts w:hint="eastAsia" w:ascii="宋体" w:hAnsi="宋体" w:cs="宋体"/>
          <w:b/>
          <w:color w:val="auto"/>
          <w:spacing w:val="20"/>
          <w:sz w:val="32"/>
          <w:szCs w:val="32"/>
          <w:lang w:eastAsia="zh-CN"/>
        </w:rPr>
        <w:t>）</w:t>
      </w:r>
    </w:p>
    <w:p w14:paraId="2CA4D41A">
      <w:pPr>
        <w:spacing w:line="360" w:lineRule="auto"/>
        <w:rPr>
          <w:rFonts w:hint="eastAsia" w:ascii="宋体" w:hAnsi="宋体" w:cs="宋体"/>
          <w:color w:val="auto"/>
          <w:sz w:val="24"/>
        </w:rPr>
      </w:pPr>
    </w:p>
    <w:p w14:paraId="6A1E881D">
      <w:pPr>
        <w:spacing w:line="360" w:lineRule="auto"/>
        <w:rPr>
          <w:rFonts w:hint="eastAsia" w:ascii="宋体" w:hAnsi="宋体" w:cs="宋体"/>
          <w:color w:val="auto"/>
          <w:sz w:val="24"/>
          <w:szCs w:val="24"/>
        </w:rPr>
      </w:pPr>
      <w:r>
        <w:rPr>
          <w:rFonts w:hint="eastAsia" w:ascii="宋体" w:hAnsi="宋体" w:cs="宋体"/>
          <w:color w:val="auto"/>
          <w:sz w:val="24"/>
        </w:rPr>
        <w:t>项目编号</w:t>
      </w:r>
      <w:r>
        <w:rPr>
          <w:rFonts w:hint="eastAsia" w:ascii="宋体" w:hAnsi="宋体" w:cs="宋体"/>
          <w:color w:val="auto"/>
          <w:sz w:val="24"/>
          <w:szCs w:val="24"/>
        </w:rPr>
        <w:t>：</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p w14:paraId="3730C3D9">
      <w:pPr>
        <w:spacing w:line="360" w:lineRule="auto"/>
        <w:rPr>
          <w:rFonts w:hint="eastAsia" w:ascii="宋体" w:hAnsi="宋体" w:cs="宋体"/>
          <w:color w:val="auto"/>
          <w:sz w:val="24"/>
          <w:szCs w:val="24"/>
        </w:rPr>
      </w:pPr>
      <w:r>
        <w:rPr>
          <w:rFonts w:hint="eastAsia" w:ascii="宋体" w:hAnsi="宋体" w:cs="宋体"/>
          <w:color w:val="auto"/>
          <w:sz w:val="24"/>
          <w:szCs w:val="24"/>
        </w:rPr>
        <w:t>项目名称：</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tbl>
      <w:tblPr>
        <w:tblStyle w:val="49"/>
        <w:tblW w:w="431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171"/>
        <w:gridCol w:w="3805"/>
        <w:gridCol w:w="1193"/>
        <w:gridCol w:w="1195"/>
      </w:tblGrid>
      <w:tr w14:paraId="2EBEFF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95" w:type="pct"/>
            <w:noWrap w:val="0"/>
            <w:vAlign w:val="center"/>
          </w:tcPr>
          <w:p w14:paraId="6F1CA7B7">
            <w:pPr>
              <w:keepNext w:val="0"/>
              <w:keepLines w:val="0"/>
              <w:suppressLineNumbers w:val="0"/>
              <w:spacing w:before="0" w:beforeAutospacing="0" w:after="0" w:afterAutospacing="0"/>
              <w:ind w:left="-105" w:leftChars="-50" w:right="-105" w:rightChars="-50"/>
              <w:jc w:val="center"/>
              <w:rPr>
                <w:rFonts w:hint="eastAsia" w:ascii="宋体" w:hAnsi="宋体" w:cs="宋体"/>
                <w:b/>
                <w:color w:val="auto"/>
                <w:sz w:val="24"/>
                <w:szCs w:val="24"/>
              </w:rPr>
            </w:pPr>
            <w:r>
              <w:rPr>
                <w:rFonts w:hint="eastAsia" w:ascii="宋体" w:hAnsi="宋体" w:cs="宋体"/>
                <w:b/>
                <w:color w:val="auto"/>
                <w:sz w:val="24"/>
                <w:szCs w:val="24"/>
              </w:rPr>
              <w:t>合同包</w:t>
            </w:r>
          </w:p>
        </w:tc>
        <w:tc>
          <w:tcPr>
            <w:tcW w:w="2583" w:type="pct"/>
            <w:noWrap w:val="0"/>
            <w:vAlign w:val="center"/>
          </w:tcPr>
          <w:p w14:paraId="7378AD1A">
            <w:pPr>
              <w:keepNext w:val="0"/>
              <w:keepLines w:val="0"/>
              <w:suppressLineNumbers w:val="0"/>
              <w:spacing w:before="0" w:beforeAutospacing="0" w:after="0" w:afterAutospacing="0"/>
              <w:ind w:left="0" w:right="0"/>
              <w:jc w:val="center"/>
              <w:rPr>
                <w:rFonts w:hint="eastAsia" w:ascii="宋体" w:hAnsi="宋体" w:cs="宋体"/>
                <w:b/>
                <w:color w:val="auto"/>
                <w:sz w:val="24"/>
                <w:szCs w:val="24"/>
              </w:rPr>
            </w:pPr>
            <w:r>
              <w:rPr>
                <w:rFonts w:hint="eastAsia" w:ascii="宋体" w:hAnsi="宋体" w:cs="宋体"/>
                <w:b/>
                <w:color w:val="auto"/>
                <w:sz w:val="24"/>
                <w:szCs w:val="24"/>
                <w:lang w:val="en-US" w:eastAsia="zh-CN"/>
              </w:rPr>
              <w:t>项目名称</w:t>
            </w:r>
          </w:p>
        </w:tc>
        <w:tc>
          <w:tcPr>
            <w:tcW w:w="810" w:type="pct"/>
            <w:noWrap w:val="0"/>
            <w:vAlign w:val="center"/>
          </w:tcPr>
          <w:p w14:paraId="2FF7E93D">
            <w:pPr>
              <w:keepNext w:val="0"/>
              <w:keepLines w:val="0"/>
              <w:suppressLineNumbers w:val="0"/>
              <w:spacing w:before="0" w:beforeAutospacing="0" w:after="0" w:afterAutospacing="0"/>
              <w:ind w:left="0" w:right="0"/>
              <w:jc w:val="center"/>
              <w:rPr>
                <w:rFonts w:hint="eastAsia" w:ascii="宋体" w:hAnsi="宋体" w:eastAsia="宋体" w:cs="宋体"/>
                <w:b/>
                <w:color w:val="auto"/>
                <w:sz w:val="24"/>
                <w:szCs w:val="24"/>
                <w:lang w:val="en-US" w:eastAsia="zh-CN"/>
              </w:rPr>
            </w:pPr>
            <w:r>
              <w:rPr>
                <w:rFonts w:hint="eastAsia" w:ascii="宋体" w:hAnsi="宋体" w:cs="宋体"/>
                <w:b/>
                <w:color w:val="auto"/>
                <w:sz w:val="24"/>
                <w:szCs w:val="24"/>
                <w:lang w:val="en-US" w:eastAsia="zh-CN"/>
              </w:rPr>
              <w:t>统一折扣报价</w:t>
            </w:r>
          </w:p>
        </w:tc>
        <w:tc>
          <w:tcPr>
            <w:tcW w:w="811" w:type="pct"/>
            <w:noWrap w:val="0"/>
            <w:vAlign w:val="center"/>
          </w:tcPr>
          <w:p w14:paraId="21DB61DA">
            <w:pPr>
              <w:keepNext w:val="0"/>
              <w:keepLines w:val="0"/>
              <w:suppressLineNumbers w:val="0"/>
              <w:spacing w:before="0" w:beforeAutospacing="0" w:after="0" w:afterAutospacing="0"/>
              <w:ind w:left="0" w:right="0"/>
              <w:jc w:val="center"/>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备注</w:t>
            </w:r>
          </w:p>
        </w:tc>
      </w:tr>
      <w:tr w14:paraId="075E16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5" w:hRule="atLeast"/>
          <w:jc w:val="center"/>
        </w:trPr>
        <w:tc>
          <w:tcPr>
            <w:tcW w:w="795" w:type="pct"/>
            <w:noWrap w:val="0"/>
            <w:vAlign w:val="center"/>
          </w:tcPr>
          <w:p w14:paraId="38FB4108">
            <w:pPr>
              <w:keepNext w:val="0"/>
              <w:keepLines w:val="0"/>
              <w:suppressLineNumbers w:val="0"/>
              <w:spacing w:before="0" w:beforeAutospacing="0" w:after="0" w:afterAutospacing="0" w:line="340" w:lineRule="exact"/>
              <w:ind w:left="0" w:right="0"/>
              <w:jc w:val="center"/>
              <w:rPr>
                <w:rFonts w:hint="eastAsia" w:ascii="宋体" w:hAnsi="宋体" w:cs="宋体"/>
                <w:color w:val="auto"/>
                <w:sz w:val="24"/>
                <w:szCs w:val="24"/>
              </w:rPr>
            </w:pPr>
            <w:r>
              <w:rPr>
                <w:rFonts w:hint="eastAsia" w:ascii="宋体" w:hAnsi="宋体" w:cs="宋体"/>
                <w:color w:val="auto"/>
                <w:sz w:val="24"/>
                <w:szCs w:val="24"/>
              </w:rPr>
              <w:t>1</w:t>
            </w:r>
          </w:p>
        </w:tc>
        <w:tc>
          <w:tcPr>
            <w:tcW w:w="2583" w:type="pct"/>
            <w:noWrap w:val="0"/>
            <w:vAlign w:val="center"/>
          </w:tcPr>
          <w:p w14:paraId="274812FD">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lang w:val="en-US" w:eastAsia="zh-CN"/>
              </w:rPr>
            </w:pPr>
          </w:p>
        </w:tc>
        <w:tc>
          <w:tcPr>
            <w:tcW w:w="810" w:type="pct"/>
            <w:noWrap w:val="0"/>
            <w:vAlign w:val="center"/>
          </w:tcPr>
          <w:p w14:paraId="54FCD6DA">
            <w:pPr>
              <w:keepNext w:val="0"/>
              <w:keepLines w:val="0"/>
              <w:suppressLineNumbers w:val="0"/>
              <w:spacing w:before="0" w:beforeAutospacing="0" w:after="0" w:afterAutospacing="0" w:line="340" w:lineRule="exact"/>
              <w:ind w:left="0" w:right="0"/>
              <w:jc w:val="center"/>
              <w:rPr>
                <w:rFonts w:hint="eastAsia" w:ascii="宋体" w:hAnsi="宋体" w:cs="宋体"/>
                <w:color w:val="auto"/>
                <w:sz w:val="24"/>
                <w:szCs w:val="24"/>
              </w:rPr>
            </w:pPr>
          </w:p>
        </w:tc>
        <w:tc>
          <w:tcPr>
            <w:tcW w:w="811" w:type="pct"/>
            <w:noWrap w:val="0"/>
            <w:vAlign w:val="center"/>
          </w:tcPr>
          <w:p w14:paraId="4F64E59A">
            <w:pPr>
              <w:keepNext w:val="0"/>
              <w:keepLines w:val="0"/>
              <w:suppressLineNumbers w:val="0"/>
              <w:spacing w:before="0" w:beforeAutospacing="0" w:after="0" w:afterAutospacing="0" w:line="340" w:lineRule="exact"/>
              <w:ind w:left="0" w:right="0"/>
              <w:jc w:val="center"/>
              <w:rPr>
                <w:rFonts w:hint="eastAsia" w:ascii="宋体" w:hAnsi="宋体" w:cs="宋体"/>
                <w:color w:val="auto"/>
                <w:sz w:val="24"/>
                <w:szCs w:val="24"/>
              </w:rPr>
            </w:pPr>
          </w:p>
        </w:tc>
      </w:tr>
    </w:tbl>
    <w:p w14:paraId="0943033E">
      <w:pPr>
        <w:spacing w:line="340" w:lineRule="exact"/>
        <w:rPr>
          <w:rFonts w:hint="eastAsia" w:ascii="宋体" w:hAnsi="宋体" w:cs="宋体"/>
          <w:color w:val="auto"/>
          <w:sz w:val="24"/>
          <w:szCs w:val="24"/>
        </w:rPr>
      </w:pPr>
    </w:p>
    <w:p w14:paraId="6E01112E">
      <w:pPr>
        <w:spacing w:line="340" w:lineRule="exact"/>
        <w:rPr>
          <w:rFonts w:hint="eastAsia" w:ascii="宋体" w:hAnsi="宋体" w:cs="宋体"/>
          <w:color w:val="auto"/>
          <w:sz w:val="24"/>
          <w:szCs w:val="24"/>
        </w:rPr>
      </w:pPr>
    </w:p>
    <w:p w14:paraId="0CA408E0">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03339420">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0F2DF773">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5B528C57">
      <w:pPr>
        <w:spacing w:line="360" w:lineRule="auto"/>
        <w:rPr>
          <w:rFonts w:hint="eastAsia" w:ascii="宋体" w:hAnsi="宋体" w:cs="宋体"/>
          <w:color w:val="auto"/>
          <w:sz w:val="24"/>
          <w:szCs w:val="24"/>
          <w:u w:val="single"/>
        </w:rPr>
      </w:pPr>
      <w:r>
        <w:rPr>
          <w:rFonts w:hint="eastAsia" w:ascii="宋体" w:hAnsi="宋体" w:cs="宋体"/>
          <w:color w:val="auto"/>
          <w:sz w:val="24"/>
          <w:szCs w:val="24"/>
          <w:u w:val="single"/>
        </w:rPr>
        <w:t xml:space="preserve">                 </w:t>
      </w:r>
      <w:r>
        <w:rPr>
          <w:rFonts w:hint="eastAsia" w:ascii="宋体" w:hAnsi="宋体" w:cs="宋体"/>
          <w:color w:val="auto"/>
          <w:u w:val="single"/>
        </w:rPr>
        <w:t xml:space="preserve">        </w:t>
      </w:r>
      <w:r>
        <w:rPr>
          <w:rFonts w:hint="eastAsia" w:ascii="宋体" w:hAnsi="宋体" w:cs="宋体"/>
          <w:color w:val="auto"/>
          <w:sz w:val="24"/>
          <w:szCs w:val="24"/>
          <w:u w:val="single"/>
        </w:rPr>
        <w:t xml:space="preserve">  </w:t>
      </w:r>
    </w:p>
    <w:p w14:paraId="0A0B3DCB">
      <w:pPr>
        <w:spacing w:line="360" w:lineRule="auto"/>
        <w:outlineLvl w:val="0"/>
        <w:rPr>
          <w:rFonts w:hint="eastAsia" w:ascii="宋体" w:hAnsi="宋体" w:cs="宋体"/>
          <w:color w:val="auto"/>
          <w:sz w:val="24"/>
          <w:szCs w:val="24"/>
          <w:u w:val="single"/>
        </w:rPr>
      </w:pPr>
      <w:r>
        <w:rPr>
          <w:rFonts w:hint="eastAsia" w:ascii="宋体" w:hAnsi="宋体" w:cs="宋体"/>
          <w:color w:val="auto"/>
          <w:sz w:val="24"/>
          <w:szCs w:val="24"/>
          <w:u w:val="single"/>
        </w:rPr>
        <w:br w:type="page"/>
      </w:r>
    </w:p>
    <w:p w14:paraId="71C1AD22">
      <w:pPr>
        <w:spacing w:line="360" w:lineRule="auto"/>
        <w:jc w:val="left"/>
        <w:rPr>
          <w:rStyle w:val="52"/>
          <w:rFonts w:hint="eastAsia" w:ascii="宋体" w:hAnsi="宋体" w:cs="宋体"/>
          <w:color w:val="auto"/>
          <w:sz w:val="32"/>
          <w:szCs w:val="32"/>
        </w:rPr>
      </w:pPr>
      <w:bookmarkStart w:id="210" w:name="_Toc30148"/>
      <w:bookmarkStart w:id="211" w:name="_Toc28045_WPSOffice_Level3"/>
      <w:bookmarkStart w:id="212" w:name="_Toc17808_WPSOffice_Level3"/>
      <w:r>
        <w:rPr>
          <w:rFonts w:hint="eastAsia" w:ascii="宋体" w:hAnsi="宋体" w:cs="宋体"/>
          <w:b/>
          <w:color w:val="auto"/>
          <w:spacing w:val="-4"/>
          <w:szCs w:val="21"/>
        </w:rPr>
        <w:t>附件2</w:t>
      </w:r>
      <w:bookmarkEnd w:id="210"/>
    </w:p>
    <w:p w14:paraId="27321367">
      <w:pPr>
        <w:spacing w:line="360" w:lineRule="auto"/>
        <w:jc w:val="center"/>
        <w:rPr>
          <w:rFonts w:hint="eastAsia" w:ascii="宋体" w:hAnsi="宋体" w:cs="宋体"/>
          <w:b/>
          <w:color w:val="auto"/>
          <w:spacing w:val="20"/>
          <w:sz w:val="32"/>
          <w:szCs w:val="32"/>
        </w:rPr>
      </w:pPr>
      <w:r>
        <w:rPr>
          <w:rFonts w:hint="eastAsia" w:ascii="宋体" w:hAnsi="宋体" w:cs="宋体"/>
          <w:b/>
          <w:color w:val="auto"/>
          <w:spacing w:val="20"/>
          <w:sz w:val="32"/>
          <w:szCs w:val="32"/>
        </w:rPr>
        <w:t>报价一览表（最终报价）</w:t>
      </w:r>
      <w:bookmarkEnd w:id="211"/>
      <w:bookmarkEnd w:id="212"/>
    </w:p>
    <w:p w14:paraId="22D224AD">
      <w:pPr>
        <w:spacing w:line="360" w:lineRule="auto"/>
        <w:rPr>
          <w:rFonts w:hint="eastAsia" w:ascii="宋体" w:hAnsi="宋体" w:cs="宋体"/>
          <w:color w:val="auto"/>
          <w:sz w:val="24"/>
        </w:rPr>
      </w:pPr>
    </w:p>
    <w:p w14:paraId="7833DE37">
      <w:pPr>
        <w:spacing w:line="360" w:lineRule="auto"/>
        <w:rPr>
          <w:rFonts w:hint="eastAsia" w:ascii="宋体" w:hAnsi="宋体" w:cs="宋体"/>
          <w:color w:val="auto"/>
          <w:sz w:val="24"/>
          <w:szCs w:val="24"/>
        </w:rPr>
      </w:pPr>
      <w:r>
        <w:rPr>
          <w:rFonts w:hint="eastAsia" w:ascii="宋体" w:hAnsi="宋体" w:cs="宋体"/>
          <w:color w:val="auto"/>
          <w:sz w:val="24"/>
        </w:rPr>
        <w:t>项目编号</w:t>
      </w:r>
      <w:r>
        <w:rPr>
          <w:rFonts w:hint="eastAsia" w:ascii="宋体" w:hAnsi="宋体" w:cs="宋体"/>
          <w:color w:val="auto"/>
          <w:sz w:val="24"/>
          <w:szCs w:val="24"/>
        </w:rPr>
        <w:t>：</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p w14:paraId="5D8913C2">
      <w:pPr>
        <w:spacing w:line="360" w:lineRule="auto"/>
        <w:rPr>
          <w:rFonts w:hint="eastAsia" w:ascii="宋体" w:hAnsi="宋体" w:cs="宋体"/>
          <w:color w:val="auto"/>
          <w:sz w:val="24"/>
          <w:szCs w:val="24"/>
        </w:rPr>
      </w:pPr>
      <w:r>
        <w:rPr>
          <w:rFonts w:hint="eastAsia" w:ascii="宋体" w:hAnsi="宋体" w:cs="宋体"/>
          <w:color w:val="auto"/>
          <w:sz w:val="24"/>
          <w:szCs w:val="24"/>
        </w:rPr>
        <w:t>项目名称：</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tbl>
      <w:tblPr>
        <w:tblStyle w:val="49"/>
        <w:tblW w:w="431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171"/>
        <w:gridCol w:w="3805"/>
        <w:gridCol w:w="1193"/>
        <w:gridCol w:w="1195"/>
      </w:tblGrid>
      <w:tr w14:paraId="2E50B1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95" w:type="pct"/>
            <w:noWrap w:val="0"/>
            <w:vAlign w:val="center"/>
          </w:tcPr>
          <w:p w14:paraId="451110E0">
            <w:pPr>
              <w:keepNext w:val="0"/>
              <w:keepLines w:val="0"/>
              <w:suppressLineNumbers w:val="0"/>
              <w:spacing w:before="0" w:beforeAutospacing="0" w:after="0" w:afterAutospacing="0"/>
              <w:ind w:left="-105" w:leftChars="-50" w:right="-105" w:rightChars="-50"/>
              <w:jc w:val="center"/>
              <w:rPr>
                <w:rFonts w:hint="eastAsia" w:ascii="宋体" w:hAnsi="宋体" w:cs="宋体"/>
                <w:b/>
                <w:color w:val="auto"/>
                <w:sz w:val="24"/>
                <w:szCs w:val="24"/>
              </w:rPr>
            </w:pPr>
            <w:r>
              <w:rPr>
                <w:rFonts w:hint="eastAsia" w:ascii="宋体" w:hAnsi="宋体" w:cs="宋体"/>
                <w:b/>
                <w:color w:val="auto"/>
                <w:sz w:val="24"/>
                <w:szCs w:val="24"/>
              </w:rPr>
              <w:t>合同包</w:t>
            </w:r>
          </w:p>
        </w:tc>
        <w:tc>
          <w:tcPr>
            <w:tcW w:w="2583" w:type="pct"/>
            <w:noWrap w:val="0"/>
            <w:vAlign w:val="center"/>
          </w:tcPr>
          <w:p w14:paraId="0E1A51B4">
            <w:pPr>
              <w:keepNext w:val="0"/>
              <w:keepLines w:val="0"/>
              <w:suppressLineNumbers w:val="0"/>
              <w:spacing w:before="0" w:beforeAutospacing="0" w:after="0" w:afterAutospacing="0"/>
              <w:ind w:left="0" w:right="0"/>
              <w:jc w:val="center"/>
              <w:rPr>
                <w:rFonts w:hint="eastAsia" w:ascii="宋体" w:hAnsi="宋体" w:cs="宋体"/>
                <w:b/>
                <w:color w:val="auto"/>
                <w:sz w:val="24"/>
                <w:szCs w:val="24"/>
              </w:rPr>
            </w:pPr>
            <w:r>
              <w:rPr>
                <w:rFonts w:hint="eastAsia" w:ascii="宋体" w:hAnsi="宋体" w:cs="宋体"/>
                <w:b/>
                <w:color w:val="auto"/>
                <w:sz w:val="24"/>
                <w:szCs w:val="24"/>
                <w:lang w:val="en-US" w:eastAsia="zh-CN"/>
              </w:rPr>
              <w:t>项目名称</w:t>
            </w:r>
          </w:p>
        </w:tc>
        <w:tc>
          <w:tcPr>
            <w:tcW w:w="810" w:type="pct"/>
            <w:noWrap w:val="0"/>
            <w:vAlign w:val="center"/>
          </w:tcPr>
          <w:p w14:paraId="2FA687B9">
            <w:pPr>
              <w:keepNext w:val="0"/>
              <w:keepLines w:val="0"/>
              <w:suppressLineNumbers w:val="0"/>
              <w:spacing w:before="0" w:beforeAutospacing="0" w:after="0" w:afterAutospacing="0"/>
              <w:ind w:left="0" w:right="0"/>
              <w:jc w:val="center"/>
              <w:rPr>
                <w:rFonts w:hint="eastAsia" w:ascii="宋体" w:hAnsi="宋体" w:eastAsia="宋体" w:cs="宋体"/>
                <w:b/>
                <w:color w:val="auto"/>
                <w:sz w:val="24"/>
                <w:szCs w:val="24"/>
                <w:lang w:val="en-US" w:eastAsia="zh-CN"/>
              </w:rPr>
            </w:pPr>
            <w:r>
              <w:rPr>
                <w:rFonts w:hint="eastAsia" w:ascii="宋体" w:hAnsi="宋体" w:cs="宋体"/>
                <w:b/>
                <w:color w:val="auto"/>
                <w:sz w:val="24"/>
                <w:szCs w:val="24"/>
                <w:lang w:val="en-US" w:eastAsia="zh-CN"/>
              </w:rPr>
              <w:t>统一折扣报价</w:t>
            </w:r>
          </w:p>
        </w:tc>
        <w:tc>
          <w:tcPr>
            <w:tcW w:w="811" w:type="pct"/>
            <w:noWrap w:val="0"/>
            <w:vAlign w:val="center"/>
          </w:tcPr>
          <w:p w14:paraId="556FF704">
            <w:pPr>
              <w:keepNext w:val="0"/>
              <w:keepLines w:val="0"/>
              <w:suppressLineNumbers w:val="0"/>
              <w:spacing w:before="0" w:beforeAutospacing="0" w:after="0" w:afterAutospacing="0"/>
              <w:ind w:left="0" w:right="0"/>
              <w:jc w:val="center"/>
              <w:rPr>
                <w:rFonts w:hint="eastAsia" w:ascii="宋体" w:hAnsi="宋体" w:cs="宋体"/>
                <w:b/>
                <w:color w:val="auto"/>
                <w:sz w:val="24"/>
                <w:szCs w:val="24"/>
                <w:lang w:val="en-US" w:eastAsia="zh-CN"/>
              </w:rPr>
            </w:pPr>
            <w:r>
              <w:rPr>
                <w:rFonts w:hint="eastAsia" w:ascii="宋体" w:hAnsi="宋体" w:cs="宋体"/>
                <w:b/>
                <w:color w:val="auto"/>
                <w:sz w:val="24"/>
                <w:szCs w:val="24"/>
                <w:lang w:val="en-US" w:eastAsia="zh-CN"/>
              </w:rPr>
              <w:t>备注</w:t>
            </w:r>
          </w:p>
        </w:tc>
      </w:tr>
      <w:tr w14:paraId="465BAA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5" w:hRule="atLeast"/>
          <w:jc w:val="center"/>
        </w:trPr>
        <w:tc>
          <w:tcPr>
            <w:tcW w:w="795" w:type="pct"/>
            <w:noWrap w:val="0"/>
            <w:vAlign w:val="center"/>
          </w:tcPr>
          <w:p w14:paraId="53DAF198">
            <w:pPr>
              <w:keepNext w:val="0"/>
              <w:keepLines w:val="0"/>
              <w:suppressLineNumbers w:val="0"/>
              <w:spacing w:before="0" w:beforeAutospacing="0" w:after="0" w:afterAutospacing="0" w:line="340" w:lineRule="exact"/>
              <w:ind w:left="0" w:right="0"/>
              <w:jc w:val="center"/>
              <w:rPr>
                <w:rFonts w:hint="eastAsia" w:ascii="宋体" w:hAnsi="宋体" w:cs="宋体"/>
                <w:color w:val="auto"/>
                <w:sz w:val="24"/>
                <w:szCs w:val="24"/>
              </w:rPr>
            </w:pPr>
            <w:r>
              <w:rPr>
                <w:rFonts w:hint="eastAsia" w:ascii="宋体" w:hAnsi="宋体" w:cs="宋体"/>
                <w:color w:val="auto"/>
                <w:sz w:val="24"/>
                <w:szCs w:val="24"/>
              </w:rPr>
              <w:t>1</w:t>
            </w:r>
          </w:p>
        </w:tc>
        <w:tc>
          <w:tcPr>
            <w:tcW w:w="2583" w:type="pct"/>
            <w:noWrap w:val="0"/>
            <w:vAlign w:val="center"/>
          </w:tcPr>
          <w:p w14:paraId="4BFECE7C">
            <w:pPr>
              <w:keepNext w:val="0"/>
              <w:keepLines w:val="0"/>
              <w:suppressLineNumbers w:val="0"/>
              <w:spacing w:before="0" w:beforeAutospacing="0" w:after="0" w:afterAutospacing="0"/>
              <w:ind w:left="0" w:right="0"/>
              <w:jc w:val="center"/>
              <w:rPr>
                <w:rFonts w:hint="default" w:ascii="宋体" w:hAnsi="宋体" w:eastAsia="宋体" w:cs="宋体"/>
                <w:color w:val="auto"/>
                <w:sz w:val="24"/>
                <w:szCs w:val="24"/>
                <w:lang w:val="en-US" w:eastAsia="zh-CN"/>
              </w:rPr>
            </w:pPr>
          </w:p>
        </w:tc>
        <w:tc>
          <w:tcPr>
            <w:tcW w:w="810" w:type="pct"/>
            <w:noWrap w:val="0"/>
            <w:vAlign w:val="center"/>
          </w:tcPr>
          <w:p w14:paraId="6CAC3E0B">
            <w:pPr>
              <w:keepNext w:val="0"/>
              <w:keepLines w:val="0"/>
              <w:suppressLineNumbers w:val="0"/>
              <w:spacing w:before="0" w:beforeAutospacing="0" w:after="0" w:afterAutospacing="0" w:line="340" w:lineRule="exact"/>
              <w:ind w:left="0" w:right="0"/>
              <w:jc w:val="center"/>
              <w:rPr>
                <w:rFonts w:hint="eastAsia" w:ascii="宋体" w:hAnsi="宋体" w:cs="宋体"/>
                <w:color w:val="auto"/>
                <w:sz w:val="24"/>
                <w:szCs w:val="24"/>
              </w:rPr>
            </w:pPr>
          </w:p>
        </w:tc>
        <w:tc>
          <w:tcPr>
            <w:tcW w:w="811" w:type="pct"/>
            <w:noWrap w:val="0"/>
            <w:vAlign w:val="center"/>
          </w:tcPr>
          <w:p w14:paraId="222E9A3E">
            <w:pPr>
              <w:keepNext w:val="0"/>
              <w:keepLines w:val="0"/>
              <w:suppressLineNumbers w:val="0"/>
              <w:spacing w:before="0" w:beforeAutospacing="0" w:after="0" w:afterAutospacing="0" w:line="340" w:lineRule="exact"/>
              <w:ind w:left="0" w:right="0"/>
              <w:jc w:val="center"/>
              <w:rPr>
                <w:rFonts w:hint="eastAsia" w:ascii="宋体" w:hAnsi="宋体" w:cs="宋体"/>
                <w:color w:val="auto"/>
                <w:sz w:val="24"/>
                <w:szCs w:val="24"/>
              </w:rPr>
            </w:pPr>
          </w:p>
        </w:tc>
      </w:tr>
    </w:tbl>
    <w:p w14:paraId="0047E18B">
      <w:pPr>
        <w:spacing w:line="340" w:lineRule="exact"/>
        <w:rPr>
          <w:rFonts w:hint="eastAsia" w:ascii="宋体" w:hAnsi="宋体" w:cs="宋体"/>
          <w:color w:val="auto"/>
          <w:sz w:val="24"/>
          <w:szCs w:val="24"/>
        </w:rPr>
      </w:pPr>
    </w:p>
    <w:p w14:paraId="4F1F2F08">
      <w:pPr>
        <w:spacing w:line="340" w:lineRule="exact"/>
        <w:rPr>
          <w:rFonts w:hint="eastAsia" w:ascii="宋体" w:hAnsi="宋体" w:cs="宋体"/>
          <w:color w:val="auto"/>
          <w:sz w:val="24"/>
          <w:szCs w:val="24"/>
        </w:rPr>
      </w:pPr>
    </w:p>
    <w:p w14:paraId="28565562">
      <w:pPr>
        <w:spacing w:line="340" w:lineRule="exact"/>
        <w:rPr>
          <w:rFonts w:hint="eastAsia" w:ascii="宋体" w:hAnsi="宋体" w:cs="宋体"/>
          <w:b/>
          <w:color w:val="auto"/>
          <w:sz w:val="22"/>
          <w:szCs w:val="22"/>
        </w:rPr>
      </w:pPr>
      <w:r>
        <w:rPr>
          <w:rFonts w:hint="eastAsia" w:ascii="宋体" w:hAnsi="宋体" w:cs="宋体"/>
          <w:b/>
          <w:color w:val="auto"/>
          <w:sz w:val="22"/>
          <w:szCs w:val="22"/>
        </w:rPr>
        <w:t>本表无需装入响应文件，在磋商后单独密封提交。</w:t>
      </w:r>
    </w:p>
    <w:p w14:paraId="7DC94D98">
      <w:pPr>
        <w:spacing w:line="340" w:lineRule="exact"/>
        <w:rPr>
          <w:rFonts w:hint="eastAsia" w:ascii="宋体" w:hAnsi="宋体" w:cs="宋体"/>
          <w:color w:val="auto"/>
          <w:sz w:val="24"/>
          <w:szCs w:val="24"/>
        </w:rPr>
      </w:pPr>
    </w:p>
    <w:p w14:paraId="268C36AB">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5AD7896E">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326B14B1">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35AAFBA8">
      <w:pPr>
        <w:spacing w:line="360" w:lineRule="auto"/>
        <w:rPr>
          <w:rFonts w:hint="eastAsia" w:ascii="宋体" w:hAnsi="宋体" w:cs="宋体"/>
          <w:color w:val="auto"/>
          <w:sz w:val="24"/>
          <w:szCs w:val="24"/>
          <w:u w:val="single"/>
        </w:rPr>
      </w:pPr>
      <w:r>
        <w:rPr>
          <w:rFonts w:hint="eastAsia" w:ascii="宋体" w:hAnsi="宋体" w:cs="宋体"/>
          <w:color w:val="auto"/>
          <w:sz w:val="24"/>
          <w:szCs w:val="24"/>
          <w:u w:val="single"/>
        </w:rPr>
        <w:t xml:space="preserve">               </w:t>
      </w:r>
      <w:r>
        <w:rPr>
          <w:rFonts w:hint="eastAsia" w:ascii="宋体" w:hAnsi="宋体" w:cs="宋体"/>
          <w:color w:val="auto"/>
          <w:u w:val="single"/>
        </w:rPr>
        <w:t xml:space="preserve">        </w:t>
      </w:r>
      <w:r>
        <w:rPr>
          <w:rFonts w:hint="eastAsia" w:ascii="宋体" w:hAnsi="宋体" w:cs="宋体"/>
          <w:color w:val="auto"/>
          <w:sz w:val="24"/>
          <w:szCs w:val="24"/>
          <w:u w:val="single"/>
        </w:rPr>
        <w:t xml:space="preserve">  </w:t>
      </w:r>
    </w:p>
    <w:p w14:paraId="72FC6342">
      <w:pPr>
        <w:pStyle w:val="289"/>
        <w:ind w:firstLine="480"/>
        <w:rPr>
          <w:rFonts w:hint="eastAsia" w:ascii="宋体" w:hAnsi="宋体" w:cs="宋体"/>
          <w:color w:val="auto"/>
          <w:sz w:val="24"/>
          <w:szCs w:val="24"/>
          <w:u w:val="single"/>
        </w:rPr>
      </w:pPr>
    </w:p>
    <w:p w14:paraId="40503B90">
      <w:pPr>
        <w:pStyle w:val="289"/>
        <w:ind w:firstLine="480"/>
        <w:rPr>
          <w:rFonts w:hint="eastAsia" w:ascii="宋体" w:hAnsi="宋体" w:cs="宋体"/>
          <w:color w:val="auto"/>
          <w:sz w:val="24"/>
          <w:szCs w:val="24"/>
          <w:u w:val="single"/>
        </w:rPr>
      </w:pPr>
    </w:p>
    <w:p w14:paraId="066BA3FB">
      <w:pPr>
        <w:spacing w:line="360" w:lineRule="auto"/>
        <w:jc w:val="center"/>
        <w:rPr>
          <w:rStyle w:val="52"/>
          <w:rFonts w:hint="eastAsia" w:ascii="宋体" w:hAnsi="宋体" w:cs="宋体"/>
          <w:color w:val="auto"/>
          <w:sz w:val="32"/>
          <w:szCs w:val="32"/>
        </w:rPr>
      </w:pPr>
    </w:p>
    <w:p w14:paraId="0D00810A">
      <w:pPr>
        <w:spacing w:line="360" w:lineRule="auto"/>
        <w:jc w:val="center"/>
        <w:rPr>
          <w:rStyle w:val="52"/>
          <w:rFonts w:hint="eastAsia" w:ascii="宋体" w:hAnsi="宋体" w:cs="宋体"/>
          <w:color w:val="auto"/>
          <w:sz w:val="32"/>
          <w:szCs w:val="32"/>
        </w:rPr>
      </w:pPr>
    </w:p>
    <w:p w14:paraId="4303029A">
      <w:pPr>
        <w:spacing w:line="360" w:lineRule="auto"/>
        <w:jc w:val="center"/>
        <w:rPr>
          <w:rStyle w:val="52"/>
          <w:rFonts w:hint="eastAsia" w:ascii="宋体" w:hAnsi="宋体" w:cs="宋体"/>
          <w:color w:val="auto"/>
          <w:sz w:val="32"/>
          <w:szCs w:val="32"/>
        </w:rPr>
      </w:pPr>
    </w:p>
    <w:p w14:paraId="2272B7DF">
      <w:pPr>
        <w:rPr>
          <w:rFonts w:hint="eastAsia" w:ascii="宋体" w:hAnsi="宋体" w:cs="宋体"/>
          <w:b/>
          <w:color w:val="auto"/>
          <w:spacing w:val="-4"/>
          <w:szCs w:val="21"/>
        </w:rPr>
      </w:pPr>
      <w:bookmarkStart w:id="213" w:name="_Toc26502"/>
      <w:bookmarkStart w:id="214" w:name="_Toc16240_WPSOffice_Level3"/>
      <w:bookmarkStart w:id="215" w:name="_Toc22665_WPSOffice_Level3"/>
      <w:r>
        <w:rPr>
          <w:rFonts w:hint="eastAsia" w:ascii="宋体" w:hAnsi="宋体" w:cs="宋体"/>
          <w:b/>
          <w:color w:val="auto"/>
          <w:spacing w:val="-4"/>
          <w:szCs w:val="21"/>
        </w:rPr>
        <w:br w:type="page"/>
      </w:r>
    </w:p>
    <w:p w14:paraId="47F5F8AF">
      <w:pPr>
        <w:spacing w:line="360" w:lineRule="auto"/>
        <w:jc w:val="left"/>
        <w:outlineLvl w:val="0"/>
        <w:rPr>
          <w:rFonts w:hint="eastAsia" w:ascii="宋体" w:hAnsi="宋体" w:cs="宋体"/>
          <w:b/>
          <w:color w:val="auto"/>
          <w:sz w:val="28"/>
        </w:rPr>
      </w:pPr>
      <w:r>
        <w:rPr>
          <w:rFonts w:hint="eastAsia" w:ascii="宋体" w:hAnsi="宋体" w:cs="宋体"/>
          <w:b/>
          <w:color w:val="auto"/>
          <w:spacing w:val="-4"/>
          <w:szCs w:val="21"/>
        </w:rPr>
        <w:t>附件</w:t>
      </w:r>
      <w:bookmarkEnd w:id="213"/>
      <w:r>
        <w:rPr>
          <w:rFonts w:hint="eastAsia" w:ascii="宋体" w:hAnsi="宋体" w:cs="宋体"/>
          <w:b/>
          <w:color w:val="auto"/>
          <w:spacing w:val="-4"/>
          <w:szCs w:val="21"/>
        </w:rPr>
        <w:t>3</w:t>
      </w:r>
    </w:p>
    <w:p w14:paraId="2AA5E820">
      <w:pPr>
        <w:spacing w:line="360" w:lineRule="auto"/>
        <w:jc w:val="center"/>
        <w:rPr>
          <w:rFonts w:hint="eastAsia" w:ascii="宋体" w:hAnsi="宋体" w:cs="宋体"/>
          <w:b/>
          <w:color w:val="auto"/>
          <w:sz w:val="32"/>
          <w:szCs w:val="32"/>
        </w:rPr>
      </w:pPr>
      <w:r>
        <w:rPr>
          <w:rFonts w:hint="eastAsia" w:ascii="宋体" w:hAnsi="宋体" w:cs="宋体"/>
          <w:b/>
          <w:color w:val="auto"/>
          <w:sz w:val="32"/>
          <w:szCs w:val="32"/>
        </w:rPr>
        <w:t>报价书</w:t>
      </w:r>
      <w:bookmarkEnd w:id="214"/>
      <w:bookmarkEnd w:id="215"/>
    </w:p>
    <w:p w14:paraId="795E1F24">
      <w:pPr>
        <w:spacing w:line="360" w:lineRule="auto"/>
        <w:rPr>
          <w:rFonts w:hint="eastAsia" w:ascii="宋体" w:hAnsi="宋体" w:cs="宋体"/>
          <w:color w:val="auto"/>
          <w:sz w:val="24"/>
          <w:szCs w:val="24"/>
        </w:rPr>
      </w:pPr>
      <w:r>
        <w:rPr>
          <w:rFonts w:hint="eastAsia" w:ascii="宋体" w:hAnsi="宋体" w:cs="宋体"/>
          <w:color w:val="auto"/>
          <w:sz w:val="24"/>
          <w:szCs w:val="24"/>
        </w:rPr>
        <w:t>致：</w:t>
      </w:r>
      <w:r>
        <w:rPr>
          <w:rFonts w:hint="eastAsia" w:ascii="宋体" w:hAnsi="宋体" w:cs="宋体"/>
          <w:color w:val="auto"/>
          <w:sz w:val="24"/>
          <w:szCs w:val="24"/>
          <w:u w:val="single"/>
        </w:rPr>
        <w:t> 福建优胜招标项目管理集团有限公司</w:t>
      </w:r>
    </w:p>
    <w:p w14:paraId="0780E4CD">
      <w:pPr>
        <w:spacing w:line="360" w:lineRule="auto"/>
        <w:ind w:firstLine="480"/>
        <w:rPr>
          <w:rFonts w:hint="eastAsia" w:ascii="宋体" w:hAnsi="宋体" w:cs="宋体"/>
          <w:color w:val="auto"/>
          <w:sz w:val="24"/>
          <w:szCs w:val="24"/>
        </w:rPr>
      </w:pPr>
      <w:r>
        <w:rPr>
          <w:rFonts w:hint="eastAsia" w:ascii="宋体" w:hAnsi="宋体" w:cs="宋体"/>
          <w:color w:val="auto"/>
          <w:sz w:val="24"/>
          <w:szCs w:val="24"/>
        </w:rPr>
        <w:t xml:space="preserve">根据贵方为 </w:t>
      </w:r>
      <w:r>
        <w:rPr>
          <w:rFonts w:hint="eastAsia" w:ascii="宋体" w:hAnsi="宋体" w:cs="宋体"/>
          <w:color w:val="auto"/>
          <w:sz w:val="24"/>
          <w:szCs w:val="24"/>
          <w:u w:val="single"/>
        </w:rPr>
        <w:t xml:space="preserve"> （项目名称）</w:t>
      </w:r>
      <w:r>
        <w:rPr>
          <w:rFonts w:hint="eastAsia" w:ascii="宋体" w:hAnsi="宋体" w:cs="宋体"/>
          <w:color w:val="auto"/>
          <w:sz w:val="24"/>
          <w:szCs w:val="24"/>
        </w:rPr>
        <w:t xml:space="preserve">的磋商邀请（项目编号）: </w:t>
      </w:r>
      <w:r>
        <w:rPr>
          <w:rFonts w:hint="eastAsia" w:ascii="宋体" w:hAnsi="宋体" w:cs="宋体"/>
          <w:color w:val="auto"/>
          <w:sz w:val="24"/>
          <w:szCs w:val="24"/>
          <w:u w:val="single"/>
        </w:rPr>
        <w:t xml:space="preserve">        </w:t>
      </w:r>
      <w:r>
        <w:rPr>
          <w:rFonts w:hint="eastAsia" w:ascii="宋体" w:hAnsi="宋体" w:cs="宋体"/>
          <w:color w:val="auto"/>
          <w:sz w:val="24"/>
          <w:szCs w:val="24"/>
        </w:rPr>
        <w:t>，本签署代表</w:t>
      </w:r>
      <w:r>
        <w:rPr>
          <w:rFonts w:hint="eastAsia" w:ascii="宋体" w:hAnsi="宋体" w:cs="宋体"/>
          <w:color w:val="auto"/>
          <w:sz w:val="24"/>
          <w:szCs w:val="24"/>
          <w:u w:val="single"/>
        </w:rPr>
        <w:t>（全名、职务）</w:t>
      </w:r>
      <w:r>
        <w:rPr>
          <w:rFonts w:hint="eastAsia" w:ascii="宋体" w:hAnsi="宋体" w:cs="宋体"/>
          <w:color w:val="auto"/>
          <w:sz w:val="24"/>
          <w:szCs w:val="24"/>
        </w:rPr>
        <w:t>被正式授权并代表供应商</w:t>
      </w:r>
      <w:r>
        <w:rPr>
          <w:rFonts w:hint="eastAsia" w:ascii="宋体" w:hAnsi="宋体" w:cs="宋体"/>
          <w:color w:val="auto"/>
          <w:sz w:val="24"/>
          <w:szCs w:val="24"/>
          <w:u w:val="single"/>
        </w:rPr>
        <w:t>（供应商全称）</w:t>
      </w:r>
      <w:r>
        <w:rPr>
          <w:rFonts w:hint="eastAsia" w:ascii="宋体" w:hAnsi="宋体" w:cs="宋体"/>
          <w:color w:val="auto"/>
          <w:sz w:val="24"/>
          <w:szCs w:val="24"/>
        </w:rPr>
        <w:t>提交下述文件正本一份和副本</w:t>
      </w:r>
      <w:r>
        <w:rPr>
          <w:rFonts w:hint="eastAsia" w:ascii="宋体" w:hAnsi="宋体" w:cs="宋体"/>
          <w:color w:val="auto"/>
          <w:sz w:val="24"/>
          <w:szCs w:val="24"/>
          <w:u w:val="single"/>
        </w:rPr>
        <w:t xml:space="preserve">    </w:t>
      </w:r>
      <w:r>
        <w:rPr>
          <w:rFonts w:hint="eastAsia" w:ascii="宋体" w:hAnsi="宋体" w:cs="宋体"/>
          <w:color w:val="auto"/>
          <w:sz w:val="24"/>
          <w:szCs w:val="24"/>
        </w:rPr>
        <w:t>份。</w:t>
      </w:r>
    </w:p>
    <w:p w14:paraId="1EB1990F">
      <w:pPr>
        <w:spacing w:line="360" w:lineRule="auto"/>
        <w:rPr>
          <w:rFonts w:hint="eastAsia" w:ascii="宋体" w:hAnsi="宋体" w:cs="宋体"/>
          <w:color w:val="auto"/>
          <w:sz w:val="24"/>
          <w:szCs w:val="24"/>
        </w:rPr>
      </w:pPr>
      <w:r>
        <w:rPr>
          <w:rFonts w:hint="eastAsia" w:ascii="宋体" w:hAnsi="宋体" w:cs="宋体"/>
          <w:color w:val="auto"/>
          <w:sz w:val="24"/>
          <w:szCs w:val="24"/>
        </w:rPr>
        <w:t>以</w:t>
      </w:r>
      <w:r>
        <w:rPr>
          <w:rFonts w:hint="eastAsia" w:ascii="宋体" w:hAnsi="宋体" w:cs="宋体"/>
          <w:color w:val="auto"/>
          <w:sz w:val="24"/>
          <w:szCs w:val="24"/>
          <w:u w:val="single"/>
        </w:rPr>
        <w:t xml:space="preserve">       </w:t>
      </w:r>
      <w:r>
        <w:rPr>
          <w:rFonts w:hint="eastAsia" w:ascii="宋体" w:hAnsi="宋体" w:cs="宋体"/>
          <w:color w:val="auto"/>
          <w:sz w:val="24"/>
          <w:szCs w:val="24"/>
        </w:rPr>
        <w:t>方式提供的金额为人民币</w:t>
      </w:r>
      <w:r>
        <w:rPr>
          <w:rFonts w:hint="eastAsia" w:ascii="宋体" w:hAnsi="宋体" w:cs="宋体"/>
          <w:color w:val="auto"/>
          <w:sz w:val="24"/>
          <w:szCs w:val="24"/>
          <w:u w:val="single"/>
        </w:rPr>
        <w:t xml:space="preserve">       </w:t>
      </w:r>
      <w:r>
        <w:rPr>
          <w:rFonts w:hint="eastAsia" w:ascii="宋体" w:hAnsi="宋体" w:cs="宋体"/>
          <w:color w:val="auto"/>
          <w:sz w:val="24"/>
          <w:szCs w:val="24"/>
        </w:rPr>
        <w:t>元的磋商保证金。</w:t>
      </w:r>
    </w:p>
    <w:p w14:paraId="32B274B0">
      <w:pPr>
        <w:tabs>
          <w:tab w:val="left" w:pos="1260"/>
        </w:tabs>
        <w:spacing w:line="360" w:lineRule="auto"/>
        <w:ind w:firstLine="588" w:firstLineChars="245"/>
        <w:rPr>
          <w:rFonts w:hint="eastAsia" w:ascii="宋体" w:hAnsi="宋体" w:cs="宋体"/>
          <w:color w:val="auto"/>
          <w:sz w:val="24"/>
          <w:szCs w:val="24"/>
        </w:rPr>
      </w:pPr>
      <w:r>
        <w:rPr>
          <w:rFonts w:hint="eastAsia" w:ascii="宋体" w:hAnsi="宋体" w:cs="宋体"/>
          <w:color w:val="auto"/>
          <w:sz w:val="24"/>
          <w:szCs w:val="24"/>
        </w:rPr>
        <w:t>据此函，签署代表宣布同意如下：</w:t>
      </w:r>
    </w:p>
    <w:p w14:paraId="7AEEFD8C">
      <w:pPr>
        <w:numPr>
          <w:ilvl w:val="0"/>
          <w:numId w:val="21"/>
        </w:numPr>
        <w:tabs>
          <w:tab w:val="left" w:pos="0"/>
        </w:tabs>
        <w:spacing w:line="360" w:lineRule="auto"/>
        <w:ind w:left="0" w:firstLine="525"/>
        <w:rPr>
          <w:rFonts w:hint="eastAsia" w:ascii="宋体" w:hAnsi="宋体" w:cs="宋体"/>
          <w:color w:val="auto"/>
          <w:sz w:val="24"/>
          <w:szCs w:val="24"/>
        </w:rPr>
      </w:pPr>
      <w:r>
        <w:rPr>
          <w:rFonts w:hint="eastAsia" w:ascii="宋体" w:hAnsi="宋体" w:cs="宋体"/>
          <w:color w:val="auto"/>
          <w:sz w:val="24"/>
          <w:szCs w:val="24"/>
        </w:rPr>
        <w:t>我方愿意积极参与本项目的报价，并保证遵守竞争性磋商文件的全部规定，所提交的材料中所含的信息均为真实、准确、完整，且不具有任何误导性。</w:t>
      </w:r>
    </w:p>
    <w:p w14:paraId="362760BE">
      <w:pPr>
        <w:numPr>
          <w:ilvl w:val="0"/>
          <w:numId w:val="21"/>
        </w:numPr>
        <w:tabs>
          <w:tab w:val="left" w:pos="0"/>
        </w:tabs>
        <w:spacing w:line="360" w:lineRule="auto"/>
        <w:ind w:left="0" w:firstLine="525"/>
        <w:rPr>
          <w:rFonts w:hint="eastAsia" w:ascii="宋体" w:hAnsi="宋体" w:cs="宋体"/>
          <w:color w:val="auto"/>
          <w:sz w:val="24"/>
          <w:szCs w:val="24"/>
        </w:rPr>
      </w:pPr>
      <w:r>
        <w:rPr>
          <w:rFonts w:hint="eastAsia" w:ascii="宋体" w:hAnsi="宋体" w:cs="宋体"/>
          <w:color w:val="auto"/>
          <w:sz w:val="24"/>
          <w:szCs w:val="24"/>
        </w:rPr>
        <w:t>我方已详细审查全部竞争性磋商文件，包括修改文件（如有的话）和有关附件，将自行承担因对全部竞争性磋商文件理解不正确或误解而产生的相应后果。</w:t>
      </w:r>
    </w:p>
    <w:p w14:paraId="5574BC74">
      <w:pPr>
        <w:numPr>
          <w:ilvl w:val="0"/>
          <w:numId w:val="21"/>
        </w:numPr>
        <w:tabs>
          <w:tab w:val="left" w:pos="0"/>
        </w:tabs>
        <w:spacing w:line="360" w:lineRule="auto"/>
        <w:ind w:left="0" w:firstLine="525"/>
        <w:rPr>
          <w:rFonts w:hint="eastAsia" w:ascii="宋体" w:hAnsi="宋体" w:cs="宋体"/>
          <w:color w:val="auto"/>
          <w:sz w:val="24"/>
          <w:szCs w:val="24"/>
        </w:rPr>
      </w:pPr>
      <w:r>
        <w:rPr>
          <w:rFonts w:hint="eastAsia" w:ascii="宋体" w:hAnsi="宋体" w:cs="宋体"/>
          <w:color w:val="auto"/>
          <w:sz w:val="24"/>
          <w:szCs w:val="24"/>
        </w:rPr>
        <w:t>我方将按竞争性磋商文件的规定履行合同责任和义务。</w:t>
      </w:r>
    </w:p>
    <w:p w14:paraId="1A05CEBA">
      <w:pPr>
        <w:numPr>
          <w:ilvl w:val="0"/>
          <w:numId w:val="21"/>
        </w:numPr>
        <w:tabs>
          <w:tab w:val="left" w:pos="0"/>
        </w:tabs>
        <w:spacing w:line="360" w:lineRule="auto"/>
        <w:ind w:left="0" w:right="-210" w:rightChars="-100" w:firstLine="527"/>
        <w:rPr>
          <w:rFonts w:hint="eastAsia" w:ascii="宋体" w:hAnsi="宋体" w:cs="宋体"/>
          <w:color w:val="auto"/>
          <w:sz w:val="24"/>
          <w:szCs w:val="24"/>
        </w:rPr>
      </w:pPr>
      <w:r>
        <w:rPr>
          <w:rFonts w:hint="eastAsia" w:ascii="宋体" w:hAnsi="宋体" w:cs="宋体"/>
          <w:color w:val="auto"/>
          <w:sz w:val="24"/>
          <w:szCs w:val="24"/>
        </w:rPr>
        <w:t>本响应文件自响应文件递交截止起报价有效期为：90个日历日</w:t>
      </w:r>
    </w:p>
    <w:p w14:paraId="41918D11">
      <w:pPr>
        <w:numPr>
          <w:ilvl w:val="0"/>
          <w:numId w:val="21"/>
        </w:numPr>
        <w:tabs>
          <w:tab w:val="left" w:pos="0"/>
        </w:tabs>
        <w:spacing w:line="360" w:lineRule="auto"/>
        <w:ind w:left="0" w:firstLine="525"/>
        <w:rPr>
          <w:rFonts w:hint="eastAsia" w:ascii="宋体" w:hAnsi="宋体" w:cs="宋体"/>
          <w:color w:val="auto"/>
          <w:sz w:val="24"/>
          <w:szCs w:val="24"/>
        </w:rPr>
      </w:pPr>
      <w:r>
        <w:rPr>
          <w:rFonts w:hint="eastAsia" w:ascii="宋体" w:hAnsi="宋体" w:cs="宋体"/>
          <w:color w:val="auto"/>
          <w:sz w:val="24"/>
          <w:szCs w:val="24"/>
        </w:rPr>
        <w:t>如果发生竞争性磋商文件第二章供应商须知第12条所述情况，则同意采购代理机构不予退还磋商保证金。</w:t>
      </w:r>
    </w:p>
    <w:p w14:paraId="42E4C663">
      <w:pPr>
        <w:numPr>
          <w:ilvl w:val="0"/>
          <w:numId w:val="21"/>
        </w:numPr>
        <w:tabs>
          <w:tab w:val="left" w:pos="0"/>
        </w:tabs>
        <w:spacing w:line="360" w:lineRule="auto"/>
        <w:ind w:left="0" w:firstLine="525"/>
        <w:rPr>
          <w:rFonts w:hint="eastAsia" w:ascii="宋体" w:hAnsi="宋体" w:cs="宋体"/>
          <w:color w:val="auto"/>
          <w:sz w:val="24"/>
          <w:szCs w:val="24"/>
        </w:rPr>
      </w:pPr>
      <w:r>
        <w:rPr>
          <w:rFonts w:hint="eastAsia" w:ascii="宋体" w:hAnsi="宋体" w:cs="宋体"/>
          <w:color w:val="auto"/>
          <w:sz w:val="24"/>
          <w:szCs w:val="24"/>
        </w:rPr>
        <w:t>我方同意提供按照</w:t>
      </w:r>
      <w:r>
        <w:rPr>
          <w:rFonts w:hint="eastAsia" w:ascii="宋体" w:hAnsi="宋体" w:cs="宋体"/>
          <w:color w:val="auto"/>
          <w:sz w:val="24"/>
          <w:szCs w:val="24"/>
          <w:lang w:val="en-US" w:eastAsia="zh-CN"/>
        </w:rPr>
        <w:t>采购人</w:t>
      </w:r>
      <w:r>
        <w:rPr>
          <w:rFonts w:hint="eastAsia" w:ascii="宋体" w:hAnsi="宋体" w:cs="宋体"/>
          <w:color w:val="auto"/>
          <w:sz w:val="24"/>
          <w:szCs w:val="24"/>
        </w:rPr>
        <w:t>可能要求的与其报价有关的一切数据或资料，完全理解贵方不一定要接受最低的报价或收到的任何报价。</w:t>
      </w:r>
    </w:p>
    <w:p w14:paraId="549185DC">
      <w:pPr>
        <w:numPr>
          <w:ilvl w:val="0"/>
          <w:numId w:val="21"/>
        </w:numPr>
        <w:tabs>
          <w:tab w:val="left" w:pos="0"/>
        </w:tabs>
        <w:spacing w:line="360" w:lineRule="auto"/>
        <w:ind w:left="0" w:firstLine="525"/>
        <w:rPr>
          <w:rFonts w:hint="eastAsia" w:ascii="宋体" w:hAnsi="宋体" w:cs="宋体"/>
          <w:color w:val="auto"/>
          <w:sz w:val="24"/>
          <w:szCs w:val="24"/>
        </w:rPr>
      </w:pPr>
      <w:r>
        <w:rPr>
          <w:rFonts w:hint="eastAsia" w:ascii="宋体" w:hAnsi="宋体" w:cs="宋体"/>
          <w:color w:val="auto"/>
          <w:sz w:val="24"/>
          <w:szCs w:val="24"/>
        </w:rPr>
        <w:t>与本项目有关的一切正式往来通信请寄：</w:t>
      </w:r>
    </w:p>
    <w:p w14:paraId="3E67FD21">
      <w:pPr>
        <w:spacing w:line="360" w:lineRule="auto"/>
        <w:rPr>
          <w:rFonts w:hint="eastAsia" w:ascii="宋体" w:hAnsi="宋体" w:cs="宋体"/>
          <w:color w:val="auto"/>
          <w:sz w:val="24"/>
          <w:szCs w:val="24"/>
          <w:u w:val="single"/>
        </w:rPr>
      </w:pPr>
      <w:r>
        <w:rPr>
          <w:rFonts w:hint="eastAsia" w:ascii="宋体" w:hAnsi="宋体" w:cs="宋体"/>
          <w:color w:val="auto"/>
          <w:sz w:val="24"/>
          <w:szCs w:val="24"/>
        </w:rPr>
        <w:t xml:space="preserve">     供应商全称（加盖公章） ：</w:t>
      </w:r>
      <w:r>
        <w:rPr>
          <w:rFonts w:hint="eastAsia" w:ascii="宋体" w:hAnsi="宋体" w:cs="宋体"/>
          <w:color w:val="auto"/>
          <w:sz w:val="24"/>
          <w:szCs w:val="24"/>
          <w:u w:val="single"/>
        </w:rPr>
        <w:t xml:space="preserve">                       </w:t>
      </w:r>
    </w:p>
    <w:p w14:paraId="2E1E50ED">
      <w:pPr>
        <w:spacing w:line="360" w:lineRule="auto"/>
        <w:ind w:firstLine="117" w:firstLineChars="49"/>
        <w:rPr>
          <w:rFonts w:hint="eastAsia" w:ascii="宋体" w:hAnsi="宋体" w:cs="宋体"/>
          <w:color w:val="auto"/>
          <w:sz w:val="24"/>
          <w:szCs w:val="24"/>
          <w:u w:val="single"/>
        </w:rPr>
      </w:pPr>
      <w:r>
        <w:rPr>
          <w:rFonts w:hint="eastAsia" w:ascii="宋体" w:hAnsi="宋体" w:cs="宋体"/>
          <w:color w:val="auto"/>
          <w:sz w:val="24"/>
          <w:szCs w:val="24"/>
        </w:rPr>
        <w:t xml:space="preserve">    地址：</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邮编：</w:t>
      </w:r>
      <w:r>
        <w:rPr>
          <w:rFonts w:hint="eastAsia" w:ascii="宋体" w:hAnsi="宋体" w:cs="宋体"/>
          <w:color w:val="auto"/>
          <w:sz w:val="24"/>
          <w:szCs w:val="24"/>
          <w:u w:val="single"/>
        </w:rPr>
        <w:t xml:space="preserve">         </w:t>
      </w:r>
    </w:p>
    <w:p w14:paraId="2D3C6093">
      <w:pPr>
        <w:spacing w:line="360" w:lineRule="auto"/>
        <w:ind w:firstLine="235" w:firstLineChars="98"/>
        <w:rPr>
          <w:rFonts w:hint="eastAsia" w:ascii="宋体" w:hAnsi="宋体" w:cs="宋体"/>
          <w:color w:val="auto"/>
          <w:sz w:val="24"/>
          <w:szCs w:val="24"/>
          <w:u w:val="single"/>
        </w:rPr>
      </w:pPr>
      <w:r>
        <w:rPr>
          <w:rFonts w:hint="eastAsia" w:ascii="宋体" w:hAnsi="宋体" w:cs="宋体"/>
          <w:color w:val="auto"/>
          <w:sz w:val="24"/>
          <w:szCs w:val="24"/>
        </w:rPr>
        <w:t xml:space="preserve">   电话：</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传真：</w:t>
      </w:r>
      <w:r>
        <w:rPr>
          <w:rFonts w:hint="eastAsia" w:ascii="宋体" w:hAnsi="宋体" w:cs="宋体"/>
          <w:color w:val="auto"/>
          <w:sz w:val="24"/>
          <w:szCs w:val="24"/>
          <w:u w:val="single"/>
        </w:rPr>
        <w:t xml:space="preserve">                   </w:t>
      </w:r>
    </w:p>
    <w:p w14:paraId="5D043F76">
      <w:pPr>
        <w:spacing w:line="360" w:lineRule="auto"/>
        <w:ind w:firstLine="590" w:firstLineChars="246"/>
        <w:rPr>
          <w:rFonts w:hint="eastAsia" w:ascii="宋体" w:hAnsi="宋体" w:cs="宋体"/>
          <w:color w:val="auto"/>
          <w:sz w:val="24"/>
          <w:szCs w:val="24"/>
          <w:u w:val="single"/>
        </w:rPr>
      </w:pPr>
      <w:r>
        <w:rPr>
          <w:rFonts w:hint="eastAsia" w:ascii="宋体" w:hAnsi="宋体" w:cs="宋体"/>
          <w:color w:val="auto"/>
          <w:sz w:val="24"/>
          <w:szCs w:val="24"/>
        </w:rPr>
        <w:t>供应商代表（印刷体）：</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签署：</w:t>
      </w:r>
      <w:r>
        <w:rPr>
          <w:rFonts w:hint="eastAsia" w:ascii="宋体" w:hAnsi="宋体" w:cs="宋体"/>
          <w:color w:val="auto"/>
          <w:sz w:val="24"/>
          <w:szCs w:val="24"/>
          <w:u w:val="single"/>
        </w:rPr>
        <w:t xml:space="preserve">           </w:t>
      </w:r>
    </w:p>
    <w:p w14:paraId="49567440">
      <w:pPr>
        <w:spacing w:line="360" w:lineRule="auto"/>
        <w:ind w:firstLine="600" w:firstLineChars="250"/>
        <w:rPr>
          <w:rFonts w:hint="eastAsia" w:ascii="宋体" w:hAnsi="宋体" w:cs="宋体"/>
          <w:color w:val="auto"/>
          <w:sz w:val="24"/>
          <w:szCs w:val="24"/>
        </w:rPr>
      </w:pPr>
      <w:r>
        <w:rPr>
          <w:rFonts w:hint="eastAsia" w:ascii="宋体" w:hAnsi="宋体" w:cs="宋体"/>
          <w:color w:val="auto"/>
          <w:sz w:val="24"/>
          <w:szCs w:val="24"/>
        </w:rPr>
        <w:t>手机：</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日期 ：202</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392B77CE">
      <w:pPr>
        <w:spacing w:line="288" w:lineRule="auto"/>
        <w:rPr>
          <w:rFonts w:hint="eastAsia" w:ascii="宋体" w:hAnsi="宋体" w:cs="宋体"/>
          <w:b/>
          <w:color w:val="auto"/>
          <w:sz w:val="24"/>
          <w:szCs w:val="24"/>
        </w:rPr>
        <w:sectPr>
          <w:headerReference r:id="rId7" w:type="default"/>
          <w:pgSz w:w="11907" w:h="16840"/>
          <w:pgMar w:top="1440" w:right="1797" w:bottom="1440" w:left="1797" w:header="794" w:footer="794" w:gutter="0"/>
          <w:cols w:space="720" w:num="1"/>
          <w:docGrid w:linePitch="312" w:charSpace="0"/>
        </w:sectPr>
      </w:pPr>
    </w:p>
    <w:p w14:paraId="07C17809">
      <w:pPr>
        <w:spacing w:line="360" w:lineRule="auto"/>
        <w:jc w:val="left"/>
        <w:outlineLvl w:val="0"/>
        <w:rPr>
          <w:rFonts w:hint="eastAsia" w:ascii="宋体" w:hAnsi="宋体" w:eastAsia="宋体" w:cs="宋体"/>
          <w:b/>
          <w:color w:val="auto"/>
          <w:sz w:val="28"/>
          <w:lang w:eastAsia="zh-CN"/>
        </w:rPr>
      </w:pPr>
      <w:bookmarkStart w:id="216" w:name="_Toc25227"/>
      <w:bookmarkStart w:id="217" w:name="_Toc11907_WPSOffice_Level3"/>
      <w:bookmarkStart w:id="218" w:name="_Toc29907_WPSOffice_Level3"/>
      <w:r>
        <w:rPr>
          <w:rFonts w:hint="eastAsia" w:ascii="宋体" w:hAnsi="宋体" w:cs="宋体"/>
          <w:b/>
          <w:color w:val="auto"/>
          <w:spacing w:val="-4"/>
          <w:szCs w:val="21"/>
        </w:rPr>
        <w:t>附件</w:t>
      </w:r>
      <w:r>
        <w:rPr>
          <w:rFonts w:hint="eastAsia" w:ascii="宋体" w:hAnsi="宋体" w:cs="宋体"/>
          <w:b/>
          <w:color w:val="auto"/>
          <w:spacing w:val="-4"/>
          <w:szCs w:val="21"/>
          <w:lang w:val="en-US" w:eastAsia="zh-CN"/>
        </w:rPr>
        <w:t>4</w:t>
      </w:r>
    </w:p>
    <w:p w14:paraId="26607554">
      <w:pPr>
        <w:pStyle w:val="44"/>
        <w:widowControl/>
        <w:spacing w:before="0" w:beforeAutospacing="0" w:after="0" w:afterAutospacing="0" w:line="380" w:lineRule="exact"/>
        <w:jc w:val="center"/>
        <w:rPr>
          <w:rStyle w:val="52"/>
          <w:rFonts w:hint="eastAsia" w:ascii="宋体" w:hAnsi="宋体" w:cs="宋体"/>
          <w:color w:val="auto"/>
        </w:rPr>
      </w:pPr>
    </w:p>
    <w:p w14:paraId="33245156">
      <w:pPr>
        <w:pStyle w:val="44"/>
        <w:widowControl/>
        <w:spacing w:before="0" w:beforeAutospacing="0" w:after="0" w:afterAutospacing="0" w:line="380" w:lineRule="exact"/>
        <w:jc w:val="center"/>
        <w:rPr>
          <w:rFonts w:hint="eastAsia" w:ascii="宋体" w:hAnsi="宋体" w:cs="宋体"/>
          <w:color w:val="auto"/>
        </w:rPr>
      </w:pPr>
      <w:r>
        <w:rPr>
          <w:rStyle w:val="52"/>
          <w:rFonts w:hint="eastAsia" w:ascii="宋体" w:hAnsi="宋体" w:cs="宋体"/>
          <w:color w:val="auto"/>
        </w:rPr>
        <w:t>标的说明一览表</w:t>
      </w:r>
    </w:p>
    <w:p w14:paraId="5D84B19E">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 </w:t>
      </w:r>
    </w:p>
    <w:p w14:paraId="533012EA">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招标编号：</w:t>
      </w:r>
      <w:r>
        <w:rPr>
          <w:rFonts w:hint="eastAsia" w:ascii="宋体" w:hAnsi="宋体" w:cs="宋体"/>
          <w:color w:val="auto"/>
          <w:u w:val="single"/>
        </w:rPr>
        <w:t>                   </w:t>
      </w:r>
    </w:p>
    <w:tbl>
      <w:tblPr>
        <w:tblStyle w:val="49"/>
        <w:tblW w:w="0" w:type="auto"/>
        <w:tblCellSpacing w:w="1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78"/>
        <w:gridCol w:w="956"/>
        <w:gridCol w:w="1828"/>
        <w:gridCol w:w="949"/>
        <w:gridCol w:w="1248"/>
        <w:gridCol w:w="1248"/>
        <w:gridCol w:w="1248"/>
        <w:gridCol w:w="799"/>
      </w:tblGrid>
      <w:tr w14:paraId="16BF9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033" w:type="dxa"/>
            <w:noWrap w:val="0"/>
            <w:tcMar>
              <w:top w:w="0" w:type="dxa"/>
              <w:left w:w="105" w:type="dxa"/>
              <w:bottom w:w="0" w:type="dxa"/>
              <w:right w:w="105" w:type="dxa"/>
            </w:tcMar>
            <w:vAlign w:val="center"/>
          </w:tcPr>
          <w:p w14:paraId="129330D8">
            <w:pPr>
              <w:pStyle w:val="44"/>
              <w:keepNext w:val="0"/>
              <w:keepLines w:val="0"/>
              <w:widowControl/>
              <w:suppressLineNumbers w:val="0"/>
              <w:spacing w:before="0" w:beforeAutospacing="0" w:after="0" w:afterAutospacing="0" w:line="380" w:lineRule="exact"/>
              <w:ind w:left="0" w:right="0"/>
              <w:jc w:val="center"/>
              <w:rPr>
                <w:rFonts w:hint="default" w:ascii="宋体" w:hAnsi="宋体" w:eastAsia="宋体" w:cs="宋体"/>
                <w:color w:val="auto"/>
                <w:szCs w:val="20"/>
                <w:lang w:val="en-US" w:eastAsia="zh-CN"/>
              </w:rPr>
            </w:pPr>
            <w:r>
              <w:rPr>
                <w:rFonts w:hint="eastAsia" w:ascii="宋体" w:hAnsi="宋体" w:cs="宋体"/>
                <w:color w:val="auto"/>
                <w:szCs w:val="20"/>
                <w:lang w:val="en-US" w:eastAsia="zh-CN"/>
              </w:rPr>
              <w:t>合同包</w:t>
            </w:r>
          </w:p>
        </w:tc>
        <w:tc>
          <w:tcPr>
            <w:tcW w:w="926" w:type="dxa"/>
            <w:noWrap w:val="0"/>
            <w:tcMar>
              <w:top w:w="0" w:type="dxa"/>
              <w:left w:w="105" w:type="dxa"/>
              <w:bottom w:w="0" w:type="dxa"/>
              <w:right w:w="105" w:type="dxa"/>
            </w:tcMar>
            <w:vAlign w:val="center"/>
          </w:tcPr>
          <w:p w14:paraId="13541FCB">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品目号</w:t>
            </w:r>
          </w:p>
        </w:tc>
        <w:tc>
          <w:tcPr>
            <w:tcW w:w="1798" w:type="dxa"/>
            <w:noWrap w:val="0"/>
            <w:tcMar>
              <w:top w:w="0" w:type="dxa"/>
              <w:left w:w="105" w:type="dxa"/>
              <w:bottom w:w="0" w:type="dxa"/>
              <w:right w:w="105" w:type="dxa"/>
            </w:tcMar>
            <w:vAlign w:val="center"/>
          </w:tcPr>
          <w:p w14:paraId="5F4EFCFC">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lang w:val="en-US" w:eastAsia="zh-CN"/>
              </w:rPr>
              <w:t>标的</w:t>
            </w:r>
            <w:r>
              <w:rPr>
                <w:rFonts w:hint="eastAsia" w:ascii="宋体" w:hAnsi="宋体" w:cs="宋体"/>
                <w:color w:val="auto"/>
                <w:szCs w:val="20"/>
              </w:rPr>
              <w:t>名称</w:t>
            </w:r>
          </w:p>
        </w:tc>
        <w:tc>
          <w:tcPr>
            <w:tcW w:w="919" w:type="dxa"/>
            <w:noWrap w:val="0"/>
            <w:tcMar>
              <w:top w:w="0" w:type="dxa"/>
              <w:left w:w="105" w:type="dxa"/>
              <w:bottom w:w="0" w:type="dxa"/>
              <w:right w:w="105" w:type="dxa"/>
            </w:tcMar>
            <w:vAlign w:val="center"/>
          </w:tcPr>
          <w:p w14:paraId="6A624B97">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数量</w:t>
            </w:r>
          </w:p>
        </w:tc>
        <w:tc>
          <w:tcPr>
            <w:tcW w:w="1218" w:type="dxa"/>
            <w:noWrap w:val="0"/>
            <w:tcMar>
              <w:top w:w="0" w:type="dxa"/>
              <w:left w:w="105" w:type="dxa"/>
              <w:bottom w:w="0" w:type="dxa"/>
              <w:right w:w="105" w:type="dxa"/>
            </w:tcMar>
            <w:vAlign w:val="center"/>
          </w:tcPr>
          <w:p w14:paraId="54F05A4C">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品牌</w:t>
            </w:r>
          </w:p>
        </w:tc>
        <w:tc>
          <w:tcPr>
            <w:tcW w:w="1218" w:type="dxa"/>
            <w:noWrap w:val="0"/>
            <w:tcMar>
              <w:top w:w="0" w:type="dxa"/>
              <w:left w:w="105" w:type="dxa"/>
              <w:bottom w:w="0" w:type="dxa"/>
              <w:right w:w="105" w:type="dxa"/>
            </w:tcMar>
            <w:vAlign w:val="center"/>
          </w:tcPr>
          <w:p w14:paraId="63B2ECF4">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型号规格</w:t>
            </w:r>
          </w:p>
        </w:tc>
        <w:tc>
          <w:tcPr>
            <w:tcW w:w="1218" w:type="dxa"/>
            <w:noWrap w:val="0"/>
            <w:tcMar>
              <w:top w:w="0" w:type="dxa"/>
              <w:left w:w="105" w:type="dxa"/>
              <w:bottom w:w="0" w:type="dxa"/>
              <w:right w:w="105" w:type="dxa"/>
            </w:tcMar>
            <w:vAlign w:val="center"/>
          </w:tcPr>
          <w:p w14:paraId="533BB79D">
            <w:pPr>
              <w:pStyle w:val="44"/>
              <w:keepNext w:val="0"/>
              <w:keepLines w:val="0"/>
              <w:widowControl/>
              <w:suppressLineNumbers w:val="0"/>
              <w:spacing w:before="0" w:beforeAutospacing="0" w:after="0" w:afterAutospacing="0" w:line="380" w:lineRule="exact"/>
              <w:ind w:left="0" w:right="0"/>
              <w:jc w:val="center"/>
              <w:rPr>
                <w:rFonts w:hint="eastAsia" w:ascii="宋体" w:hAnsi="宋体" w:eastAsia="宋体" w:cs="宋体"/>
                <w:color w:val="auto"/>
                <w:szCs w:val="20"/>
                <w:lang w:eastAsia="zh-CN"/>
              </w:rPr>
            </w:pPr>
            <w:r>
              <w:rPr>
                <w:rFonts w:hint="eastAsia" w:ascii="宋体" w:hAnsi="宋体" w:cs="宋体"/>
                <w:color w:val="auto"/>
                <w:szCs w:val="20"/>
              </w:rPr>
              <w:t>来源地</w:t>
            </w:r>
            <w:r>
              <w:rPr>
                <w:rFonts w:hint="eastAsia" w:ascii="宋体" w:hAnsi="宋体" w:cs="宋体"/>
                <w:color w:val="auto"/>
                <w:szCs w:val="20"/>
                <w:lang w:eastAsia="zh-CN"/>
              </w:rPr>
              <w:t>（</w:t>
            </w:r>
            <w:r>
              <w:rPr>
                <w:rFonts w:hint="eastAsia" w:ascii="宋体" w:hAnsi="宋体" w:cs="宋体"/>
                <w:color w:val="auto"/>
                <w:szCs w:val="20"/>
                <w:lang w:val="en-US" w:eastAsia="zh-CN"/>
              </w:rPr>
              <w:t>产地</w:t>
            </w:r>
            <w:r>
              <w:rPr>
                <w:rFonts w:hint="eastAsia" w:ascii="宋体" w:hAnsi="宋体" w:cs="宋体"/>
                <w:color w:val="auto"/>
                <w:szCs w:val="20"/>
                <w:lang w:eastAsia="zh-CN"/>
              </w:rPr>
              <w:t>）</w:t>
            </w:r>
          </w:p>
        </w:tc>
        <w:tc>
          <w:tcPr>
            <w:tcW w:w="754" w:type="dxa"/>
            <w:noWrap w:val="0"/>
            <w:tcMar>
              <w:top w:w="0" w:type="dxa"/>
              <w:left w:w="105" w:type="dxa"/>
              <w:bottom w:w="0" w:type="dxa"/>
              <w:right w:w="105" w:type="dxa"/>
            </w:tcMar>
            <w:vAlign w:val="center"/>
          </w:tcPr>
          <w:p w14:paraId="38075F5D">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备注</w:t>
            </w:r>
          </w:p>
        </w:tc>
      </w:tr>
      <w:tr w14:paraId="7A27C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033" w:type="dxa"/>
            <w:vMerge w:val="restart"/>
            <w:noWrap w:val="0"/>
            <w:tcMar>
              <w:top w:w="0" w:type="dxa"/>
              <w:left w:w="105" w:type="dxa"/>
              <w:bottom w:w="0" w:type="dxa"/>
              <w:right w:w="105" w:type="dxa"/>
            </w:tcMar>
            <w:vAlign w:val="center"/>
          </w:tcPr>
          <w:p w14:paraId="2827567E">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w:t>
            </w:r>
          </w:p>
        </w:tc>
        <w:tc>
          <w:tcPr>
            <w:tcW w:w="926" w:type="dxa"/>
            <w:noWrap w:val="0"/>
            <w:tcMar>
              <w:top w:w="0" w:type="dxa"/>
              <w:left w:w="105" w:type="dxa"/>
              <w:bottom w:w="0" w:type="dxa"/>
              <w:right w:w="105" w:type="dxa"/>
            </w:tcMar>
            <w:vAlign w:val="center"/>
          </w:tcPr>
          <w:p w14:paraId="6938CBD5">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*-1</w:t>
            </w:r>
          </w:p>
        </w:tc>
        <w:tc>
          <w:tcPr>
            <w:tcW w:w="1798" w:type="dxa"/>
            <w:noWrap w:val="0"/>
            <w:tcMar>
              <w:top w:w="0" w:type="dxa"/>
              <w:left w:w="105" w:type="dxa"/>
              <w:bottom w:w="0" w:type="dxa"/>
              <w:right w:w="105" w:type="dxa"/>
            </w:tcMar>
            <w:vAlign w:val="top"/>
          </w:tcPr>
          <w:p w14:paraId="685DDF2D">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919" w:type="dxa"/>
            <w:noWrap w:val="0"/>
            <w:tcMar>
              <w:top w:w="0" w:type="dxa"/>
              <w:left w:w="105" w:type="dxa"/>
              <w:bottom w:w="0" w:type="dxa"/>
              <w:right w:w="105" w:type="dxa"/>
            </w:tcMar>
            <w:vAlign w:val="top"/>
          </w:tcPr>
          <w:p w14:paraId="7EE5B532">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1663C17B">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6A51D9E6">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16C20508">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754" w:type="dxa"/>
            <w:noWrap w:val="0"/>
            <w:tcMar>
              <w:top w:w="0" w:type="dxa"/>
              <w:left w:w="105" w:type="dxa"/>
              <w:bottom w:w="0" w:type="dxa"/>
              <w:right w:w="105" w:type="dxa"/>
            </w:tcMar>
            <w:vAlign w:val="top"/>
          </w:tcPr>
          <w:p w14:paraId="23C20DC9">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r>
      <w:tr w14:paraId="4699F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033" w:type="dxa"/>
            <w:vMerge w:val="continue"/>
            <w:noWrap w:val="0"/>
            <w:tcMar>
              <w:top w:w="0" w:type="dxa"/>
              <w:left w:w="105" w:type="dxa"/>
              <w:bottom w:w="0" w:type="dxa"/>
              <w:right w:w="105" w:type="dxa"/>
            </w:tcMar>
            <w:vAlign w:val="center"/>
          </w:tcPr>
          <w:p w14:paraId="7EC5C7E0">
            <w:pPr>
              <w:keepNext w:val="0"/>
              <w:keepLines w:val="0"/>
              <w:suppressLineNumbers w:val="0"/>
              <w:spacing w:before="0" w:beforeAutospacing="0" w:after="0" w:afterAutospacing="0" w:line="380" w:lineRule="exact"/>
              <w:ind w:left="0" w:right="0"/>
              <w:rPr>
                <w:rFonts w:hint="eastAsia" w:ascii="宋体" w:hAnsi="宋体" w:cs="宋体"/>
                <w:color w:val="auto"/>
                <w:sz w:val="24"/>
                <w:szCs w:val="20"/>
              </w:rPr>
            </w:pPr>
          </w:p>
        </w:tc>
        <w:tc>
          <w:tcPr>
            <w:tcW w:w="926" w:type="dxa"/>
            <w:noWrap w:val="0"/>
            <w:tcMar>
              <w:top w:w="0" w:type="dxa"/>
              <w:left w:w="105" w:type="dxa"/>
              <w:bottom w:w="0" w:type="dxa"/>
              <w:right w:w="105" w:type="dxa"/>
            </w:tcMar>
            <w:vAlign w:val="center"/>
          </w:tcPr>
          <w:p w14:paraId="0E0E74DC">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w:t>
            </w:r>
          </w:p>
        </w:tc>
        <w:tc>
          <w:tcPr>
            <w:tcW w:w="1798" w:type="dxa"/>
            <w:noWrap w:val="0"/>
            <w:tcMar>
              <w:top w:w="0" w:type="dxa"/>
              <w:left w:w="105" w:type="dxa"/>
              <w:bottom w:w="0" w:type="dxa"/>
              <w:right w:w="105" w:type="dxa"/>
            </w:tcMar>
            <w:vAlign w:val="top"/>
          </w:tcPr>
          <w:p w14:paraId="3E572765">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919" w:type="dxa"/>
            <w:noWrap w:val="0"/>
            <w:tcMar>
              <w:top w:w="0" w:type="dxa"/>
              <w:left w:w="105" w:type="dxa"/>
              <w:bottom w:w="0" w:type="dxa"/>
              <w:right w:w="105" w:type="dxa"/>
            </w:tcMar>
            <w:vAlign w:val="top"/>
          </w:tcPr>
          <w:p w14:paraId="2B73D19B">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45C11706">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14594262">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6BB2C350">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754" w:type="dxa"/>
            <w:noWrap w:val="0"/>
            <w:tcMar>
              <w:top w:w="0" w:type="dxa"/>
              <w:left w:w="105" w:type="dxa"/>
              <w:bottom w:w="0" w:type="dxa"/>
              <w:right w:w="105" w:type="dxa"/>
            </w:tcMar>
            <w:vAlign w:val="top"/>
          </w:tcPr>
          <w:p w14:paraId="2318D5E7">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r>
      <w:tr w14:paraId="2EB3F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033" w:type="dxa"/>
            <w:noWrap w:val="0"/>
            <w:tcMar>
              <w:top w:w="0" w:type="dxa"/>
              <w:left w:w="105" w:type="dxa"/>
              <w:bottom w:w="0" w:type="dxa"/>
              <w:right w:w="105" w:type="dxa"/>
            </w:tcMar>
            <w:vAlign w:val="center"/>
          </w:tcPr>
          <w:p w14:paraId="4A4D3CE9">
            <w:pPr>
              <w:pStyle w:val="44"/>
              <w:keepNext w:val="0"/>
              <w:keepLines w:val="0"/>
              <w:widowControl/>
              <w:suppressLineNumbers w:val="0"/>
              <w:spacing w:before="0" w:beforeAutospacing="0" w:after="0" w:afterAutospacing="0" w:line="380" w:lineRule="exact"/>
              <w:ind w:left="0" w:right="0"/>
              <w:jc w:val="center"/>
              <w:rPr>
                <w:rFonts w:hint="eastAsia" w:ascii="宋体" w:hAnsi="宋体" w:cs="宋体"/>
                <w:color w:val="auto"/>
                <w:szCs w:val="20"/>
              </w:rPr>
            </w:pPr>
            <w:r>
              <w:rPr>
                <w:rFonts w:hint="eastAsia" w:ascii="宋体" w:hAnsi="宋体" w:cs="宋体"/>
                <w:color w:val="auto"/>
                <w:szCs w:val="20"/>
              </w:rPr>
              <w:t>…</w:t>
            </w:r>
          </w:p>
        </w:tc>
        <w:tc>
          <w:tcPr>
            <w:tcW w:w="926" w:type="dxa"/>
            <w:noWrap w:val="0"/>
            <w:tcMar>
              <w:top w:w="0" w:type="dxa"/>
              <w:left w:w="105" w:type="dxa"/>
              <w:bottom w:w="0" w:type="dxa"/>
              <w:right w:w="105" w:type="dxa"/>
            </w:tcMar>
            <w:vAlign w:val="center"/>
          </w:tcPr>
          <w:p w14:paraId="3B339180">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798" w:type="dxa"/>
            <w:noWrap w:val="0"/>
            <w:tcMar>
              <w:top w:w="0" w:type="dxa"/>
              <w:left w:w="105" w:type="dxa"/>
              <w:bottom w:w="0" w:type="dxa"/>
              <w:right w:w="105" w:type="dxa"/>
            </w:tcMar>
            <w:vAlign w:val="top"/>
          </w:tcPr>
          <w:p w14:paraId="3CB4528C">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919" w:type="dxa"/>
            <w:noWrap w:val="0"/>
            <w:tcMar>
              <w:top w:w="0" w:type="dxa"/>
              <w:left w:w="105" w:type="dxa"/>
              <w:bottom w:w="0" w:type="dxa"/>
              <w:right w:w="105" w:type="dxa"/>
            </w:tcMar>
            <w:vAlign w:val="top"/>
          </w:tcPr>
          <w:p w14:paraId="2FD1B4D8">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29407D67">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2142EC13">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1218" w:type="dxa"/>
            <w:noWrap w:val="0"/>
            <w:tcMar>
              <w:top w:w="0" w:type="dxa"/>
              <w:left w:w="105" w:type="dxa"/>
              <w:bottom w:w="0" w:type="dxa"/>
              <w:right w:w="105" w:type="dxa"/>
            </w:tcMar>
            <w:vAlign w:val="top"/>
          </w:tcPr>
          <w:p w14:paraId="52E3B729">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c>
          <w:tcPr>
            <w:tcW w:w="754" w:type="dxa"/>
            <w:noWrap w:val="0"/>
            <w:tcMar>
              <w:top w:w="0" w:type="dxa"/>
              <w:left w:w="105" w:type="dxa"/>
              <w:bottom w:w="0" w:type="dxa"/>
              <w:right w:w="105" w:type="dxa"/>
            </w:tcMar>
            <w:vAlign w:val="top"/>
          </w:tcPr>
          <w:p w14:paraId="72581A5C">
            <w:pPr>
              <w:keepNext w:val="0"/>
              <w:keepLines w:val="0"/>
              <w:widowControl/>
              <w:suppressLineNumbers w:val="0"/>
              <w:spacing w:before="0" w:beforeAutospacing="0" w:after="0" w:afterAutospacing="0" w:line="380" w:lineRule="exact"/>
              <w:ind w:left="0" w:right="0"/>
              <w:jc w:val="left"/>
              <w:rPr>
                <w:rFonts w:hint="eastAsia" w:ascii="宋体" w:hAnsi="宋体" w:cs="宋体"/>
                <w:color w:val="auto"/>
                <w:sz w:val="24"/>
                <w:szCs w:val="20"/>
              </w:rPr>
            </w:pPr>
          </w:p>
        </w:tc>
      </w:tr>
    </w:tbl>
    <w:p w14:paraId="77F0AFA3">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★注意：</w:t>
      </w:r>
    </w:p>
    <w:p w14:paraId="691AB022">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1、本表应按照下列规定填写：</w:t>
      </w:r>
    </w:p>
    <w:p w14:paraId="4A58F97D">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1.</w:t>
      </w:r>
      <w:r>
        <w:rPr>
          <w:rFonts w:hint="eastAsia" w:ascii="宋体" w:hAnsi="宋体" w:cs="宋体"/>
          <w:color w:val="auto"/>
          <w:lang w:val="en-US" w:eastAsia="zh-CN"/>
        </w:rPr>
        <w:t>1</w:t>
      </w:r>
      <w:r>
        <w:rPr>
          <w:rFonts w:hint="eastAsia" w:ascii="宋体" w:hAnsi="宋体" w:cs="宋体"/>
          <w:color w:val="auto"/>
        </w:rPr>
        <w:t>“投标标的”为货物的：</w:t>
      </w:r>
      <w:r>
        <w:rPr>
          <w:rStyle w:val="52"/>
          <w:rFonts w:hint="eastAsia" w:ascii="宋体" w:hAnsi="宋体" w:cs="宋体"/>
          <w:color w:val="auto"/>
        </w:rPr>
        <w:t>“规格”</w:t>
      </w:r>
      <w:r>
        <w:rPr>
          <w:rFonts w:hint="eastAsia" w:ascii="宋体" w:hAnsi="宋体" w:cs="宋体"/>
          <w:color w:val="auto"/>
        </w:rPr>
        <w:t>项下应填写货物制造厂商赋予的品牌（属于节能、环保清单产品的货物，填写的品牌名称应与清单载明的品牌名称保持一致）及具体型号。</w:t>
      </w:r>
      <w:r>
        <w:rPr>
          <w:rStyle w:val="52"/>
          <w:rFonts w:hint="eastAsia" w:ascii="宋体" w:hAnsi="宋体" w:cs="宋体"/>
          <w:color w:val="auto"/>
        </w:rPr>
        <w:t>“来源地”</w:t>
      </w:r>
      <w:r>
        <w:rPr>
          <w:rFonts w:hint="eastAsia" w:ascii="宋体" w:hAnsi="宋体" w:cs="宋体"/>
          <w:color w:val="auto"/>
        </w:rPr>
        <w:t>应填写货物的原产地。</w:t>
      </w:r>
      <w:r>
        <w:rPr>
          <w:rStyle w:val="52"/>
          <w:rFonts w:hint="eastAsia" w:ascii="宋体" w:hAnsi="宋体" w:cs="宋体"/>
          <w:color w:val="auto"/>
        </w:rPr>
        <w:t>“备注”</w:t>
      </w:r>
      <w:r>
        <w:rPr>
          <w:rFonts w:hint="eastAsia" w:ascii="宋体" w:hAnsi="宋体" w:cs="宋体"/>
          <w:color w:val="auto"/>
        </w:rPr>
        <w:t>项下应填写货物的详细性能说明及供货范围清单（若有），其中供货范围清单包括但不限于：组成货物的主要件和关键件的名称、数量、原产地，专用工具（若有）的名称、数量、原产地，备品备件（若有）的名称、数量、原产地等。</w:t>
      </w:r>
    </w:p>
    <w:p w14:paraId="35490DB9">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1.</w:t>
      </w:r>
      <w:r>
        <w:rPr>
          <w:rFonts w:hint="eastAsia" w:ascii="宋体" w:hAnsi="宋体" w:cs="宋体"/>
          <w:color w:val="auto"/>
          <w:lang w:val="en-US" w:eastAsia="zh-CN"/>
        </w:rPr>
        <w:t>2</w:t>
      </w:r>
      <w:r>
        <w:rPr>
          <w:rFonts w:hint="eastAsia" w:ascii="宋体" w:hAnsi="宋体" w:cs="宋体"/>
          <w:color w:val="auto"/>
        </w:rPr>
        <w:t>“投标标的”为服务的：</w:t>
      </w:r>
      <w:r>
        <w:rPr>
          <w:rStyle w:val="52"/>
          <w:rFonts w:hint="eastAsia" w:ascii="宋体" w:hAnsi="宋体" w:cs="宋体"/>
          <w:color w:val="auto"/>
        </w:rPr>
        <w:t>“型号规格”</w:t>
      </w:r>
      <w:r>
        <w:rPr>
          <w:rFonts w:hint="eastAsia" w:ascii="宋体" w:hAnsi="宋体" w:cs="宋体"/>
          <w:color w:val="auto"/>
        </w:rPr>
        <w:t>项下应填写服务提供者提供的服务标准及品牌（若有）。</w:t>
      </w:r>
      <w:r>
        <w:rPr>
          <w:rStyle w:val="52"/>
          <w:rFonts w:hint="eastAsia" w:ascii="宋体" w:hAnsi="宋体" w:cs="宋体"/>
          <w:color w:val="auto"/>
        </w:rPr>
        <w:t>“来源地”</w:t>
      </w:r>
      <w:r>
        <w:rPr>
          <w:rFonts w:hint="eastAsia" w:ascii="宋体" w:hAnsi="宋体" w:cs="宋体"/>
          <w:color w:val="auto"/>
        </w:rPr>
        <w:t>应填写服务提供者的所在地。</w:t>
      </w:r>
      <w:r>
        <w:rPr>
          <w:rStyle w:val="52"/>
          <w:rFonts w:hint="eastAsia" w:ascii="宋体" w:hAnsi="宋体" w:cs="宋体"/>
          <w:color w:val="auto"/>
        </w:rPr>
        <w:t>“备注”</w:t>
      </w:r>
      <w:r>
        <w:rPr>
          <w:rFonts w:hint="eastAsia" w:ascii="宋体" w:hAnsi="宋体" w:cs="宋体"/>
          <w:color w:val="auto"/>
        </w:rPr>
        <w:t>项下应填写关于服务标准所涵盖的具体项目或内容的说明等。</w:t>
      </w:r>
    </w:p>
    <w:p w14:paraId="65A17647">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2、</w:t>
      </w:r>
      <w:r>
        <w:rPr>
          <w:rFonts w:hint="eastAsia" w:ascii="宋体" w:hAnsi="宋体" w:cs="宋体"/>
          <w:color w:val="auto"/>
          <w:lang w:val="en-US" w:eastAsia="zh-CN"/>
        </w:rPr>
        <w:t>供应商</w:t>
      </w:r>
      <w:r>
        <w:rPr>
          <w:rFonts w:hint="eastAsia" w:ascii="宋体" w:hAnsi="宋体" w:cs="宋体"/>
          <w:color w:val="auto"/>
        </w:rPr>
        <w:t>需要说明的内容若需特殊表达，应先在本表中进行相应说明，再另页应答，否则</w:t>
      </w:r>
      <w:r>
        <w:rPr>
          <w:rStyle w:val="52"/>
          <w:rFonts w:hint="eastAsia" w:ascii="宋体" w:hAnsi="宋体" w:cs="宋体"/>
          <w:color w:val="auto"/>
        </w:rPr>
        <w:t>投标无效</w:t>
      </w:r>
      <w:r>
        <w:rPr>
          <w:rFonts w:hint="eastAsia" w:ascii="宋体" w:hAnsi="宋体" w:cs="宋体"/>
          <w:color w:val="auto"/>
        </w:rPr>
        <w:t>。</w:t>
      </w:r>
    </w:p>
    <w:p w14:paraId="66DD8488">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3、</w:t>
      </w:r>
      <w:r>
        <w:rPr>
          <w:rFonts w:hint="eastAsia" w:ascii="宋体" w:hAnsi="宋体" w:cs="宋体"/>
          <w:color w:val="auto"/>
          <w:lang w:val="en-US" w:eastAsia="zh-CN"/>
        </w:rPr>
        <w:t>响应文件</w:t>
      </w:r>
      <w:r>
        <w:rPr>
          <w:rFonts w:hint="eastAsia" w:ascii="宋体" w:hAnsi="宋体" w:cs="宋体"/>
          <w:color w:val="auto"/>
        </w:rPr>
        <w:t>中涉及</w:t>
      </w:r>
      <w:r>
        <w:rPr>
          <w:rStyle w:val="52"/>
          <w:rFonts w:hint="eastAsia" w:ascii="宋体" w:hAnsi="宋体" w:cs="宋体"/>
          <w:color w:val="auto"/>
        </w:rPr>
        <w:t>“货物名称”、“数量”、“型号规格”、“来源地”</w:t>
      </w:r>
      <w:r>
        <w:rPr>
          <w:rFonts w:hint="eastAsia" w:ascii="宋体" w:hAnsi="宋体" w:cs="宋体"/>
          <w:color w:val="auto"/>
        </w:rPr>
        <w:t>的内容若不一致，</w:t>
      </w:r>
      <w:r>
        <w:rPr>
          <w:rStyle w:val="52"/>
          <w:rFonts w:hint="eastAsia" w:ascii="宋体" w:hAnsi="宋体" w:cs="宋体"/>
          <w:color w:val="auto"/>
        </w:rPr>
        <w:t>应以本表为准</w:t>
      </w:r>
      <w:r>
        <w:rPr>
          <w:rFonts w:hint="eastAsia" w:ascii="宋体" w:hAnsi="宋体" w:cs="宋体"/>
          <w:color w:val="auto"/>
        </w:rPr>
        <w:t>。</w:t>
      </w:r>
    </w:p>
    <w:p w14:paraId="7B9814F5">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4、</w:t>
      </w:r>
      <w:r>
        <w:rPr>
          <w:rFonts w:hint="eastAsia" w:ascii="宋体" w:hAnsi="宋体" w:cs="宋体"/>
          <w:color w:val="auto"/>
          <w:lang w:val="en-US" w:eastAsia="zh-CN"/>
        </w:rPr>
        <w:t>响应文件</w:t>
      </w:r>
      <w:r>
        <w:rPr>
          <w:rFonts w:hint="eastAsia" w:ascii="宋体" w:hAnsi="宋体" w:cs="宋体"/>
          <w:color w:val="auto"/>
        </w:rPr>
        <w:t>正本中的本表应为原件。</w:t>
      </w:r>
    </w:p>
    <w:p w14:paraId="0890BD92">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 </w:t>
      </w:r>
    </w:p>
    <w:p w14:paraId="6927EF58">
      <w:pPr>
        <w:pStyle w:val="44"/>
        <w:widowControl/>
        <w:spacing w:before="0" w:beforeAutospacing="0" w:after="0" w:afterAutospacing="0" w:line="380" w:lineRule="exact"/>
        <w:rPr>
          <w:rFonts w:hint="eastAsia" w:ascii="宋体" w:hAnsi="宋体" w:cs="宋体"/>
          <w:color w:val="auto"/>
        </w:rPr>
      </w:pPr>
      <w:r>
        <w:rPr>
          <w:rFonts w:hint="eastAsia" w:ascii="宋体" w:hAnsi="宋体" w:cs="宋体"/>
          <w:color w:val="auto"/>
        </w:rPr>
        <w:t> </w:t>
      </w:r>
    </w:p>
    <w:p w14:paraId="64337CA9">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49110947">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7D119468">
      <w:pPr>
        <w:pStyle w:val="44"/>
        <w:widowControl/>
        <w:spacing w:before="75" w:after="75" w:line="375" w:lineRule="atLeast"/>
        <w:rPr>
          <w:rFonts w:hint="eastAsia" w:ascii="宋体" w:hAnsi="宋体" w:cs="宋体"/>
          <w:color w:val="auto"/>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r>
        <w:rPr>
          <w:rFonts w:hint="eastAsia" w:ascii="宋体" w:hAnsi="宋体" w:cs="宋体"/>
          <w:color w:val="auto"/>
          <w:szCs w:val="24"/>
          <w:u w:val="single"/>
        </w:rPr>
        <w:t xml:space="preserve"> </w:t>
      </w:r>
    </w:p>
    <w:p w14:paraId="6A4AE548">
      <w:pPr>
        <w:rPr>
          <w:rFonts w:hint="eastAsia" w:ascii="宋体" w:hAnsi="宋体" w:cs="宋体"/>
          <w:b/>
          <w:color w:val="auto"/>
          <w:spacing w:val="-4"/>
          <w:szCs w:val="21"/>
        </w:rPr>
      </w:pPr>
    </w:p>
    <w:p w14:paraId="68ED3D32">
      <w:pPr>
        <w:rPr>
          <w:rFonts w:hint="eastAsia" w:ascii="宋体" w:hAnsi="宋体" w:cs="宋体"/>
          <w:b/>
          <w:color w:val="auto"/>
          <w:spacing w:val="-4"/>
          <w:szCs w:val="21"/>
        </w:rPr>
      </w:pPr>
      <w:r>
        <w:rPr>
          <w:rFonts w:hint="eastAsia" w:ascii="宋体" w:hAnsi="宋体" w:cs="宋体"/>
          <w:b/>
          <w:color w:val="auto"/>
          <w:spacing w:val="-4"/>
          <w:szCs w:val="21"/>
        </w:rPr>
        <w:br w:type="page"/>
      </w:r>
    </w:p>
    <w:p w14:paraId="092AE042">
      <w:pPr>
        <w:spacing w:line="360" w:lineRule="auto"/>
        <w:jc w:val="left"/>
        <w:outlineLvl w:val="0"/>
        <w:rPr>
          <w:rFonts w:hint="eastAsia" w:ascii="宋体" w:hAnsi="宋体" w:eastAsia="宋体" w:cs="宋体"/>
          <w:b/>
          <w:color w:val="auto"/>
          <w:sz w:val="24"/>
          <w:lang w:eastAsia="zh-CN"/>
        </w:rPr>
      </w:pPr>
      <w:r>
        <w:rPr>
          <w:rFonts w:hint="eastAsia" w:ascii="宋体" w:hAnsi="宋体" w:cs="宋体"/>
          <w:b/>
          <w:color w:val="auto"/>
          <w:spacing w:val="-4"/>
          <w:szCs w:val="21"/>
        </w:rPr>
        <w:t>附件</w:t>
      </w:r>
      <w:bookmarkEnd w:id="216"/>
      <w:bookmarkEnd w:id="217"/>
      <w:bookmarkEnd w:id="218"/>
      <w:r>
        <w:rPr>
          <w:rFonts w:hint="eastAsia" w:ascii="宋体" w:hAnsi="宋体" w:cs="宋体"/>
          <w:b/>
          <w:color w:val="auto"/>
          <w:spacing w:val="-4"/>
          <w:szCs w:val="21"/>
          <w:lang w:val="en-US" w:eastAsia="zh-CN"/>
        </w:rPr>
        <w:t>5</w:t>
      </w:r>
    </w:p>
    <w:p w14:paraId="0BA737D7">
      <w:pPr>
        <w:pStyle w:val="44"/>
        <w:widowControl/>
        <w:spacing w:before="75" w:after="75"/>
        <w:jc w:val="center"/>
        <w:rPr>
          <w:rFonts w:hint="eastAsia" w:ascii="宋体" w:hAnsi="宋体" w:cs="宋体"/>
          <w:color w:val="auto"/>
        </w:rPr>
      </w:pPr>
      <w:r>
        <w:rPr>
          <w:rFonts w:hint="eastAsia" w:ascii="宋体" w:hAnsi="宋体" w:cs="宋体"/>
          <w:b/>
          <w:color w:val="auto"/>
          <w:sz w:val="32"/>
          <w:szCs w:val="32"/>
        </w:rPr>
        <w:t>技术和服务要求响应表</w:t>
      </w:r>
    </w:p>
    <w:p w14:paraId="78CDC674">
      <w:pPr>
        <w:pStyle w:val="44"/>
        <w:widowControl/>
        <w:spacing w:before="75" w:after="75" w:line="375" w:lineRule="atLeast"/>
        <w:rPr>
          <w:rFonts w:hint="eastAsia" w:ascii="宋体" w:hAnsi="宋体" w:cs="宋体"/>
          <w:color w:val="auto"/>
        </w:rPr>
      </w:pPr>
      <w:r>
        <w:rPr>
          <w:rFonts w:hint="eastAsia" w:ascii="宋体" w:hAnsi="宋体" w:cs="宋体"/>
          <w:color w:val="auto"/>
          <w:szCs w:val="24"/>
        </w:rPr>
        <w:t>供应商名称：</w:t>
      </w:r>
      <w:r>
        <w:rPr>
          <w:rFonts w:hint="eastAsia" w:ascii="宋体" w:hAnsi="宋体" w:cs="宋体"/>
          <w:color w:val="auto"/>
          <w:szCs w:val="24"/>
          <w:u w:val="single"/>
        </w:rPr>
        <w:t> （全称加盖单位公章）</w:t>
      </w:r>
      <w:r>
        <w:rPr>
          <w:rFonts w:hint="eastAsia" w:ascii="宋体" w:hAnsi="宋体" w:cs="宋体"/>
          <w:color w:val="auto"/>
          <w:szCs w:val="24"/>
        </w:rPr>
        <w:t>  项目编号∶</w:t>
      </w:r>
      <w:r>
        <w:rPr>
          <w:rFonts w:hint="eastAsia" w:ascii="宋体" w:hAnsi="宋体" w:cs="宋体"/>
          <w:color w:val="auto"/>
          <w:szCs w:val="24"/>
          <w:u w:val="single"/>
        </w:rPr>
        <w:t>       </w:t>
      </w:r>
    </w:p>
    <w:tbl>
      <w:tblPr>
        <w:tblStyle w:val="49"/>
        <w:tblW w:w="4998"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23"/>
        <w:gridCol w:w="1602"/>
        <w:gridCol w:w="2660"/>
        <w:gridCol w:w="2395"/>
        <w:gridCol w:w="1357"/>
      </w:tblGrid>
      <w:tr w14:paraId="12E0C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5" w:hRule="atLeast"/>
          <w:tblCellSpacing w:w="15" w:type="dxa"/>
        </w:trPr>
        <w:tc>
          <w:tcPr>
            <w:tcW w:w="440" w:type="pct"/>
            <w:noWrap w:val="0"/>
            <w:tcMar>
              <w:top w:w="0" w:type="dxa"/>
              <w:left w:w="105" w:type="dxa"/>
              <w:bottom w:w="0" w:type="dxa"/>
              <w:right w:w="105" w:type="dxa"/>
            </w:tcMar>
            <w:vAlign w:val="center"/>
          </w:tcPr>
          <w:p w14:paraId="636134D8">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合同包</w:t>
            </w:r>
          </w:p>
        </w:tc>
        <w:tc>
          <w:tcPr>
            <w:tcW w:w="889" w:type="pct"/>
            <w:noWrap w:val="0"/>
            <w:tcMar>
              <w:top w:w="0" w:type="dxa"/>
              <w:left w:w="105" w:type="dxa"/>
              <w:bottom w:w="0" w:type="dxa"/>
              <w:right w:w="105" w:type="dxa"/>
            </w:tcMar>
            <w:vAlign w:val="center"/>
          </w:tcPr>
          <w:p w14:paraId="0DBF20BF">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章节条目号</w:t>
            </w:r>
          </w:p>
        </w:tc>
        <w:tc>
          <w:tcPr>
            <w:tcW w:w="1487" w:type="pct"/>
            <w:noWrap w:val="0"/>
            <w:tcMar>
              <w:top w:w="0" w:type="dxa"/>
              <w:left w:w="105" w:type="dxa"/>
              <w:bottom w:w="0" w:type="dxa"/>
              <w:right w:w="105" w:type="dxa"/>
            </w:tcMar>
            <w:vAlign w:val="center"/>
          </w:tcPr>
          <w:p w14:paraId="01826E34">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竞争性磋商文件规定的技术和服务要求</w:t>
            </w:r>
          </w:p>
        </w:tc>
        <w:tc>
          <w:tcPr>
            <w:tcW w:w="1337" w:type="pct"/>
            <w:noWrap w:val="0"/>
            <w:tcMar>
              <w:top w:w="0" w:type="dxa"/>
              <w:left w:w="105" w:type="dxa"/>
              <w:bottom w:w="0" w:type="dxa"/>
              <w:right w:w="105" w:type="dxa"/>
            </w:tcMar>
            <w:vAlign w:val="center"/>
          </w:tcPr>
          <w:p w14:paraId="0456A9EB">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响应文件响应承诺</w:t>
            </w:r>
          </w:p>
        </w:tc>
        <w:tc>
          <w:tcPr>
            <w:tcW w:w="742" w:type="pct"/>
            <w:noWrap w:val="0"/>
            <w:tcMar>
              <w:top w:w="0" w:type="dxa"/>
              <w:left w:w="105" w:type="dxa"/>
              <w:bottom w:w="0" w:type="dxa"/>
              <w:right w:w="105" w:type="dxa"/>
            </w:tcMar>
            <w:vAlign w:val="center"/>
          </w:tcPr>
          <w:p w14:paraId="1F627065">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是否偏离及说明</w:t>
            </w:r>
          </w:p>
        </w:tc>
      </w:tr>
      <w:tr w14:paraId="75E74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noWrap w:val="0"/>
            <w:tcMar>
              <w:top w:w="0" w:type="dxa"/>
              <w:left w:w="105" w:type="dxa"/>
              <w:bottom w:w="0" w:type="dxa"/>
              <w:right w:w="105" w:type="dxa"/>
            </w:tcMar>
            <w:vAlign w:val="center"/>
          </w:tcPr>
          <w:p w14:paraId="58E81C0A">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205EDAF4">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0FD9D1E0">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5B337DC2">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46150BA7">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1B99C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noWrap w:val="0"/>
            <w:tcMar>
              <w:top w:w="0" w:type="dxa"/>
              <w:left w:w="105" w:type="dxa"/>
              <w:bottom w:w="0" w:type="dxa"/>
              <w:right w:w="105" w:type="dxa"/>
            </w:tcMar>
            <w:vAlign w:val="center"/>
          </w:tcPr>
          <w:p w14:paraId="3DFABEB2">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2997ED74">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02DE53A6">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5A20F95F">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604AD43A">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260CE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noWrap w:val="0"/>
            <w:tcMar>
              <w:top w:w="0" w:type="dxa"/>
              <w:left w:w="105" w:type="dxa"/>
              <w:bottom w:w="0" w:type="dxa"/>
              <w:right w:w="105" w:type="dxa"/>
            </w:tcMar>
            <w:vAlign w:val="center"/>
          </w:tcPr>
          <w:p w14:paraId="73FAA2BF">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66FC229D">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5B828CF0">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25B819E9">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1D7A2559">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6B657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noWrap w:val="0"/>
            <w:tcMar>
              <w:top w:w="0" w:type="dxa"/>
              <w:left w:w="105" w:type="dxa"/>
              <w:bottom w:w="0" w:type="dxa"/>
              <w:right w:w="105" w:type="dxa"/>
            </w:tcMar>
            <w:vAlign w:val="center"/>
          </w:tcPr>
          <w:p w14:paraId="3FA9690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328B4E98">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7A60D66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6DAB4F26">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6C3688CE">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639B8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noWrap w:val="0"/>
            <w:tcMar>
              <w:top w:w="0" w:type="dxa"/>
              <w:left w:w="105" w:type="dxa"/>
              <w:bottom w:w="0" w:type="dxa"/>
              <w:right w:w="105" w:type="dxa"/>
            </w:tcMar>
            <w:vAlign w:val="center"/>
          </w:tcPr>
          <w:p w14:paraId="20345D8C">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207F62E6">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2017676E">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71A061D3">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730D7D04">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64602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noWrap w:val="0"/>
            <w:tcMar>
              <w:top w:w="0" w:type="dxa"/>
              <w:left w:w="105" w:type="dxa"/>
              <w:bottom w:w="0" w:type="dxa"/>
              <w:right w:w="105" w:type="dxa"/>
            </w:tcMar>
            <w:vAlign w:val="center"/>
          </w:tcPr>
          <w:p w14:paraId="6BEA9648">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70768EEB">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1E324FE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7559EDC2">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029ED388">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612A4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noWrap w:val="0"/>
            <w:tcMar>
              <w:top w:w="0" w:type="dxa"/>
              <w:left w:w="105" w:type="dxa"/>
              <w:bottom w:w="0" w:type="dxa"/>
              <w:right w:w="105" w:type="dxa"/>
            </w:tcMar>
            <w:vAlign w:val="center"/>
          </w:tcPr>
          <w:p w14:paraId="5261716B">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6A39738B">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5CB9032C">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2C3B88BE">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787376DC">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6E684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0" w:type="pct"/>
            <w:noWrap w:val="0"/>
            <w:tcMar>
              <w:top w:w="0" w:type="dxa"/>
              <w:left w:w="105" w:type="dxa"/>
              <w:bottom w:w="0" w:type="dxa"/>
              <w:right w:w="105" w:type="dxa"/>
            </w:tcMar>
            <w:vAlign w:val="center"/>
          </w:tcPr>
          <w:p w14:paraId="3A131390">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4EEF9670">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1CF022A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04A44CE1">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28B698A1">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bl>
    <w:p w14:paraId="11B6D4E4">
      <w:pPr>
        <w:pStyle w:val="44"/>
        <w:widowControl/>
        <w:shd w:val="clear" w:color="auto" w:fill="FFFFFF"/>
        <w:spacing w:after="150"/>
        <w:rPr>
          <w:rStyle w:val="52"/>
          <w:rFonts w:hint="eastAsia" w:ascii="宋体" w:hAnsi="宋体" w:cs="宋体"/>
          <w:color w:val="auto"/>
          <w:sz w:val="21"/>
          <w:szCs w:val="21"/>
        </w:rPr>
      </w:pPr>
      <w:r>
        <w:rPr>
          <w:rStyle w:val="52"/>
          <w:rFonts w:hint="eastAsia" w:ascii="宋体" w:hAnsi="宋体" w:cs="宋体"/>
          <w:color w:val="auto"/>
          <w:sz w:val="21"/>
          <w:szCs w:val="21"/>
        </w:rPr>
        <w:t>注：</w:t>
      </w:r>
    </w:p>
    <w:p w14:paraId="3117353C">
      <w:pPr>
        <w:pStyle w:val="44"/>
        <w:widowControl/>
        <w:spacing w:before="75" w:after="75" w:line="375" w:lineRule="atLeast"/>
        <w:rPr>
          <w:rFonts w:hint="eastAsia" w:ascii="宋体" w:hAnsi="宋体" w:cs="宋体"/>
          <w:b/>
          <w:bCs/>
          <w:color w:val="auto"/>
          <w:sz w:val="21"/>
          <w:szCs w:val="21"/>
        </w:rPr>
      </w:pPr>
      <w:r>
        <w:rPr>
          <w:rFonts w:hint="eastAsia" w:ascii="宋体" w:hAnsi="宋体" w:cs="宋体"/>
          <w:b/>
          <w:bCs/>
          <w:color w:val="auto"/>
          <w:sz w:val="21"/>
          <w:szCs w:val="21"/>
        </w:rPr>
        <w:t>（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13A8495">
      <w:pPr>
        <w:pStyle w:val="44"/>
        <w:widowControl/>
        <w:spacing w:before="75" w:after="75" w:line="375" w:lineRule="atLeast"/>
        <w:rPr>
          <w:rFonts w:hint="eastAsia" w:ascii="宋体" w:hAnsi="宋体" w:cs="宋体"/>
          <w:b/>
          <w:bCs/>
          <w:color w:val="auto"/>
          <w:sz w:val="21"/>
          <w:szCs w:val="21"/>
        </w:rPr>
      </w:pPr>
      <w:r>
        <w:rPr>
          <w:rFonts w:hint="eastAsia" w:ascii="宋体" w:hAnsi="宋体" w:cs="宋体"/>
          <w:b/>
          <w:bCs/>
          <w:color w:val="auto"/>
          <w:sz w:val="21"/>
          <w:szCs w:val="21"/>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14:paraId="0E146FFE">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71422E18">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1CD17AAD">
      <w:pPr>
        <w:pStyle w:val="44"/>
        <w:widowControl/>
        <w:spacing w:before="75" w:after="75" w:line="375" w:lineRule="atLeast"/>
        <w:rPr>
          <w:rFonts w:hint="eastAsia" w:ascii="宋体" w:hAnsi="宋体" w:cs="宋体"/>
          <w:color w:val="auto"/>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r>
        <w:rPr>
          <w:rFonts w:hint="eastAsia" w:ascii="宋体" w:hAnsi="宋体" w:cs="宋体"/>
          <w:color w:val="auto"/>
          <w:szCs w:val="24"/>
          <w:u w:val="single"/>
        </w:rPr>
        <w:t xml:space="preserve"> </w:t>
      </w:r>
    </w:p>
    <w:p w14:paraId="3A2B2296">
      <w:pPr>
        <w:spacing w:line="360" w:lineRule="auto"/>
        <w:jc w:val="left"/>
        <w:outlineLvl w:val="0"/>
        <w:rPr>
          <w:rFonts w:hint="eastAsia" w:ascii="宋体" w:hAnsi="宋体" w:cs="宋体"/>
          <w:b/>
          <w:color w:val="auto"/>
          <w:spacing w:val="-4"/>
          <w:szCs w:val="21"/>
        </w:rPr>
      </w:pPr>
      <w:bookmarkStart w:id="219" w:name="_Toc20466"/>
    </w:p>
    <w:p w14:paraId="1BC87219">
      <w:pPr>
        <w:spacing w:line="360" w:lineRule="auto"/>
        <w:jc w:val="left"/>
        <w:outlineLvl w:val="0"/>
        <w:rPr>
          <w:rFonts w:hint="eastAsia" w:ascii="宋体" w:hAnsi="宋体" w:eastAsia="宋体" w:cs="宋体"/>
          <w:b/>
          <w:color w:val="auto"/>
          <w:spacing w:val="-4"/>
          <w:szCs w:val="21"/>
          <w:lang w:eastAsia="zh-CN"/>
        </w:rPr>
      </w:pPr>
      <w:r>
        <w:rPr>
          <w:rFonts w:hint="eastAsia" w:ascii="宋体" w:hAnsi="宋体" w:cs="宋体"/>
          <w:b/>
          <w:color w:val="auto"/>
          <w:spacing w:val="-4"/>
          <w:szCs w:val="21"/>
        </w:rPr>
        <w:t>附件</w:t>
      </w:r>
      <w:bookmarkEnd w:id="219"/>
      <w:r>
        <w:rPr>
          <w:rFonts w:hint="eastAsia" w:ascii="宋体" w:hAnsi="宋体" w:cs="宋体"/>
          <w:b/>
          <w:color w:val="auto"/>
          <w:spacing w:val="-4"/>
          <w:szCs w:val="21"/>
          <w:lang w:val="en-US" w:eastAsia="zh-CN"/>
        </w:rPr>
        <w:t>6</w:t>
      </w:r>
    </w:p>
    <w:p w14:paraId="0D9978F0">
      <w:pPr>
        <w:pStyle w:val="44"/>
        <w:widowControl/>
        <w:spacing w:before="75" w:after="75"/>
        <w:jc w:val="center"/>
        <w:rPr>
          <w:rFonts w:hint="eastAsia" w:ascii="宋体" w:hAnsi="宋体" w:cs="宋体"/>
          <w:color w:val="auto"/>
        </w:rPr>
      </w:pPr>
      <w:r>
        <w:rPr>
          <w:rFonts w:hint="eastAsia" w:ascii="宋体" w:hAnsi="宋体" w:cs="宋体"/>
          <w:b/>
          <w:color w:val="auto"/>
          <w:sz w:val="32"/>
          <w:szCs w:val="32"/>
        </w:rPr>
        <w:t>商务条件和其他事项响应表</w:t>
      </w:r>
    </w:p>
    <w:p w14:paraId="2823C2D3">
      <w:pPr>
        <w:pStyle w:val="44"/>
        <w:widowControl/>
        <w:spacing w:before="75" w:after="75" w:line="375" w:lineRule="atLeast"/>
        <w:rPr>
          <w:rFonts w:hint="eastAsia" w:ascii="宋体" w:hAnsi="宋体" w:cs="宋体"/>
          <w:color w:val="auto"/>
        </w:rPr>
      </w:pPr>
      <w:r>
        <w:rPr>
          <w:rFonts w:hint="eastAsia" w:ascii="宋体" w:hAnsi="宋体" w:cs="宋体"/>
          <w:color w:val="auto"/>
          <w:szCs w:val="24"/>
        </w:rPr>
        <w:t>供应商名称：</w:t>
      </w:r>
      <w:r>
        <w:rPr>
          <w:rFonts w:hint="eastAsia" w:ascii="宋体" w:hAnsi="宋体" w:cs="宋体"/>
          <w:color w:val="auto"/>
          <w:szCs w:val="24"/>
          <w:u w:val="single"/>
        </w:rPr>
        <w:t> （全称加盖单位公章）</w:t>
      </w:r>
      <w:r>
        <w:rPr>
          <w:rFonts w:hint="eastAsia" w:ascii="宋体" w:hAnsi="宋体" w:cs="宋体"/>
          <w:color w:val="auto"/>
          <w:szCs w:val="24"/>
        </w:rPr>
        <w:t>  项目编号∶</w:t>
      </w:r>
      <w:r>
        <w:rPr>
          <w:rFonts w:hint="eastAsia" w:ascii="宋体" w:hAnsi="宋体" w:cs="宋体"/>
          <w:color w:val="auto"/>
          <w:szCs w:val="24"/>
          <w:u w:val="single"/>
        </w:rPr>
        <w:t>       </w:t>
      </w:r>
    </w:p>
    <w:tbl>
      <w:tblPr>
        <w:tblStyle w:val="49"/>
        <w:tblW w:w="4998"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25"/>
        <w:gridCol w:w="1602"/>
        <w:gridCol w:w="2659"/>
        <w:gridCol w:w="2394"/>
        <w:gridCol w:w="1357"/>
      </w:tblGrid>
      <w:tr w14:paraId="35F4A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5" w:hRule="atLeast"/>
          <w:tblCellSpacing w:w="15" w:type="dxa"/>
        </w:trPr>
        <w:tc>
          <w:tcPr>
            <w:tcW w:w="441" w:type="pct"/>
            <w:noWrap w:val="0"/>
            <w:tcMar>
              <w:top w:w="0" w:type="dxa"/>
              <w:left w:w="105" w:type="dxa"/>
              <w:bottom w:w="0" w:type="dxa"/>
              <w:right w:w="105" w:type="dxa"/>
            </w:tcMar>
            <w:vAlign w:val="center"/>
          </w:tcPr>
          <w:p w14:paraId="29B16229">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合同包</w:t>
            </w:r>
          </w:p>
        </w:tc>
        <w:tc>
          <w:tcPr>
            <w:tcW w:w="889" w:type="pct"/>
            <w:noWrap w:val="0"/>
            <w:tcMar>
              <w:top w:w="0" w:type="dxa"/>
              <w:left w:w="105" w:type="dxa"/>
              <w:bottom w:w="0" w:type="dxa"/>
              <w:right w:w="105" w:type="dxa"/>
            </w:tcMar>
            <w:vAlign w:val="center"/>
          </w:tcPr>
          <w:p w14:paraId="0788F650">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章节条目号</w:t>
            </w:r>
          </w:p>
        </w:tc>
        <w:tc>
          <w:tcPr>
            <w:tcW w:w="1487" w:type="pct"/>
            <w:noWrap w:val="0"/>
            <w:tcMar>
              <w:top w:w="0" w:type="dxa"/>
              <w:left w:w="105" w:type="dxa"/>
              <w:bottom w:w="0" w:type="dxa"/>
              <w:right w:w="105" w:type="dxa"/>
            </w:tcMar>
            <w:vAlign w:val="center"/>
          </w:tcPr>
          <w:p w14:paraId="07F986C7">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竞争性磋商文件规定的商务条件要求</w:t>
            </w:r>
          </w:p>
        </w:tc>
        <w:tc>
          <w:tcPr>
            <w:tcW w:w="1337" w:type="pct"/>
            <w:noWrap w:val="0"/>
            <w:tcMar>
              <w:top w:w="0" w:type="dxa"/>
              <w:left w:w="105" w:type="dxa"/>
              <w:bottom w:w="0" w:type="dxa"/>
              <w:right w:w="105" w:type="dxa"/>
            </w:tcMar>
            <w:vAlign w:val="center"/>
          </w:tcPr>
          <w:p w14:paraId="0EE1912F">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响应文件响应承诺</w:t>
            </w:r>
          </w:p>
        </w:tc>
        <w:tc>
          <w:tcPr>
            <w:tcW w:w="742" w:type="pct"/>
            <w:noWrap w:val="0"/>
            <w:tcMar>
              <w:top w:w="0" w:type="dxa"/>
              <w:left w:w="105" w:type="dxa"/>
              <w:bottom w:w="0" w:type="dxa"/>
              <w:right w:w="105" w:type="dxa"/>
            </w:tcMar>
            <w:vAlign w:val="center"/>
          </w:tcPr>
          <w:p w14:paraId="70C324C3">
            <w:pPr>
              <w:pStyle w:val="44"/>
              <w:keepNext w:val="0"/>
              <w:keepLines w:val="0"/>
              <w:widowControl/>
              <w:suppressLineNumbers w:val="0"/>
              <w:spacing w:before="0" w:beforeAutospacing="0" w:after="0" w:afterAutospacing="0" w:line="375" w:lineRule="atLeast"/>
              <w:ind w:left="0" w:right="0"/>
              <w:rPr>
                <w:rFonts w:hint="eastAsia" w:ascii="宋体" w:hAnsi="宋体" w:cs="宋体"/>
                <w:color w:val="auto"/>
                <w:szCs w:val="20"/>
              </w:rPr>
            </w:pPr>
            <w:r>
              <w:rPr>
                <w:rFonts w:hint="eastAsia" w:ascii="宋体" w:hAnsi="宋体" w:cs="宋体"/>
                <w:color w:val="auto"/>
                <w:szCs w:val="24"/>
              </w:rPr>
              <w:t>是否偏离及说明</w:t>
            </w:r>
          </w:p>
        </w:tc>
      </w:tr>
      <w:tr w14:paraId="00DFE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noWrap w:val="0"/>
            <w:tcMar>
              <w:top w:w="0" w:type="dxa"/>
              <w:left w:w="105" w:type="dxa"/>
              <w:bottom w:w="0" w:type="dxa"/>
              <w:right w:w="105" w:type="dxa"/>
            </w:tcMar>
            <w:vAlign w:val="center"/>
          </w:tcPr>
          <w:p w14:paraId="73FC841A">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019713E1">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52BA66CB">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23F24A24">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13E3875D">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465B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noWrap w:val="0"/>
            <w:tcMar>
              <w:top w:w="0" w:type="dxa"/>
              <w:left w:w="105" w:type="dxa"/>
              <w:bottom w:w="0" w:type="dxa"/>
              <w:right w:w="105" w:type="dxa"/>
            </w:tcMar>
            <w:vAlign w:val="center"/>
          </w:tcPr>
          <w:p w14:paraId="42021CF3">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58594C4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5C5C88EF">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1CD5F99B">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1B8AC5D7">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4E131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noWrap w:val="0"/>
            <w:tcMar>
              <w:top w:w="0" w:type="dxa"/>
              <w:left w:w="105" w:type="dxa"/>
              <w:bottom w:w="0" w:type="dxa"/>
              <w:right w:w="105" w:type="dxa"/>
            </w:tcMar>
            <w:vAlign w:val="center"/>
          </w:tcPr>
          <w:p w14:paraId="78748ABB">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08D0B14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2DFC53BC">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2772125E">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70933C5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42407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noWrap w:val="0"/>
            <w:tcMar>
              <w:top w:w="0" w:type="dxa"/>
              <w:left w:w="105" w:type="dxa"/>
              <w:bottom w:w="0" w:type="dxa"/>
              <w:right w:w="105" w:type="dxa"/>
            </w:tcMar>
            <w:vAlign w:val="center"/>
          </w:tcPr>
          <w:p w14:paraId="6A4E968C">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588F8980">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16154B9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5486495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729F6E93">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7F28E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noWrap w:val="0"/>
            <w:tcMar>
              <w:top w:w="0" w:type="dxa"/>
              <w:left w:w="105" w:type="dxa"/>
              <w:bottom w:w="0" w:type="dxa"/>
              <w:right w:w="105" w:type="dxa"/>
            </w:tcMar>
            <w:vAlign w:val="center"/>
          </w:tcPr>
          <w:p w14:paraId="61E284F3">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1DB1A030">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766AD49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6F6B3DD1">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02F1F410">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60846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noWrap w:val="0"/>
            <w:tcMar>
              <w:top w:w="0" w:type="dxa"/>
              <w:left w:w="105" w:type="dxa"/>
              <w:bottom w:w="0" w:type="dxa"/>
              <w:right w:w="105" w:type="dxa"/>
            </w:tcMar>
            <w:vAlign w:val="center"/>
          </w:tcPr>
          <w:p w14:paraId="1BD04607">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1CE27B35">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0D4B8DF3">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50CA34DA">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4220D6C7">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r w14:paraId="3768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441" w:type="pct"/>
            <w:noWrap w:val="0"/>
            <w:tcMar>
              <w:top w:w="0" w:type="dxa"/>
              <w:left w:w="105" w:type="dxa"/>
              <w:bottom w:w="0" w:type="dxa"/>
              <w:right w:w="105" w:type="dxa"/>
            </w:tcMar>
            <w:vAlign w:val="center"/>
          </w:tcPr>
          <w:p w14:paraId="0033AEF1">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889" w:type="pct"/>
            <w:noWrap w:val="0"/>
            <w:tcMar>
              <w:top w:w="0" w:type="dxa"/>
              <w:left w:w="105" w:type="dxa"/>
              <w:bottom w:w="0" w:type="dxa"/>
              <w:right w:w="105" w:type="dxa"/>
            </w:tcMar>
            <w:vAlign w:val="center"/>
          </w:tcPr>
          <w:p w14:paraId="63E4C189">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487" w:type="pct"/>
            <w:noWrap w:val="0"/>
            <w:tcMar>
              <w:top w:w="0" w:type="dxa"/>
              <w:left w:w="105" w:type="dxa"/>
              <w:bottom w:w="0" w:type="dxa"/>
              <w:right w:w="105" w:type="dxa"/>
            </w:tcMar>
            <w:vAlign w:val="center"/>
          </w:tcPr>
          <w:p w14:paraId="50CA08C0">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1337" w:type="pct"/>
            <w:noWrap w:val="0"/>
            <w:tcMar>
              <w:top w:w="0" w:type="dxa"/>
              <w:left w:w="105" w:type="dxa"/>
              <w:bottom w:w="0" w:type="dxa"/>
              <w:right w:w="105" w:type="dxa"/>
            </w:tcMar>
            <w:vAlign w:val="center"/>
          </w:tcPr>
          <w:p w14:paraId="2AAC8B43">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c>
          <w:tcPr>
            <w:tcW w:w="742" w:type="pct"/>
            <w:noWrap w:val="0"/>
            <w:tcMar>
              <w:top w:w="0" w:type="dxa"/>
              <w:left w:w="105" w:type="dxa"/>
              <w:bottom w:w="0" w:type="dxa"/>
              <w:right w:w="105" w:type="dxa"/>
            </w:tcMar>
            <w:vAlign w:val="center"/>
          </w:tcPr>
          <w:p w14:paraId="1274EBAA">
            <w:pPr>
              <w:keepNext w:val="0"/>
              <w:keepLines w:val="0"/>
              <w:widowControl/>
              <w:suppressLineNumbers w:val="0"/>
              <w:spacing w:before="0" w:beforeAutospacing="0" w:after="0" w:afterAutospacing="0"/>
              <w:ind w:left="0" w:right="0"/>
              <w:jc w:val="left"/>
              <w:rPr>
                <w:rFonts w:hint="eastAsia" w:ascii="宋体" w:hAnsi="宋体" w:cs="宋体"/>
                <w:color w:val="auto"/>
                <w:szCs w:val="20"/>
              </w:rPr>
            </w:pPr>
          </w:p>
        </w:tc>
      </w:tr>
    </w:tbl>
    <w:p w14:paraId="686D8D8A">
      <w:pPr>
        <w:pStyle w:val="44"/>
        <w:widowControl/>
        <w:spacing w:before="75" w:after="75" w:line="375" w:lineRule="atLeast"/>
        <w:rPr>
          <w:rStyle w:val="52"/>
          <w:rFonts w:hint="eastAsia" w:ascii="宋体" w:hAnsi="宋体" w:cs="宋体"/>
          <w:color w:val="auto"/>
          <w:sz w:val="21"/>
          <w:szCs w:val="21"/>
        </w:rPr>
      </w:pPr>
      <w:r>
        <w:rPr>
          <w:rStyle w:val="52"/>
          <w:rFonts w:hint="eastAsia" w:ascii="宋体" w:hAnsi="宋体" w:cs="宋体"/>
          <w:color w:val="auto"/>
          <w:sz w:val="21"/>
          <w:szCs w:val="21"/>
        </w:rPr>
        <w:t>注：（1）竞争性磋商文件（含商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3F58D70A">
      <w:pPr>
        <w:pStyle w:val="44"/>
        <w:widowControl/>
        <w:spacing w:before="75" w:after="75" w:line="375" w:lineRule="atLeast"/>
        <w:rPr>
          <w:rStyle w:val="52"/>
          <w:rFonts w:hint="eastAsia" w:ascii="宋体" w:hAnsi="宋体" w:cs="宋体"/>
          <w:color w:val="auto"/>
          <w:sz w:val="21"/>
          <w:szCs w:val="21"/>
        </w:rPr>
      </w:pPr>
      <w:r>
        <w:rPr>
          <w:rStyle w:val="52"/>
          <w:rFonts w:hint="eastAsia" w:ascii="宋体" w:hAnsi="宋体" w:cs="宋体"/>
          <w:color w:val="auto"/>
          <w:sz w:val="21"/>
          <w:szCs w:val="21"/>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14:paraId="1E515641">
      <w:pPr>
        <w:pStyle w:val="44"/>
        <w:widowControl/>
        <w:spacing w:before="75" w:after="75" w:line="375" w:lineRule="atLeast"/>
        <w:rPr>
          <w:rFonts w:hint="eastAsia" w:ascii="宋体" w:hAnsi="宋体" w:cs="宋体"/>
          <w:color w:val="auto"/>
        </w:rPr>
      </w:pPr>
    </w:p>
    <w:p w14:paraId="49741004">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758A85C2">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69592A20">
      <w:pPr>
        <w:pStyle w:val="44"/>
        <w:widowControl/>
        <w:spacing w:before="75" w:after="75" w:line="375" w:lineRule="atLeast"/>
        <w:rPr>
          <w:rFonts w:hint="eastAsia" w:ascii="宋体" w:hAnsi="宋体" w:cs="宋体"/>
          <w:color w:val="auto"/>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r>
        <w:rPr>
          <w:rFonts w:hint="eastAsia" w:ascii="宋体" w:hAnsi="宋体" w:cs="宋体"/>
          <w:color w:val="auto"/>
          <w:szCs w:val="24"/>
          <w:u w:val="single"/>
        </w:rPr>
        <w:t xml:space="preserve"> </w:t>
      </w:r>
    </w:p>
    <w:p w14:paraId="487FA79A">
      <w:pPr>
        <w:pStyle w:val="20"/>
        <w:rPr>
          <w:rFonts w:hint="eastAsia" w:ascii="宋体" w:hAnsi="宋体" w:cs="宋体"/>
          <w:color w:val="auto"/>
        </w:rPr>
      </w:pPr>
    </w:p>
    <w:p w14:paraId="3BD9F5FA">
      <w:pPr>
        <w:pStyle w:val="20"/>
        <w:outlineLvl w:val="0"/>
        <w:rPr>
          <w:rFonts w:hint="eastAsia" w:ascii="宋体" w:hAnsi="宋体" w:eastAsia="宋体" w:cs="宋体"/>
          <w:b/>
          <w:color w:val="auto"/>
          <w:spacing w:val="-4"/>
          <w:szCs w:val="21"/>
          <w:lang w:eastAsia="zh-CN"/>
        </w:rPr>
      </w:pPr>
      <w:r>
        <w:rPr>
          <w:rFonts w:hint="eastAsia" w:ascii="宋体" w:hAnsi="宋体" w:cs="宋体"/>
          <w:snapToGrid w:val="0"/>
          <w:color w:val="auto"/>
          <w:kern w:val="0"/>
          <w:u w:val="single"/>
        </w:rPr>
        <w:br w:type="page"/>
      </w:r>
      <w:bookmarkStart w:id="220" w:name="_Toc18185"/>
      <w:r>
        <w:rPr>
          <w:rFonts w:hint="eastAsia" w:ascii="宋体" w:hAnsi="宋体" w:cs="宋体"/>
          <w:b/>
          <w:color w:val="auto"/>
          <w:spacing w:val="-4"/>
          <w:szCs w:val="21"/>
        </w:rPr>
        <w:t>附件</w:t>
      </w:r>
      <w:bookmarkEnd w:id="220"/>
      <w:r>
        <w:rPr>
          <w:rFonts w:hint="eastAsia" w:ascii="宋体" w:hAnsi="宋体" w:cs="宋体"/>
          <w:b/>
          <w:color w:val="auto"/>
          <w:spacing w:val="-4"/>
          <w:szCs w:val="21"/>
          <w:lang w:val="en-US" w:eastAsia="zh-CN"/>
        </w:rPr>
        <w:t>7</w:t>
      </w:r>
    </w:p>
    <w:p w14:paraId="36D9FAED">
      <w:pPr>
        <w:pStyle w:val="20"/>
        <w:jc w:val="center"/>
        <w:rPr>
          <w:rFonts w:hint="eastAsia" w:ascii="宋体" w:hAnsi="宋体" w:cs="宋体"/>
          <w:b/>
          <w:color w:val="auto"/>
          <w:sz w:val="32"/>
          <w:szCs w:val="32"/>
        </w:rPr>
      </w:pPr>
      <w:r>
        <w:rPr>
          <w:rFonts w:hint="eastAsia" w:ascii="宋体" w:hAnsi="宋体" w:cs="宋体"/>
          <w:b/>
          <w:color w:val="auto"/>
          <w:sz w:val="32"/>
          <w:szCs w:val="32"/>
        </w:rPr>
        <w:t>相关技术、商务、服务响应承诺及资料</w:t>
      </w:r>
    </w:p>
    <w:p w14:paraId="1F3F246E">
      <w:pPr>
        <w:spacing w:line="360" w:lineRule="auto"/>
        <w:ind w:firstLine="480" w:firstLineChars="200"/>
        <w:rPr>
          <w:rFonts w:hint="eastAsia" w:ascii="宋体" w:hAnsi="宋体" w:cs="宋体"/>
          <w:snapToGrid w:val="0"/>
          <w:color w:val="auto"/>
          <w:kern w:val="0"/>
          <w:sz w:val="24"/>
          <w:u w:val="single"/>
        </w:rPr>
      </w:pPr>
    </w:p>
    <w:p w14:paraId="6D1E14D2">
      <w:pPr>
        <w:pStyle w:val="44"/>
        <w:widowControl/>
        <w:spacing w:before="75" w:after="75" w:line="495" w:lineRule="atLeast"/>
        <w:rPr>
          <w:rFonts w:hint="eastAsia" w:ascii="宋体" w:hAnsi="宋体" w:cs="宋体"/>
          <w:color w:val="auto"/>
        </w:rPr>
      </w:pPr>
      <w:r>
        <w:rPr>
          <w:rStyle w:val="52"/>
          <w:rFonts w:ascii="宋体" w:hAnsi="宋体" w:cs="宋体"/>
          <w:color w:val="auto"/>
        </w:rPr>
        <w:t>说明：</w:t>
      </w:r>
      <w:r>
        <w:rPr>
          <w:rStyle w:val="52"/>
          <w:rFonts w:hint="eastAsia" w:ascii="宋体" w:hAnsi="宋体" w:cs="宋体"/>
          <w:color w:val="auto"/>
        </w:rPr>
        <w:t>    </w:t>
      </w:r>
    </w:p>
    <w:p w14:paraId="06317EC8">
      <w:pPr>
        <w:pStyle w:val="44"/>
        <w:widowControl/>
        <w:spacing w:before="75" w:after="75" w:line="495" w:lineRule="atLeast"/>
        <w:rPr>
          <w:rFonts w:hint="eastAsia" w:ascii="宋体" w:hAnsi="宋体" w:cs="宋体"/>
          <w:color w:val="auto"/>
        </w:rPr>
      </w:pPr>
      <w:r>
        <w:rPr>
          <w:rFonts w:hint="eastAsia" w:ascii="宋体" w:hAnsi="宋体" w:cs="宋体"/>
          <w:color w:val="auto"/>
          <w:szCs w:val="24"/>
        </w:rPr>
        <w:t>  1.</w:t>
      </w:r>
      <w:r>
        <w:rPr>
          <w:rFonts w:hint="eastAsia" w:ascii="宋体" w:hAnsi="宋体" w:cs="宋体"/>
          <w:color w:val="auto"/>
          <w:szCs w:val="24"/>
          <w:lang w:val="en-US" w:eastAsia="zh-CN"/>
        </w:rPr>
        <w:t>采购人</w:t>
      </w:r>
      <w:r>
        <w:rPr>
          <w:rFonts w:hint="eastAsia" w:ascii="宋体" w:hAnsi="宋体" w:cs="宋体"/>
          <w:color w:val="auto"/>
          <w:szCs w:val="24"/>
        </w:rPr>
        <w:t>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14:paraId="792E2A77">
      <w:pPr>
        <w:pStyle w:val="44"/>
        <w:widowControl/>
        <w:spacing w:before="75" w:after="75" w:line="495" w:lineRule="atLeast"/>
        <w:rPr>
          <w:rFonts w:hint="eastAsia" w:ascii="宋体" w:hAnsi="宋体" w:cs="宋体"/>
          <w:color w:val="auto"/>
        </w:rPr>
      </w:pPr>
      <w:r>
        <w:rPr>
          <w:rFonts w:hint="eastAsia" w:ascii="宋体" w:hAnsi="宋体" w:cs="宋体"/>
          <w:color w:val="auto"/>
          <w:szCs w:val="24"/>
        </w:rPr>
        <w:t>  2.如果没有特别要求的，供应商根据磋商文件的要求以及特点，提供相关技术、商务、服务响应承诺及资料，格式自拟。</w:t>
      </w:r>
    </w:p>
    <w:p w14:paraId="05C37888">
      <w:pPr>
        <w:pStyle w:val="44"/>
        <w:widowControl/>
        <w:spacing w:before="75" w:after="75" w:line="495" w:lineRule="atLeast"/>
        <w:rPr>
          <w:rFonts w:hint="eastAsia" w:ascii="宋体" w:hAnsi="宋体" w:cs="宋体"/>
          <w:color w:val="auto"/>
        </w:rPr>
      </w:pPr>
      <w:r>
        <w:rPr>
          <w:rStyle w:val="52"/>
          <w:rFonts w:hint="eastAsia" w:ascii="宋体" w:hAnsi="宋体" w:cs="宋体"/>
          <w:color w:val="auto"/>
        </w:rPr>
        <w:t> </w:t>
      </w:r>
    </w:p>
    <w:p w14:paraId="1955B6DF">
      <w:pPr>
        <w:pStyle w:val="44"/>
        <w:widowControl/>
        <w:spacing w:before="75" w:after="75" w:line="495" w:lineRule="atLeast"/>
        <w:rPr>
          <w:rFonts w:hint="eastAsia" w:ascii="宋体" w:hAnsi="宋体" w:cs="宋体"/>
          <w:color w:val="auto"/>
        </w:rPr>
      </w:pPr>
      <w:r>
        <w:rPr>
          <w:rStyle w:val="52"/>
          <w:rFonts w:hint="eastAsia" w:ascii="宋体" w:hAnsi="宋体" w:cs="宋体"/>
          <w:color w:val="auto"/>
        </w:rPr>
        <w:t> </w:t>
      </w:r>
    </w:p>
    <w:p w14:paraId="75DA1249">
      <w:pPr>
        <w:pStyle w:val="44"/>
        <w:widowControl/>
        <w:spacing w:before="75" w:after="75" w:line="420" w:lineRule="atLeast"/>
        <w:ind w:firstLine="480"/>
        <w:rPr>
          <w:rFonts w:hint="eastAsia" w:ascii="宋体" w:hAnsi="宋体" w:cs="宋体"/>
          <w:color w:val="auto"/>
        </w:rPr>
      </w:pPr>
      <w:r>
        <w:rPr>
          <w:rFonts w:hint="eastAsia" w:ascii="宋体" w:hAnsi="宋体" w:cs="宋体"/>
          <w:color w:val="auto"/>
          <w:szCs w:val="24"/>
        </w:rPr>
        <w:t> </w:t>
      </w:r>
    </w:p>
    <w:p w14:paraId="60C7DB7D">
      <w:pPr>
        <w:pStyle w:val="44"/>
        <w:widowControl/>
        <w:spacing w:before="75" w:after="75" w:line="420" w:lineRule="atLeast"/>
        <w:ind w:firstLine="480"/>
        <w:rPr>
          <w:rFonts w:hint="eastAsia" w:ascii="宋体" w:hAnsi="宋体" w:cs="宋体"/>
          <w:color w:val="auto"/>
        </w:rPr>
      </w:pPr>
      <w:r>
        <w:rPr>
          <w:rFonts w:hint="eastAsia" w:ascii="宋体" w:hAnsi="宋体" w:cs="宋体"/>
          <w:color w:val="auto"/>
          <w:szCs w:val="24"/>
        </w:rPr>
        <w:t> </w:t>
      </w:r>
    </w:p>
    <w:p w14:paraId="0FD1BD9B">
      <w:pPr>
        <w:pStyle w:val="44"/>
        <w:widowControl/>
        <w:spacing w:before="75" w:after="75" w:line="435" w:lineRule="atLeast"/>
        <w:rPr>
          <w:rFonts w:hint="eastAsia" w:ascii="宋体" w:hAnsi="宋体" w:cs="宋体"/>
          <w:color w:val="auto"/>
        </w:rPr>
      </w:pPr>
      <w:r>
        <w:rPr>
          <w:rFonts w:hint="eastAsia" w:ascii="宋体" w:hAnsi="宋体" w:cs="宋体"/>
          <w:color w:val="auto"/>
          <w:szCs w:val="24"/>
        </w:rPr>
        <w:t>供应商代表：</w:t>
      </w:r>
      <w:r>
        <w:rPr>
          <w:rFonts w:hint="eastAsia" w:ascii="宋体" w:hAnsi="宋体" w:cs="宋体"/>
          <w:color w:val="auto"/>
          <w:szCs w:val="24"/>
          <w:u w:val="single"/>
        </w:rPr>
        <w:t>             （签字） </w:t>
      </w:r>
    </w:p>
    <w:p w14:paraId="3C2FDBBD">
      <w:pPr>
        <w:pStyle w:val="44"/>
        <w:widowControl/>
        <w:spacing w:before="75" w:after="75" w:line="435" w:lineRule="atLeast"/>
        <w:rPr>
          <w:rFonts w:hint="eastAsia" w:ascii="宋体" w:hAnsi="宋体" w:cs="宋体"/>
          <w:color w:val="auto"/>
        </w:rPr>
      </w:pPr>
      <w:r>
        <w:rPr>
          <w:rFonts w:hint="eastAsia" w:ascii="宋体" w:hAnsi="宋体" w:cs="宋体"/>
          <w:color w:val="auto"/>
          <w:szCs w:val="24"/>
        </w:rPr>
        <w:t>供应商名称：</w:t>
      </w:r>
      <w:r>
        <w:rPr>
          <w:rFonts w:hint="eastAsia" w:ascii="宋体" w:hAnsi="宋体" w:cs="宋体"/>
          <w:color w:val="auto"/>
          <w:szCs w:val="24"/>
          <w:u w:val="single"/>
        </w:rPr>
        <w:t>    （全称并加盖公章）   </w:t>
      </w:r>
    </w:p>
    <w:p w14:paraId="298609AB">
      <w:pPr>
        <w:pStyle w:val="44"/>
        <w:widowControl/>
        <w:spacing w:before="75" w:after="75" w:line="435" w:lineRule="atLeast"/>
        <w:rPr>
          <w:rFonts w:hint="eastAsia" w:ascii="宋体" w:hAnsi="宋体" w:cs="宋体"/>
          <w:color w:val="auto"/>
        </w:rPr>
      </w:pPr>
      <w:r>
        <w:rPr>
          <w:rFonts w:hint="eastAsia" w:ascii="宋体" w:hAnsi="宋体" w:cs="宋体"/>
          <w:color w:val="auto"/>
          <w:szCs w:val="24"/>
        </w:rPr>
        <w:t>日  期： </w:t>
      </w:r>
      <w:r>
        <w:rPr>
          <w:rFonts w:hint="eastAsia" w:ascii="宋体" w:hAnsi="宋体" w:cs="宋体"/>
          <w:color w:val="auto"/>
          <w:szCs w:val="24"/>
          <w:u w:val="single"/>
        </w:rPr>
        <w:t>    </w:t>
      </w:r>
      <w:r>
        <w:rPr>
          <w:rFonts w:hint="eastAsia" w:ascii="宋体" w:hAnsi="宋体" w:cs="宋体"/>
          <w:color w:val="auto"/>
          <w:szCs w:val="24"/>
        </w:rPr>
        <w:t>年 </w:t>
      </w:r>
      <w:r>
        <w:rPr>
          <w:rFonts w:hint="eastAsia" w:ascii="宋体" w:hAnsi="宋体" w:cs="宋体"/>
          <w:color w:val="auto"/>
          <w:szCs w:val="24"/>
          <w:u w:val="single"/>
        </w:rPr>
        <w:t>   </w:t>
      </w:r>
      <w:r>
        <w:rPr>
          <w:rFonts w:hint="eastAsia" w:ascii="宋体" w:hAnsi="宋体" w:cs="宋体"/>
          <w:color w:val="auto"/>
          <w:szCs w:val="24"/>
        </w:rPr>
        <w:t>月 </w:t>
      </w:r>
      <w:r>
        <w:rPr>
          <w:rFonts w:hint="eastAsia" w:ascii="宋体" w:hAnsi="宋体" w:cs="宋体"/>
          <w:color w:val="auto"/>
          <w:szCs w:val="24"/>
          <w:u w:val="single"/>
        </w:rPr>
        <w:t>   </w:t>
      </w:r>
      <w:r>
        <w:rPr>
          <w:rFonts w:hint="eastAsia" w:ascii="宋体" w:hAnsi="宋体" w:cs="宋体"/>
          <w:color w:val="auto"/>
          <w:szCs w:val="24"/>
        </w:rPr>
        <w:t>日</w:t>
      </w:r>
    </w:p>
    <w:p w14:paraId="1B34C92E">
      <w:pPr>
        <w:spacing w:line="360" w:lineRule="auto"/>
        <w:outlineLvl w:val="0"/>
        <w:rPr>
          <w:rFonts w:hint="eastAsia" w:ascii="宋体" w:hAnsi="宋体" w:cs="宋体"/>
          <w:b/>
          <w:color w:val="auto"/>
          <w:sz w:val="28"/>
          <w:szCs w:val="28"/>
        </w:rPr>
      </w:pPr>
      <w:r>
        <w:rPr>
          <w:rFonts w:hint="eastAsia" w:ascii="宋体" w:hAnsi="宋体" w:cs="宋体"/>
          <w:b/>
          <w:color w:val="auto"/>
          <w:sz w:val="28"/>
          <w:szCs w:val="28"/>
        </w:rPr>
        <w:br w:type="page"/>
      </w:r>
      <w:bookmarkStart w:id="221" w:name="_Toc21456"/>
      <w:bookmarkStart w:id="222" w:name="_Toc32185_WPSOffice_Level3"/>
      <w:bookmarkStart w:id="223" w:name="_Toc15310_WPSOffice_Level3"/>
      <w:r>
        <w:rPr>
          <w:rFonts w:hint="eastAsia" w:ascii="宋体" w:hAnsi="宋体" w:cs="宋体"/>
          <w:b/>
          <w:color w:val="auto"/>
          <w:szCs w:val="21"/>
        </w:rPr>
        <w:t>附件</w:t>
      </w:r>
      <w:bookmarkEnd w:id="221"/>
      <w:r>
        <w:rPr>
          <w:rFonts w:hint="eastAsia" w:ascii="宋体" w:hAnsi="宋体" w:cs="宋体"/>
          <w:b/>
          <w:color w:val="auto"/>
          <w:szCs w:val="21"/>
          <w:lang w:val="en-US" w:eastAsia="zh-CN"/>
        </w:rPr>
        <w:t>8</w:t>
      </w:r>
      <w:r>
        <w:rPr>
          <w:rFonts w:hint="eastAsia" w:ascii="宋体" w:hAnsi="宋体" w:cs="宋体"/>
          <w:b/>
          <w:color w:val="auto"/>
          <w:sz w:val="28"/>
          <w:szCs w:val="28"/>
        </w:rPr>
        <w:t xml:space="preserve">           </w:t>
      </w:r>
    </w:p>
    <w:p w14:paraId="77AA84E0">
      <w:pPr>
        <w:spacing w:line="360" w:lineRule="auto"/>
        <w:jc w:val="center"/>
        <w:rPr>
          <w:rFonts w:hint="eastAsia" w:ascii="宋体" w:hAnsi="宋体" w:cs="宋体"/>
          <w:color w:val="auto"/>
          <w:sz w:val="32"/>
          <w:szCs w:val="32"/>
        </w:rPr>
      </w:pPr>
      <w:r>
        <w:rPr>
          <w:rFonts w:hint="eastAsia" w:ascii="宋体" w:hAnsi="宋体" w:cs="宋体"/>
          <w:b/>
          <w:color w:val="auto"/>
          <w:sz w:val="32"/>
          <w:szCs w:val="32"/>
        </w:rPr>
        <w:t>供应商的资格证明文件</w:t>
      </w:r>
      <w:bookmarkEnd w:id="222"/>
      <w:bookmarkEnd w:id="223"/>
    </w:p>
    <w:p w14:paraId="0F2C381E">
      <w:pPr>
        <w:spacing w:line="360" w:lineRule="auto"/>
        <w:jc w:val="center"/>
        <w:rPr>
          <w:rFonts w:hint="eastAsia" w:ascii="宋体" w:hAnsi="宋体" w:cs="宋体"/>
          <w:b/>
          <w:color w:val="auto"/>
          <w:sz w:val="32"/>
          <w:szCs w:val="32"/>
        </w:rPr>
      </w:pPr>
      <w:bookmarkStart w:id="224" w:name="_Toc11990_WPSOffice_Level3"/>
      <w:bookmarkStart w:id="225" w:name="_Toc21282_WPSOffice_Level3"/>
      <w:r>
        <w:rPr>
          <w:rFonts w:hint="eastAsia" w:ascii="宋体" w:hAnsi="宋体" w:cs="宋体"/>
          <w:b/>
          <w:color w:val="auto"/>
          <w:sz w:val="32"/>
          <w:szCs w:val="32"/>
          <w:lang w:val="en-US" w:eastAsia="zh-CN"/>
        </w:rPr>
        <w:t>8</w:t>
      </w:r>
      <w:r>
        <w:rPr>
          <w:rFonts w:hint="eastAsia" w:ascii="宋体" w:hAnsi="宋体" w:cs="宋体"/>
          <w:b/>
          <w:color w:val="auto"/>
          <w:sz w:val="32"/>
          <w:szCs w:val="32"/>
        </w:rPr>
        <w:t>-1法定代表人授权书</w:t>
      </w:r>
      <w:bookmarkEnd w:id="224"/>
      <w:bookmarkEnd w:id="225"/>
    </w:p>
    <w:p w14:paraId="087AAC67">
      <w:pPr>
        <w:spacing w:line="360" w:lineRule="auto"/>
        <w:rPr>
          <w:rFonts w:hint="eastAsia" w:ascii="宋体" w:hAnsi="宋体" w:cs="宋体"/>
          <w:color w:val="auto"/>
          <w:sz w:val="24"/>
          <w:u w:val="single"/>
        </w:rPr>
      </w:pPr>
      <w:r>
        <w:rPr>
          <w:rFonts w:hint="eastAsia" w:ascii="宋体" w:hAnsi="宋体" w:cs="宋体"/>
          <w:color w:val="auto"/>
          <w:sz w:val="24"/>
        </w:rPr>
        <w:t>致：</w:t>
      </w:r>
      <w:r>
        <w:rPr>
          <w:rFonts w:hint="eastAsia" w:ascii="宋体" w:hAnsi="宋体" w:cs="宋体"/>
          <w:color w:val="auto"/>
          <w:sz w:val="24"/>
          <w:u w:val="single"/>
        </w:rPr>
        <w:t> 福建优胜招标项目管理集团有限公司</w:t>
      </w:r>
    </w:p>
    <w:p w14:paraId="75B3596A">
      <w:pPr>
        <w:pStyle w:val="27"/>
        <w:snapToGrid w:val="0"/>
        <w:spacing w:line="360" w:lineRule="auto"/>
        <w:ind w:firstLine="480" w:firstLineChars="200"/>
        <w:jc w:val="left"/>
        <w:rPr>
          <w:rFonts w:hint="eastAsia" w:hAnsi="宋体" w:cs="宋体"/>
          <w:color w:val="auto"/>
          <w:sz w:val="24"/>
        </w:rPr>
      </w:pPr>
      <w:r>
        <w:rPr>
          <w:rFonts w:hint="eastAsia" w:hAnsi="宋体" w:cs="宋体"/>
          <w:color w:val="auto"/>
          <w:sz w:val="24"/>
          <w:u w:val="single"/>
        </w:rPr>
        <w:t>（供应商全称）</w:t>
      </w:r>
      <w:r>
        <w:rPr>
          <w:rFonts w:hint="eastAsia" w:hAnsi="宋体" w:cs="宋体"/>
          <w:color w:val="auto"/>
          <w:sz w:val="24"/>
        </w:rPr>
        <w:t>法定代表人</w:t>
      </w:r>
      <w:r>
        <w:rPr>
          <w:rFonts w:hint="eastAsia" w:hAnsi="宋体" w:cs="宋体"/>
          <w:color w:val="auto"/>
          <w:sz w:val="24"/>
          <w:u w:val="single"/>
        </w:rPr>
        <w:t xml:space="preserve">        </w:t>
      </w:r>
      <w:r>
        <w:rPr>
          <w:rFonts w:hint="eastAsia" w:hAnsi="宋体" w:cs="宋体"/>
          <w:color w:val="auto"/>
          <w:sz w:val="24"/>
        </w:rPr>
        <w:t xml:space="preserve"> 授权</w:t>
      </w:r>
      <w:r>
        <w:rPr>
          <w:rFonts w:hint="eastAsia" w:hAnsi="宋体" w:cs="宋体"/>
          <w:color w:val="auto"/>
          <w:sz w:val="24"/>
          <w:u w:val="single"/>
        </w:rPr>
        <w:t xml:space="preserve">  （报价代表姓名）</w:t>
      </w:r>
      <w:r>
        <w:rPr>
          <w:rFonts w:hint="eastAsia" w:hAnsi="宋体" w:cs="宋体"/>
          <w:color w:val="auto"/>
          <w:sz w:val="24"/>
        </w:rPr>
        <w:t>为报价代表，代表本公司参加贵司组织的</w:t>
      </w:r>
      <w:r>
        <w:rPr>
          <w:rFonts w:hint="eastAsia" w:hAnsi="宋体" w:cs="宋体"/>
          <w:color w:val="auto"/>
          <w:sz w:val="24"/>
          <w:u w:val="single"/>
        </w:rPr>
        <w:t xml:space="preserve">            </w:t>
      </w:r>
      <w:r>
        <w:rPr>
          <w:rFonts w:hint="eastAsia" w:hAnsi="宋体" w:cs="宋体"/>
          <w:color w:val="auto"/>
          <w:sz w:val="24"/>
        </w:rPr>
        <w:t>项目（项目编号</w:t>
      </w:r>
      <w:r>
        <w:rPr>
          <w:rFonts w:hint="eastAsia" w:hAnsi="宋体" w:cs="宋体"/>
          <w:color w:val="auto"/>
          <w:sz w:val="24"/>
          <w:u w:val="single"/>
        </w:rPr>
        <w:t xml:space="preserve">       </w:t>
      </w:r>
      <w:r>
        <w:rPr>
          <w:rFonts w:hint="eastAsia" w:hAnsi="宋体" w:cs="宋体"/>
          <w:color w:val="auto"/>
          <w:sz w:val="24"/>
        </w:rPr>
        <w:t>）采购活动，全权代表本公司处理报价过程的一切事宜，包括但不限于：报价、参与磋商、签约等。报价代表在报价过程中所签署的一切文件和处理与之有关的一切事务，本公司均予以认可并对此承担责任。报价代表无转委权。特此授权。</w:t>
      </w:r>
    </w:p>
    <w:p w14:paraId="637F6F0B">
      <w:pPr>
        <w:pStyle w:val="27"/>
        <w:snapToGrid w:val="0"/>
        <w:spacing w:line="360" w:lineRule="auto"/>
        <w:ind w:firstLine="480" w:firstLineChars="200"/>
        <w:jc w:val="left"/>
        <w:rPr>
          <w:rFonts w:hint="eastAsia" w:hAnsi="宋体" w:cs="宋体"/>
          <w:color w:val="auto"/>
          <w:sz w:val="24"/>
        </w:rPr>
      </w:pPr>
      <w:r>
        <w:rPr>
          <w:rFonts w:hint="eastAsia" w:hAnsi="宋体" w:cs="宋体"/>
          <w:color w:val="auto"/>
          <w:sz w:val="24"/>
        </w:rPr>
        <w:t>特此授权！本授权书自出具之日起生效。</w:t>
      </w:r>
    </w:p>
    <w:p w14:paraId="62D77425">
      <w:pPr>
        <w:rPr>
          <w:rFonts w:hint="eastAsia" w:ascii="宋体" w:hAnsi="宋体" w:cs="宋体"/>
          <w:color w:val="auto"/>
          <w:sz w:val="24"/>
          <w:u w:val="single"/>
        </w:rPr>
      </w:pPr>
      <w:r>
        <w:rPr>
          <w:rFonts w:hint="eastAsia" w:ascii="宋体" w:hAnsi="宋体" w:cs="宋体"/>
          <w:color w:val="auto"/>
          <w:sz w:val="24"/>
          <w:u w:val="single"/>
        </w:rPr>
        <w:t xml:space="preserve">           </w:t>
      </w:r>
    </w:p>
    <w:p w14:paraId="1272773F">
      <w:pPr>
        <w:pStyle w:val="44"/>
        <w:widowControl/>
        <w:spacing w:line="240" w:lineRule="auto"/>
        <w:rPr>
          <w:rFonts w:hint="eastAsia" w:ascii="宋体" w:hAnsi="宋体" w:cs="宋体"/>
          <w:color w:val="auto"/>
          <w:szCs w:val="24"/>
        </w:rPr>
      </w:pPr>
      <w:r>
        <w:rPr>
          <w:rFonts w:hint="eastAsia" w:ascii="宋体" w:hAnsi="宋体" w:cs="宋体"/>
          <w:color w:val="auto"/>
          <w:szCs w:val="24"/>
          <w:shd w:val="clear" w:color="auto" w:fill="FFFFFF"/>
        </w:rPr>
        <w:t>※</w:t>
      </w:r>
      <w:r>
        <w:rPr>
          <w:rFonts w:hint="eastAsia" w:ascii="宋体" w:hAnsi="宋体" w:cs="宋体"/>
          <w:color w:val="auto"/>
          <w:szCs w:val="24"/>
        </w:rPr>
        <w:t>注意：</w:t>
      </w:r>
    </w:p>
    <w:p w14:paraId="3FF57DB9">
      <w:pPr>
        <w:pStyle w:val="44"/>
        <w:widowControl/>
        <w:spacing w:line="240" w:lineRule="auto"/>
        <w:rPr>
          <w:rFonts w:hint="eastAsia" w:ascii="宋体" w:hAnsi="宋体" w:cs="宋体"/>
          <w:color w:val="auto"/>
          <w:szCs w:val="24"/>
        </w:rPr>
      </w:pPr>
      <w:r>
        <w:rPr>
          <w:rFonts w:hint="eastAsia" w:ascii="宋体" w:hAnsi="宋体" w:cs="宋体"/>
          <w:color w:val="auto"/>
          <w:szCs w:val="24"/>
        </w:rPr>
        <w:t>1、企业（银行、保险、石油石化、电力、电信等行业除外）、事业单位和社会团体法人的“单位负责人”指</w:t>
      </w:r>
      <w:r>
        <w:rPr>
          <w:rStyle w:val="52"/>
          <w:rFonts w:hint="eastAsia" w:ascii="宋体" w:hAnsi="宋体" w:cs="宋体"/>
          <w:color w:val="auto"/>
        </w:rPr>
        <w:t>法定代表人</w:t>
      </w:r>
      <w:r>
        <w:rPr>
          <w:rFonts w:hint="eastAsia" w:ascii="宋体" w:hAnsi="宋体" w:cs="宋体"/>
          <w:color w:val="auto"/>
          <w:szCs w:val="24"/>
        </w:rPr>
        <w:t>，即与实际提交的“营业执照等证明文件”载明的一致。</w:t>
      </w:r>
    </w:p>
    <w:p w14:paraId="39CCB666">
      <w:pPr>
        <w:pStyle w:val="44"/>
        <w:widowControl/>
        <w:spacing w:line="240" w:lineRule="auto"/>
        <w:rPr>
          <w:rFonts w:hint="eastAsia" w:ascii="宋体" w:hAnsi="宋体" w:cs="宋体"/>
          <w:color w:val="auto"/>
          <w:szCs w:val="24"/>
        </w:rPr>
      </w:pPr>
      <w:r>
        <w:rPr>
          <w:rFonts w:hint="eastAsia" w:ascii="宋体" w:hAnsi="宋体" w:cs="宋体"/>
          <w:color w:val="auto"/>
          <w:szCs w:val="24"/>
        </w:rPr>
        <w:t>2、银行、保险、石油石化、电力、电信等行业：以法人身份参加磋商的，“单位负责人”指法定代表人，即与实际提交的“营业执照等证明文件”载明的一致；以非法人身份参加磋商的，“单位负责人”指代表单位行使职权的主要负责人，即与实际提交的“营业执照等证明文件”载明的一致。</w:t>
      </w:r>
    </w:p>
    <w:p w14:paraId="61B51D03">
      <w:pPr>
        <w:pStyle w:val="44"/>
        <w:widowControl/>
        <w:spacing w:line="240" w:lineRule="auto"/>
        <w:rPr>
          <w:rFonts w:hint="eastAsia" w:ascii="宋体" w:hAnsi="宋体" w:cs="宋体"/>
          <w:color w:val="auto"/>
          <w:szCs w:val="24"/>
        </w:rPr>
      </w:pPr>
      <w:r>
        <w:rPr>
          <w:rFonts w:hint="eastAsia" w:ascii="宋体" w:hAnsi="宋体" w:cs="宋体"/>
          <w:color w:val="auto"/>
          <w:szCs w:val="24"/>
        </w:rPr>
        <w:t>3、供应商（自然人除外）：若供应商代表为单位负责人授权的委托代理人，应提供本授权书；若供应商代表为单位负责人，应在此项下提交其身份证正反面复印件，可不提供本授权书。</w:t>
      </w:r>
    </w:p>
    <w:p w14:paraId="4D6D490B">
      <w:pPr>
        <w:pStyle w:val="44"/>
        <w:widowControl/>
        <w:spacing w:line="240" w:lineRule="auto"/>
        <w:rPr>
          <w:rFonts w:hint="eastAsia" w:ascii="宋体" w:hAnsi="宋体" w:cs="宋体"/>
          <w:color w:val="auto"/>
          <w:szCs w:val="24"/>
        </w:rPr>
      </w:pPr>
      <w:r>
        <w:rPr>
          <w:rFonts w:hint="eastAsia" w:ascii="宋体" w:hAnsi="宋体" w:cs="宋体"/>
          <w:color w:val="auto"/>
          <w:szCs w:val="24"/>
        </w:rPr>
        <w:t>4、供应商为自然人的，可不填写本授权书。</w:t>
      </w:r>
    </w:p>
    <w:p w14:paraId="069B4C14">
      <w:pPr>
        <w:pStyle w:val="44"/>
        <w:widowControl/>
        <w:spacing w:line="240" w:lineRule="auto"/>
        <w:rPr>
          <w:rFonts w:hint="eastAsia" w:ascii="宋体" w:hAnsi="宋体" w:cs="宋体"/>
          <w:color w:val="auto"/>
          <w:szCs w:val="24"/>
        </w:rPr>
      </w:pPr>
      <w:r>
        <w:rPr>
          <w:rFonts w:hint="eastAsia" w:ascii="宋体" w:hAnsi="宋体" w:cs="宋体"/>
          <w:color w:val="auto"/>
          <w:szCs w:val="24"/>
        </w:rPr>
        <w:t xml:space="preserve">5、响应文件正本中的本授权书（若有）应为原件。 </w:t>
      </w:r>
    </w:p>
    <w:p w14:paraId="0E18947C">
      <w:pPr>
        <w:rPr>
          <w:rFonts w:hint="eastAsia" w:ascii="宋体" w:hAnsi="宋体" w:cs="宋体"/>
          <w:color w:val="auto"/>
          <w:sz w:val="24"/>
        </w:rPr>
      </w:pPr>
    </w:p>
    <w:p w14:paraId="2E168A8F">
      <w:pPr>
        <w:pStyle w:val="44"/>
        <w:widowControl/>
        <w:spacing w:before="75" w:after="75" w:line="360" w:lineRule="atLeast"/>
        <w:rPr>
          <w:rFonts w:hint="eastAsia" w:ascii="宋体" w:hAnsi="宋体" w:cs="宋体"/>
          <w:color w:val="auto"/>
          <w:szCs w:val="24"/>
        </w:rPr>
      </w:pPr>
      <w:r>
        <w:rPr>
          <w:rFonts w:hint="eastAsia" w:ascii="宋体" w:hAnsi="宋体" w:cs="宋体"/>
          <w:color w:val="auto"/>
          <w:szCs w:val="24"/>
        </w:rPr>
        <w:t>单位负责人：</w:t>
      </w:r>
      <w:r>
        <w:rPr>
          <w:rFonts w:hint="eastAsia" w:ascii="宋体" w:hAnsi="宋体" w:cs="宋体"/>
          <w:color w:val="auto"/>
          <w:szCs w:val="24"/>
          <w:u w:val="single"/>
        </w:rPr>
        <w:t>    </w:t>
      </w:r>
      <w:r>
        <w:rPr>
          <w:rFonts w:hint="eastAsia" w:ascii="宋体" w:hAnsi="宋体" w:cs="宋体"/>
          <w:color w:val="auto"/>
          <w:szCs w:val="24"/>
        </w:rPr>
        <w:t>身份证号：</w:t>
      </w:r>
      <w:r>
        <w:rPr>
          <w:rFonts w:hint="eastAsia" w:ascii="宋体" w:hAnsi="宋体" w:cs="宋体"/>
          <w:color w:val="auto"/>
          <w:szCs w:val="24"/>
          <w:u w:val="single"/>
        </w:rPr>
        <w:t xml:space="preserve">          </w:t>
      </w:r>
      <w:r>
        <w:rPr>
          <w:rFonts w:hint="eastAsia" w:ascii="宋体" w:hAnsi="宋体" w:cs="宋体"/>
          <w:color w:val="auto"/>
          <w:szCs w:val="24"/>
        </w:rPr>
        <w:t>手机：</w:t>
      </w:r>
      <w:r>
        <w:rPr>
          <w:rFonts w:hint="eastAsia" w:ascii="宋体" w:hAnsi="宋体" w:cs="宋体"/>
          <w:color w:val="auto"/>
          <w:szCs w:val="24"/>
          <w:u w:val="single"/>
        </w:rPr>
        <w:t xml:space="preserve">      </w:t>
      </w:r>
    </w:p>
    <w:p w14:paraId="033FB3E8">
      <w:pPr>
        <w:pStyle w:val="44"/>
        <w:widowControl/>
        <w:spacing w:before="75" w:after="75" w:line="360" w:lineRule="atLeast"/>
        <w:rPr>
          <w:rFonts w:hint="eastAsia" w:ascii="宋体" w:hAnsi="宋体" w:cs="宋体"/>
          <w:color w:val="auto"/>
          <w:szCs w:val="24"/>
        </w:rPr>
      </w:pPr>
      <w:r>
        <w:rPr>
          <w:rFonts w:hint="eastAsia" w:ascii="宋体" w:hAnsi="宋体" w:cs="宋体"/>
          <w:color w:val="auto"/>
          <w:szCs w:val="24"/>
        </w:rPr>
        <w:t>供应商代表：</w:t>
      </w:r>
      <w:r>
        <w:rPr>
          <w:rFonts w:hint="eastAsia" w:ascii="宋体" w:hAnsi="宋体" w:cs="宋体"/>
          <w:color w:val="auto"/>
          <w:szCs w:val="24"/>
          <w:u w:val="single"/>
        </w:rPr>
        <w:t>     </w:t>
      </w:r>
      <w:r>
        <w:rPr>
          <w:rFonts w:hint="eastAsia" w:ascii="宋体" w:hAnsi="宋体" w:cs="宋体"/>
          <w:color w:val="auto"/>
          <w:szCs w:val="24"/>
        </w:rPr>
        <w:t>身份证号：</w:t>
      </w:r>
      <w:r>
        <w:rPr>
          <w:rFonts w:hint="eastAsia" w:ascii="宋体" w:hAnsi="宋体" w:cs="宋体"/>
          <w:color w:val="auto"/>
          <w:szCs w:val="24"/>
          <w:u w:val="single"/>
        </w:rPr>
        <w:t xml:space="preserve">        </w:t>
      </w:r>
      <w:r>
        <w:rPr>
          <w:rFonts w:hint="eastAsia" w:ascii="宋体" w:hAnsi="宋体" w:cs="宋体"/>
          <w:color w:val="auto"/>
          <w:szCs w:val="24"/>
        </w:rPr>
        <w:t>手机：</w:t>
      </w:r>
      <w:r>
        <w:rPr>
          <w:rFonts w:hint="eastAsia" w:ascii="宋体" w:hAnsi="宋体" w:cs="宋体"/>
          <w:color w:val="auto"/>
          <w:szCs w:val="24"/>
          <w:u w:val="single"/>
        </w:rPr>
        <w:t>     </w:t>
      </w:r>
    </w:p>
    <w:p w14:paraId="330831A1">
      <w:pPr>
        <w:pStyle w:val="44"/>
        <w:widowControl/>
        <w:spacing w:before="75" w:after="75" w:line="360" w:lineRule="atLeast"/>
        <w:rPr>
          <w:rFonts w:hint="eastAsia" w:ascii="宋体" w:hAnsi="宋体" w:cs="宋体"/>
          <w:color w:val="auto"/>
          <w:szCs w:val="24"/>
        </w:rPr>
      </w:pPr>
      <w:r>
        <w:rPr>
          <w:rFonts w:hint="eastAsia" w:ascii="宋体" w:hAnsi="宋体" w:cs="宋体"/>
          <w:color w:val="auto"/>
          <w:szCs w:val="24"/>
        </w:rPr>
        <w:t> </w:t>
      </w:r>
    </w:p>
    <w:p w14:paraId="67617518">
      <w:pPr>
        <w:pStyle w:val="44"/>
        <w:widowControl/>
        <w:spacing w:line="360" w:lineRule="atLeast"/>
        <w:rPr>
          <w:rFonts w:hint="eastAsia" w:ascii="宋体" w:hAnsi="宋体" w:cs="宋体"/>
          <w:color w:val="auto"/>
          <w:szCs w:val="24"/>
        </w:rPr>
      </w:pPr>
      <w:r>
        <w:rPr>
          <w:rFonts w:hint="eastAsia" w:ascii="宋体" w:hAnsi="宋体" w:cs="宋体"/>
          <w:color w:val="auto"/>
          <w:szCs w:val="24"/>
        </w:rPr>
        <w:t>授权方</w:t>
      </w:r>
    </w:p>
    <w:p w14:paraId="06BF8272">
      <w:pPr>
        <w:pStyle w:val="44"/>
        <w:widowControl/>
        <w:spacing w:line="360" w:lineRule="atLeast"/>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3721FFEB">
      <w:pPr>
        <w:pStyle w:val="44"/>
        <w:widowControl/>
        <w:spacing w:line="360" w:lineRule="atLeast"/>
        <w:rPr>
          <w:rFonts w:hint="eastAsia" w:ascii="宋体" w:hAnsi="宋体" w:cs="宋体"/>
          <w:color w:val="auto"/>
          <w:szCs w:val="24"/>
        </w:rPr>
      </w:pPr>
      <w:r>
        <w:rPr>
          <w:rFonts w:hint="eastAsia" w:ascii="宋体" w:hAnsi="宋体" w:cs="宋体"/>
          <w:color w:val="auto"/>
          <w:szCs w:val="24"/>
        </w:rPr>
        <w:t>单位负责人签字或盖章：</w:t>
      </w:r>
      <w:r>
        <w:rPr>
          <w:rFonts w:hint="eastAsia" w:ascii="宋体" w:hAnsi="宋体" w:cs="宋体"/>
          <w:color w:val="auto"/>
          <w:szCs w:val="24"/>
          <w:u w:val="single"/>
        </w:rPr>
        <w:t>       </w:t>
      </w:r>
    </w:p>
    <w:p w14:paraId="1AB39055">
      <w:pPr>
        <w:pStyle w:val="44"/>
        <w:widowControl/>
        <w:spacing w:line="360" w:lineRule="atLeast"/>
        <w:rPr>
          <w:rFonts w:hint="eastAsia" w:ascii="宋体" w:hAnsi="宋体" w:cs="宋体"/>
          <w:color w:val="auto"/>
          <w:szCs w:val="24"/>
        </w:rPr>
      </w:pPr>
      <w:r>
        <w:rPr>
          <w:rFonts w:hint="eastAsia" w:ascii="宋体" w:hAnsi="宋体" w:cs="宋体"/>
          <w:color w:val="auto"/>
          <w:szCs w:val="24"/>
        </w:rPr>
        <w:t> </w:t>
      </w:r>
    </w:p>
    <w:p w14:paraId="24627A28">
      <w:pPr>
        <w:pStyle w:val="44"/>
        <w:widowControl/>
        <w:spacing w:line="360" w:lineRule="atLeast"/>
        <w:rPr>
          <w:rFonts w:hint="eastAsia" w:ascii="宋体" w:hAnsi="宋体" w:cs="宋体"/>
          <w:color w:val="auto"/>
          <w:szCs w:val="24"/>
        </w:rPr>
      </w:pPr>
      <w:r>
        <w:rPr>
          <w:rFonts w:hint="eastAsia" w:ascii="宋体" w:hAnsi="宋体" w:cs="宋体"/>
          <w:color w:val="auto"/>
          <w:szCs w:val="24"/>
        </w:rPr>
        <w:t>接受授权方</w:t>
      </w:r>
    </w:p>
    <w:p w14:paraId="63F34503">
      <w:pPr>
        <w:pStyle w:val="44"/>
        <w:widowControl/>
        <w:spacing w:line="360" w:lineRule="atLeast"/>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6BA8B566">
      <w:pPr>
        <w:pStyle w:val="27"/>
        <w:snapToGrid w:val="0"/>
        <w:jc w:val="left"/>
        <w:rPr>
          <w:rFonts w:hint="eastAsia" w:hAnsi="宋体" w:cs="宋体"/>
          <w:color w:val="auto"/>
          <w:sz w:val="24"/>
          <w:szCs w:val="24"/>
          <w:u w:val="single"/>
        </w:rPr>
      </w:pPr>
      <w:r>
        <w:rPr>
          <w:rFonts w:hint="eastAsia" w:hAnsi="宋体" w:cs="宋体"/>
          <w:color w:val="auto"/>
          <w:sz w:val="24"/>
          <w:szCs w:val="24"/>
          <w:u w:val="single"/>
        </w:rPr>
        <w:t xml:space="preserve">                </w:t>
      </w:r>
    </w:p>
    <w:p w14:paraId="682D5E6A">
      <w:pPr>
        <w:pStyle w:val="27"/>
        <w:snapToGrid w:val="0"/>
        <w:jc w:val="left"/>
        <w:rPr>
          <w:rFonts w:hint="eastAsia" w:hAnsi="宋体" w:cs="宋体"/>
          <w:color w:val="auto"/>
          <w:sz w:val="24"/>
          <w:szCs w:val="24"/>
        </w:rPr>
      </w:pPr>
      <w:r>
        <w:rPr>
          <w:rFonts w:hint="eastAsia" w:hAnsi="宋体" w:cs="宋体"/>
          <w:b/>
          <w:color w:val="auto"/>
          <w:sz w:val="24"/>
          <w:szCs w:val="24"/>
        </w:rPr>
        <w:t>附：法定代表人和被授权人身份证件（正反面）</w:t>
      </w:r>
    </w:p>
    <w:p w14:paraId="43C42838">
      <w:pPr>
        <w:spacing w:line="360" w:lineRule="auto"/>
        <w:rPr>
          <w:rFonts w:hint="eastAsia" w:ascii="宋体" w:hAnsi="宋体" w:cs="宋体"/>
          <w:b/>
          <w:color w:val="auto"/>
          <w:sz w:val="24"/>
        </w:rPr>
      </w:pPr>
      <w:r>
        <w:rPr>
          <w:rFonts w:hint="eastAsia" w:ascii="宋体" w:hAnsi="宋体" w:cs="宋体"/>
          <w:color w:val="auto"/>
          <w:sz w:val="24"/>
          <w:u w:val="single"/>
        </w:rPr>
        <w:br w:type="page"/>
      </w:r>
    </w:p>
    <w:p w14:paraId="3369EE3A">
      <w:pPr>
        <w:spacing w:line="360" w:lineRule="auto"/>
        <w:jc w:val="center"/>
        <w:rPr>
          <w:rFonts w:hint="eastAsia" w:ascii="宋体" w:hAnsi="宋体" w:cs="宋体"/>
          <w:b/>
          <w:color w:val="auto"/>
          <w:sz w:val="32"/>
          <w:szCs w:val="32"/>
        </w:rPr>
      </w:pPr>
      <w:r>
        <w:rPr>
          <w:rFonts w:hint="eastAsia" w:ascii="宋体" w:hAnsi="宋体" w:cs="宋体"/>
          <w:b/>
          <w:color w:val="auto"/>
          <w:sz w:val="32"/>
          <w:szCs w:val="32"/>
          <w:lang w:val="en-US" w:eastAsia="zh-CN"/>
        </w:rPr>
        <w:t>8</w:t>
      </w:r>
      <w:r>
        <w:rPr>
          <w:rFonts w:hint="eastAsia" w:ascii="宋体" w:hAnsi="宋体" w:cs="宋体"/>
          <w:b/>
          <w:color w:val="auto"/>
          <w:sz w:val="32"/>
          <w:szCs w:val="32"/>
        </w:rPr>
        <w:t>-2营业执照等证明文件</w:t>
      </w:r>
    </w:p>
    <w:p w14:paraId="4F2DDD80">
      <w:pPr>
        <w:spacing w:line="360" w:lineRule="auto"/>
        <w:rPr>
          <w:rFonts w:hint="eastAsia" w:ascii="宋体" w:hAnsi="宋体" w:cs="宋体"/>
          <w:color w:val="auto"/>
          <w:sz w:val="24"/>
        </w:rPr>
      </w:pPr>
    </w:p>
    <w:p w14:paraId="6A0355E7">
      <w:pPr>
        <w:pStyle w:val="44"/>
        <w:rPr>
          <w:rFonts w:hint="eastAsia" w:ascii="宋体" w:hAnsi="宋体" w:cs="宋体"/>
          <w:color w:val="auto"/>
          <w:szCs w:val="24"/>
        </w:rPr>
      </w:pPr>
      <w:r>
        <w:rPr>
          <w:rFonts w:hint="eastAsia" w:ascii="宋体" w:hAnsi="宋体" w:cs="宋体"/>
          <w:color w:val="auto"/>
          <w:szCs w:val="24"/>
        </w:rPr>
        <w:t>致：</w:t>
      </w:r>
      <w:r>
        <w:rPr>
          <w:rFonts w:hint="eastAsia" w:ascii="宋体" w:hAnsi="宋体" w:cs="宋体"/>
          <w:color w:val="auto"/>
          <w:szCs w:val="24"/>
          <w:u w:val="single"/>
        </w:rPr>
        <w:t>                     </w:t>
      </w:r>
    </w:p>
    <w:p w14:paraId="64500AAF">
      <w:pPr>
        <w:pStyle w:val="44"/>
        <w:ind w:firstLine="420"/>
        <w:rPr>
          <w:rFonts w:hint="eastAsia" w:ascii="宋体" w:hAnsi="宋体" w:cs="宋体"/>
          <w:color w:val="auto"/>
          <w:szCs w:val="24"/>
        </w:rPr>
      </w:pPr>
      <w:r>
        <w:rPr>
          <w:rFonts w:hint="eastAsia" w:ascii="宋体" w:hAnsi="宋体" w:cs="宋体"/>
          <w:color w:val="auto"/>
          <w:szCs w:val="24"/>
        </w:rPr>
        <w:t>现附上由</w:t>
      </w:r>
      <w:r>
        <w:rPr>
          <w:rFonts w:hint="eastAsia" w:ascii="宋体" w:hAnsi="宋体" w:cs="宋体"/>
          <w:color w:val="auto"/>
          <w:szCs w:val="24"/>
          <w:u w:val="single"/>
        </w:rPr>
        <w:t>（填写“签发机关全称”）</w:t>
      </w:r>
      <w:r>
        <w:rPr>
          <w:rFonts w:hint="eastAsia" w:ascii="宋体" w:hAnsi="宋体" w:cs="宋体"/>
          <w:color w:val="auto"/>
          <w:szCs w:val="24"/>
        </w:rPr>
        <w:t>签发的我方统一社会信用代码</w:t>
      </w:r>
      <w:r>
        <w:rPr>
          <w:rFonts w:hint="eastAsia" w:ascii="宋体" w:hAnsi="宋体" w:cs="宋体"/>
          <w:color w:val="auto"/>
          <w:szCs w:val="24"/>
          <w:u w:val="single"/>
        </w:rPr>
        <w:t>（请填写法人的具体证照名称）</w:t>
      </w:r>
      <w:r>
        <w:rPr>
          <w:rFonts w:hint="eastAsia" w:ascii="宋体" w:hAnsi="宋体" w:cs="宋体"/>
          <w:color w:val="auto"/>
          <w:szCs w:val="24"/>
        </w:rPr>
        <w:t>复印件，该证明材料真实有效，否则我方负全部责任。</w:t>
      </w:r>
    </w:p>
    <w:p w14:paraId="5C2400FC">
      <w:pPr>
        <w:pStyle w:val="44"/>
        <w:rPr>
          <w:rFonts w:hint="eastAsia" w:ascii="宋体" w:hAnsi="宋体" w:cs="宋体"/>
          <w:color w:val="auto"/>
          <w:szCs w:val="24"/>
        </w:rPr>
      </w:pPr>
      <w:r>
        <w:rPr>
          <w:rFonts w:hint="eastAsia" w:ascii="宋体" w:hAnsi="宋体" w:cs="宋体"/>
          <w:color w:val="auto"/>
          <w:szCs w:val="24"/>
        </w:rPr>
        <w:t> </w:t>
      </w:r>
    </w:p>
    <w:p w14:paraId="3F0690B2">
      <w:pPr>
        <w:pStyle w:val="44"/>
        <w:rPr>
          <w:rFonts w:hint="eastAsia" w:ascii="宋体" w:hAnsi="宋体" w:cs="宋体"/>
          <w:color w:val="auto"/>
          <w:szCs w:val="24"/>
        </w:rPr>
      </w:pPr>
      <w:r>
        <w:rPr>
          <w:rFonts w:hint="eastAsia" w:ascii="宋体" w:hAnsi="宋体" w:cs="宋体"/>
          <w:color w:val="auto"/>
          <w:szCs w:val="24"/>
          <w:shd w:val="clear" w:color="auto" w:fill="FFFFFF"/>
        </w:rPr>
        <w:t>※</w:t>
      </w:r>
      <w:r>
        <w:rPr>
          <w:rFonts w:hint="eastAsia" w:ascii="宋体" w:hAnsi="宋体" w:cs="宋体"/>
          <w:color w:val="auto"/>
          <w:szCs w:val="24"/>
        </w:rPr>
        <w:t>注意：</w:t>
      </w:r>
    </w:p>
    <w:p w14:paraId="46EDBC58">
      <w:pPr>
        <w:pStyle w:val="44"/>
        <w:ind w:firstLine="420"/>
        <w:rPr>
          <w:rFonts w:hint="eastAsia" w:ascii="宋体" w:hAnsi="宋体" w:cs="宋体"/>
          <w:color w:val="auto"/>
          <w:szCs w:val="24"/>
        </w:rPr>
      </w:pPr>
      <w:r>
        <w:rPr>
          <w:rFonts w:hint="eastAsia" w:ascii="宋体" w:hAnsi="宋体" w:cs="宋体"/>
          <w:color w:val="auto"/>
          <w:szCs w:val="24"/>
        </w:rPr>
        <w:t>1、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 2、供应商提供的相应证明材料复印件均应符合：内容完整、清晰、整洁，并由供应商加盖其单位公章。  </w:t>
      </w:r>
    </w:p>
    <w:p w14:paraId="12EFCC89">
      <w:pPr>
        <w:pStyle w:val="44"/>
        <w:rPr>
          <w:rFonts w:hint="eastAsia" w:ascii="宋体" w:hAnsi="宋体" w:cs="宋体"/>
          <w:color w:val="auto"/>
          <w:szCs w:val="24"/>
        </w:rPr>
      </w:pPr>
      <w:r>
        <w:rPr>
          <w:rFonts w:hint="eastAsia" w:ascii="宋体" w:hAnsi="宋体" w:cs="宋体"/>
          <w:color w:val="auto"/>
          <w:szCs w:val="24"/>
        </w:rPr>
        <w:t> </w:t>
      </w:r>
    </w:p>
    <w:p w14:paraId="01DFC06B">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375EAF57">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125B102D">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598C238A">
      <w:pPr>
        <w:spacing w:line="360" w:lineRule="auto"/>
        <w:rPr>
          <w:rFonts w:hint="eastAsia" w:ascii="宋体" w:hAnsi="宋体" w:cs="宋体"/>
          <w:color w:val="auto"/>
          <w:sz w:val="24"/>
          <w:u w:val="single"/>
        </w:rPr>
      </w:pPr>
      <w:r>
        <w:rPr>
          <w:rFonts w:hint="eastAsia" w:ascii="宋体" w:hAnsi="宋体" w:cs="宋体"/>
          <w:color w:val="auto"/>
          <w:sz w:val="24"/>
          <w:u w:val="single"/>
        </w:rPr>
        <w:t xml:space="preserve">   </w:t>
      </w:r>
    </w:p>
    <w:p w14:paraId="032CD256">
      <w:pPr>
        <w:pStyle w:val="163"/>
        <w:jc w:val="center"/>
        <w:rPr>
          <w:rFonts w:hint="eastAsia" w:hAnsi="宋体" w:cs="宋体"/>
          <w:b/>
          <w:color w:val="auto"/>
          <w:szCs w:val="28"/>
        </w:rPr>
      </w:pPr>
      <w:r>
        <w:rPr>
          <w:rFonts w:hint="eastAsia" w:hAnsi="宋体" w:cs="宋体"/>
          <w:color w:val="auto"/>
          <w:sz w:val="24"/>
        </w:rPr>
        <w:br w:type="page"/>
      </w:r>
      <w:bookmarkStart w:id="226" w:name="_Toc1920"/>
      <w:r>
        <w:rPr>
          <w:rStyle w:val="52"/>
          <w:rFonts w:hint="eastAsia" w:ascii="Times New Roman" w:hAnsi="宋体" w:cs="宋体"/>
          <w:color w:val="auto"/>
          <w:sz w:val="32"/>
          <w:szCs w:val="32"/>
          <w:lang w:val="en-US" w:eastAsia="zh-CN"/>
        </w:rPr>
        <w:t>8</w:t>
      </w:r>
      <w:r>
        <w:rPr>
          <w:rStyle w:val="52"/>
          <w:rFonts w:hint="eastAsia" w:ascii="Times New Roman" w:hAnsi="宋体" w:cs="宋体"/>
          <w:color w:val="auto"/>
          <w:sz w:val="32"/>
          <w:szCs w:val="32"/>
        </w:rPr>
        <w:t>-3财务状况</w:t>
      </w:r>
      <w:r>
        <w:rPr>
          <w:rStyle w:val="52"/>
          <w:rFonts w:hint="eastAsia" w:hAnsi="宋体" w:cs="宋体"/>
          <w:color w:val="auto"/>
          <w:sz w:val="32"/>
          <w:szCs w:val="32"/>
        </w:rPr>
        <w:t>报告（财务报告、或资信证明）</w:t>
      </w:r>
      <w:bookmarkEnd w:id="226"/>
    </w:p>
    <w:p w14:paraId="2C3F9E95">
      <w:pPr>
        <w:pStyle w:val="44"/>
        <w:rPr>
          <w:rFonts w:hint="eastAsia" w:ascii="宋体" w:hAnsi="宋体" w:cs="宋体"/>
          <w:color w:val="auto"/>
        </w:rPr>
      </w:pPr>
      <w:r>
        <w:rPr>
          <w:rFonts w:hint="eastAsia" w:ascii="宋体" w:hAnsi="宋体" w:cs="宋体"/>
          <w:color w:val="auto"/>
          <w:sz w:val="21"/>
          <w:szCs w:val="21"/>
        </w:rPr>
        <w:t> </w:t>
      </w:r>
    </w:p>
    <w:p w14:paraId="3309DC51">
      <w:pPr>
        <w:pStyle w:val="44"/>
        <w:rPr>
          <w:rFonts w:hint="eastAsia" w:ascii="宋体" w:hAnsi="宋体" w:cs="宋体"/>
          <w:color w:val="auto"/>
          <w:szCs w:val="24"/>
        </w:rPr>
      </w:pPr>
      <w:r>
        <w:rPr>
          <w:rFonts w:hint="eastAsia" w:ascii="宋体" w:hAnsi="宋体" w:cs="宋体"/>
          <w:color w:val="auto"/>
          <w:szCs w:val="24"/>
        </w:rPr>
        <w:t>致：</w:t>
      </w:r>
      <w:r>
        <w:rPr>
          <w:rFonts w:hint="eastAsia" w:ascii="宋体" w:hAnsi="宋体" w:cs="宋体"/>
          <w:color w:val="auto"/>
          <w:szCs w:val="24"/>
          <w:u w:val="single"/>
        </w:rPr>
        <w:t>           </w:t>
      </w:r>
    </w:p>
    <w:p w14:paraId="5898EA46">
      <w:pPr>
        <w:pStyle w:val="44"/>
        <w:ind w:firstLine="420"/>
        <w:rPr>
          <w:rFonts w:hint="eastAsia" w:ascii="宋体" w:hAnsi="宋体" w:cs="宋体"/>
          <w:color w:val="auto"/>
          <w:szCs w:val="24"/>
        </w:rPr>
      </w:pPr>
      <w:r>
        <w:rPr>
          <w:rFonts w:hint="eastAsia" w:ascii="宋体" w:hAnsi="宋体" w:cs="宋体"/>
          <w:color w:val="auto"/>
          <w:szCs w:val="24"/>
        </w:rPr>
        <w:t>（ ）供应商提供财务报告的</w:t>
      </w:r>
    </w:p>
    <w:p w14:paraId="339B436F">
      <w:pPr>
        <w:pStyle w:val="44"/>
        <w:ind w:firstLine="420"/>
        <w:rPr>
          <w:rFonts w:hint="eastAsia" w:ascii="宋体" w:hAnsi="宋体" w:cs="宋体"/>
          <w:color w:val="auto"/>
          <w:szCs w:val="24"/>
        </w:rPr>
      </w:pPr>
      <w:r>
        <w:rPr>
          <w:rFonts w:hint="eastAsia" w:ascii="宋体" w:hAnsi="宋体" w:cs="宋体"/>
          <w:color w:val="auto"/>
          <w:szCs w:val="24"/>
        </w:rPr>
        <w:t>现附上我方</w:t>
      </w:r>
      <w:r>
        <w:rPr>
          <w:rFonts w:hint="eastAsia" w:ascii="宋体" w:hAnsi="宋体" w:cs="宋体"/>
          <w:color w:val="auto"/>
          <w:szCs w:val="24"/>
          <w:u w:val="single"/>
        </w:rPr>
        <w:t>（填写“具体的年度、或半年度、或季度”）</w:t>
      </w:r>
      <w:r>
        <w:rPr>
          <w:rFonts w:hint="eastAsia" w:ascii="宋体" w:hAnsi="宋体" w:cs="宋体"/>
          <w:color w:val="auto"/>
          <w:szCs w:val="24"/>
        </w:rPr>
        <w:t>财务报告复印件，包括资产负债表、利润表、现金流量表、所有者权益变动表（若有）及其附注（若有），上述证明材料真实有效，否则我方负全部责任。</w:t>
      </w:r>
    </w:p>
    <w:p w14:paraId="2FCABCB6">
      <w:pPr>
        <w:pStyle w:val="44"/>
        <w:ind w:firstLine="420"/>
        <w:rPr>
          <w:rFonts w:hint="eastAsia" w:ascii="宋体" w:hAnsi="宋体" w:cs="宋体"/>
          <w:color w:val="auto"/>
          <w:szCs w:val="24"/>
        </w:rPr>
      </w:pPr>
      <w:r>
        <w:rPr>
          <w:rFonts w:hint="eastAsia" w:ascii="宋体" w:hAnsi="宋体" w:cs="宋体"/>
          <w:color w:val="auto"/>
          <w:szCs w:val="24"/>
        </w:rPr>
        <w:t>（ ）供应商提供资信证明的</w:t>
      </w:r>
    </w:p>
    <w:p w14:paraId="47D1A838">
      <w:pPr>
        <w:pStyle w:val="44"/>
        <w:ind w:firstLine="420"/>
        <w:rPr>
          <w:rFonts w:hint="eastAsia" w:ascii="宋体" w:hAnsi="宋体" w:cs="宋体"/>
          <w:color w:val="auto"/>
          <w:szCs w:val="24"/>
        </w:rPr>
      </w:pPr>
      <w:r>
        <w:rPr>
          <w:rFonts w:hint="eastAsia" w:ascii="宋体" w:hAnsi="宋体" w:cs="宋体"/>
          <w:color w:val="auto"/>
          <w:szCs w:val="24"/>
        </w:rPr>
        <w:t>现附上我方开户（基本存款账户）许可证复印件及我方银行：（填写“基本存款账户的开户银行全称”）出具的资信证明复印件，上述证明材料真实有效，否则我方负全部责任。</w:t>
      </w:r>
    </w:p>
    <w:p w14:paraId="3FE1E592">
      <w:pPr>
        <w:pStyle w:val="44"/>
        <w:rPr>
          <w:rFonts w:hint="eastAsia" w:ascii="宋体" w:hAnsi="宋体" w:cs="宋体"/>
          <w:color w:val="auto"/>
          <w:szCs w:val="24"/>
        </w:rPr>
      </w:pPr>
      <w:r>
        <w:rPr>
          <w:rFonts w:hint="eastAsia" w:ascii="宋体" w:hAnsi="宋体" w:cs="宋体"/>
          <w:color w:val="auto"/>
          <w:szCs w:val="24"/>
        </w:rPr>
        <w:t> </w:t>
      </w:r>
    </w:p>
    <w:p w14:paraId="3D986E7E">
      <w:pPr>
        <w:pStyle w:val="44"/>
        <w:rPr>
          <w:rFonts w:hint="eastAsia" w:ascii="宋体" w:hAnsi="宋体" w:cs="宋体"/>
          <w:color w:val="auto"/>
          <w:szCs w:val="24"/>
        </w:rPr>
      </w:pPr>
      <w:r>
        <w:rPr>
          <w:rFonts w:hint="eastAsia" w:ascii="宋体" w:hAnsi="宋体" w:cs="宋体"/>
          <w:color w:val="auto"/>
          <w:szCs w:val="24"/>
          <w:shd w:val="clear" w:color="auto" w:fill="FFFFFF"/>
        </w:rPr>
        <w:t>※</w:t>
      </w:r>
      <w:r>
        <w:rPr>
          <w:rFonts w:hint="eastAsia" w:ascii="宋体" w:hAnsi="宋体" w:cs="宋体"/>
          <w:color w:val="auto"/>
          <w:szCs w:val="24"/>
        </w:rPr>
        <w:t>注意：</w:t>
      </w:r>
    </w:p>
    <w:p w14:paraId="587C23FC">
      <w:pPr>
        <w:pStyle w:val="44"/>
        <w:ind w:firstLine="420"/>
        <w:rPr>
          <w:rFonts w:hint="eastAsia" w:ascii="宋体" w:hAnsi="宋体" w:cs="宋体"/>
          <w:color w:val="auto"/>
          <w:szCs w:val="24"/>
        </w:rPr>
      </w:pPr>
      <w:r>
        <w:rPr>
          <w:rFonts w:hint="eastAsia" w:ascii="宋体" w:hAnsi="宋体" w:cs="宋体"/>
          <w:color w:val="auto"/>
          <w:szCs w:val="24"/>
        </w:rPr>
        <w:t xml:space="preserve">1、供应商提供的财务报告复印件（成立年限按照磋商截止时间推算）应符合下列规定： </w:t>
      </w:r>
    </w:p>
    <w:p w14:paraId="50AEB69B">
      <w:pPr>
        <w:pStyle w:val="44"/>
        <w:ind w:firstLine="420"/>
        <w:rPr>
          <w:rFonts w:hint="eastAsia" w:ascii="宋体" w:hAnsi="宋体" w:cs="宋体"/>
          <w:color w:val="auto"/>
          <w:szCs w:val="24"/>
        </w:rPr>
      </w:pPr>
      <w:r>
        <w:rPr>
          <w:rFonts w:hint="eastAsia" w:ascii="宋体" w:hAnsi="宋体" w:cs="宋体"/>
          <w:color w:val="auto"/>
          <w:szCs w:val="24"/>
        </w:rPr>
        <w:t>1.1成立年限满1年及以上的供应商，提供经审计无保留意见的</w:t>
      </w:r>
      <w:r>
        <w:rPr>
          <w:rFonts w:hint="eastAsia" w:ascii="宋体" w:hAnsi="宋体" w:cs="宋体"/>
          <w:color w:val="auto"/>
          <w:szCs w:val="24"/>
          <w:lang w:val="en-US" w:eastAsia="zh-CN"/>
        </w:rPr>
        <w:t>2024</w:t>
      </w:r>
      <w:r>
        <w:rPr>
          <w:rFonts w:hint="eastAsia" w:ascii="宋体" w:hAnsi="宋体" w:cs="宋体"/>
          <w:color w:val="auto"/>
          <w:szCs w:val="24"/>
        </w:rPr>
        <w:t xml:space="preserve">年度的年度财务报告。 </w:t>
      </w:r>
    </w:p>
    <w:p w14:paraId="6AC00501">
      <w:pPr>
        <w:pStyle w:val="44"/>
        <w:ind w:firstLine="420"/>
        <w:rPr>
          <w:rFonts w:hint="eastAsia" w:ascii="宋体" w:hAnsi="宋体" w:cs="宋体"/>
          <w:color w:val="auto"/>
          <w:szCs w:val="24"/>
        </w:rPr>
      </w:pPr>
      <w:r>
        <w:rPr>
          <w:rFonts w:hint="eastAsia" w:ascii="宋体" w:hAnsi="宋体" w:cs="宋体"/>
          <w:color w:val="auto"/>
          <w:szCs w:val="24"/>
        </w:rPr>
        <w:t xml:space="preserve">1.2成立年限满半年但不足1年的供应商，提供该半年度中任一季度的季度财务报告或该半年度的半年度财务报告。 </w:t>
      </w:r>
    </w:p>
    <w:p w14:paraId="2E1D7ECA">
      <w:pPr>
        <w:pStyle w:val="44"/>
        <w:ind w:firstLine="420"/>
        <w:rPr>
          <w:rFonts w:hint="eastAsia" w:ascii="宋体" w:hAnsi="宋体" w:cs="宋体"/>
          <w:b/>
          <w:bCs/>
          <w:color w:val="auto"/>
          <w:szCs w:val="24"/>
        </w:rPr>
      </w:pPr>
      <w:r>
        <w:rPr>
          <w:rFonts w:hint="eastAsia" w:ascii="宋体" w:hAnsi="宋体" w:cs="宋体"/>
          <w:b/>
          <w:bCs/>
          <w:color w:val="auto"/>
          <w:szCs w:val="24"/>
        </w:rPr>
        <w:t xml:space="preserve">※无法按照第1.1、1.2条规定提供财务报告复印件的供应商（包括但不限于：成立年限满1年及以上的供应商、成立年限满半年但不足1年的供应商、成立年限不足半年的供应商），应选择提供资信证明复印件。 </w:t>
      </w:r>
    </w:p>
    <w:p w14:paraId="49ECB307">
      <w:pPr>
        <w:pStyle w:val="44"/>
        <w:ind w:firstLine="420"/>
        <w:rPr>
          <w:rFonts w:hint="eastAsia" w:ascii="宋体" w:hAnsi="宋体" w:cs="宋体"/>
          <w:color w:val="auto"/>
          <w:szCs w:val="24"/>
        </w:rPr>
      </w:pPr>
    </w:p>
    <w:p w14:paraId="1F27B2CB">
      <w:pPr>
        <w:pStyle w:val="44"/>
        <w:ind w:firstLine="420"/>
        <w:rPr>
          <w:rFonts w:hint="eastAsia" w:ascii="宋体" w:hAnsi="宋体" w:cs="宋体"/>
          <w:color w:val="auto"/>
          <w:szCs w:val="24"/>
        </w:rPr>
      </w:pPr>
    </w:p>
    <w:p w14:paraId="7C105AF2">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30AC693C">
      <w:pPr>
        <w:pStyle w:val="163"/>
        <w:spacing w:line="360" w:lineRule="auto"/>
        <w:rPr>
          <w:rFonts w:hint="eastAsia" w:hAnsi="宋体" w:cs="宋体"/>
          <w:color w:val="auto"/>
          <w:sz w:val="24"/>
          <w:szCs w:val="24"/>
          <w:u w:val="single"/>
        </w:rPr>
      </w:pPr>
      <w:bookmarkStart w:id="227" w:name="_Toc3538"/>
      <w:r>
        <w:rPr>
          <w:rFonts w:hint="eastAsia" w:hAnsi="宋体" w:cs="宋体"/>
          <w:color w:val="auto"/>
          <w:sz w:val="24"/>
          <w:szCs w:val="24"/>
        </w:rPr>
        <w:t>供应商代表签字：</w:t>
      </w:r>
      <w:r>
        <w:rPr>
          <w:rFonts w:hint="eastAsia" w:hAnsi="宋体" w:cs="宋体"/>
          <w:color w:val="auto"/>
          <w:sz w:val="24"/>
          <w:szCs w:val="24"/>
          <w:u w:val="single"/>
        </w:rPr>
        <w:t>       </w:t>
      </w:r>
      <w:bookmarkEnd w:id="227"/>
    </w:p>
    <w:p w14:paraId="0BBE8DC4">
      <w:pPr>
        <w:pStyle w:val="163"/>
        <w:spacing w:line="360" w:lineRule="auto"/>
        <w:rPr>
          <w:rFonts w:hint="eastAsia" w:hAnsi="宋体" w:cs="宋体"/>
          <w:color w:val="auto"/>
          <w:sz w:val="24"/>
          <w:szCs w:val="24"/>
        </w:rPr>
      </w:pPr>
      <w:bookmarkStart w:id="228" w:name="_Toc18539"/>
      <w:r>
        <w:rPr>
          <w:rFonts w:hint="eastAsia" w:hAnsi="宋体" w:cs="宋体"/>
          <w:color w:val="auto"/>
          <w:sz w:val="24"/>
          <w:szCs w:val="24"/>
        </w:rPr>
        <w:t>日期：</w:t>
      </w:r>
      <w:r>
        <w:rPr>
          <w:rFonts w:hint="eastAsia" w:hAnsi="宋体" w:cs="宋体"/>
          <w:color w:val="auto"/>
          <w:sz w:val="24"/>
          <w:szCs w:val="24"/>
          <w:u w:val="single"/>
        </w:rPr>
        <w:t>    </w:t>
      </w:r>
      <w:r>
        <w:rPr>
          <w:rFonts w:hint="eastAsia" w:hAnsi="宋体" w:cs="宋体"/>
          <w:color w:val="auto"/>
          <w:sz w:val="24"/>
          <w:szCs w:val="24"/>
        </w:rPr>
        <w:t>年</w:t>
      </w:r>
      <w:r>
        <w:rPr>
          <w:rFonts w:hint="eastAsia" w:hAnsi="宋体" w:cs="宋体"/>
          <w:color w:val="auto"/>
          <w:sz w:val="24"/>
          <w:szCs w:val="24"/>
          <w:u w:val="single"/>
        </w:rPr>
        <w:t>   </w:t>
      </w:r>
      <w:r>
        <w:rPr>
          <w:rFonts w:hint="eastAsia" w:hAnsi="宋体" w:cs="宋体"/>
          <w:color w:val="auto"/>
          <w:sz w:val="24"/>
          <w:szCs w:val="24"/>
        </w:rPr>
        <w:t>月</w:t>
      </w:r>
      <w:r>
        <w:rPr>
          <w:rFonts w:hint="eastAsia" w:hAnsi="宋体" w:cs="宋体"/>
          <w:color w:val="auto"/>
          <w:sz w:val="24"/>
          <w:szCs w:val="24"/>
          <w:u w:val="single"/>
        </w:rPr>
        <w:t>   </w:t>
      </w:r>
      <w:r>
        <w:rPr>
          <w:rFonts w:hint="eastAsia" w:hAnsi="宋体" w:cs="宋体"/>
          <w:color w:val="auto"/>
          <w:sz w:val="24"/>
          <w:szCs w:val="24"/>
        </w:rPr>
        <w:t>日</w:t>
      </w:r>
      <w:bookmarkEnd w:id="228"/>
    </w:p>
    <w:p w14:paraId="311690B9">
      <w:pPr>
        <w:pStyle w:val="163"/>
        <w:spacing w:line="360" w:lineRule="auto"/>
        <w:rPr>
          <w:rFonts w:hint="eastAsia" w:hAnsi="宋体" w:cs="宋体"/>
          <w:color w:val="auto"/>
          <w:sz w:val="24"/>
          <w:szCs w:val="24"/>
        </w:rPr>
      </w:pPr>
    </w:p>
    <w:p w14:paraId="2C385983">
      <w:pPr>
        <w:pStyle w:val="44"/>
        <w:jc w:val="center"/>
        <w:rPr>
          <w:rFonts w:hint="eastAsia" w:ascii="宋体" w:hAnsi="宋体" w:cs="宋体"/>
          <w:color w:val="auto"/>
          <w:sz w:val="32"/>
          <w:szCs w:val="32"/>
        </w:rPr>
      </w:pPr>
      <w:r>
        <w:rPr>
          <w:rStyle w:val="52"/>
          <w:rFonts w:hint="eastAsia" w:ascii="宋体" w:hAnsi="宋体" w:cs="宋体"/>
          <w:color w:val="auto"/>
          <w:sz w:val="32"/>
          <w:szCs w:val="32"/>
        </w:rPr>
        <w:br w:type="page"/>
      </w:r>
      <w:r>
        <w:rPr>
          <w:rStyle w:val="52"/>
          <w:rFonts w:hint="eastAsia" w:ascii="宋体" w:hAnsi="宋体" w:cs="宋体"/>
          <w:color w:val="auto"/>
          <w:sz w:val="32"/>
          <w:szCs w:val="32"/>
          <w:lang w:val="en-US"/>
        </w:rPr>
        <w:t>8</w:t>
      </w:r>
      <w:r>
        <w:rPr>
          <w:rStyle w:val="52"/>
          <w:rFonts w:hint="eastAsia" w:ascii="宋体" w:hAnsi="宋体" w:cs="宋体"/>
          <w:color w:val="auto"/>
          <w:sz w:val="32"/>
          <w:szCs w:val="32"/>
        </w:rPr>
        <w:t>-4依法缴纳税收证明材料</w:t>
      </w:r>
    </w:p>
    <w:p w14:paraId="12A0998A">
      <w:pPr>
        <w:pStyle w:val="44"/>
        <w:rPr>
          <w:rFonts w:hint="eastAsia" w:ascii="宋体" w:hAnsi="宋体" w:cs="宋体"/>
          <w:color w:val="auto"/>
        </w:rPr>
      </w:pPr>
      <w:r>
        <w:rPr>
          <w:rFonts w:hint="eastAsia" w:ascii="宋体" w:hAnsi="宋体" w:cs="宋体"/>
          <w:color w:val="auto"/>
          <w:sz w:val="21"/>
          <w:szCs w:val="21"/>
        </w:rPr>
        <w:t> </w:t>
      </w:r>
    </w:p>
    <w:p w14:paraId="3E2FD506">
      <w:pPr>
        <w:pStyle w:val="44"/>
        <w:rPr>
          <w:rFonts w:hint="eastAsia" w:ascii="宋体" w:hAnsi="宋体" w:cs="宋体"/>
          <w:color w:val="auto"/>
          <w:szCs w:val="24"/>
        </w:rPr>
      </w:pPr>
      <w:r>
        <w:rPr>
          <w:rFonts w:hint="eastAsia" w:ascii="宋体" w:hAnsi="宋体" w:cs="宋体"/>
          <w:color w:val="auto"/>
          <w:szCs w:val="24"/>
        </w:rPr>
        <w:t>致：</w:t>
      </w:r>
      <w:r>
        <w:rPr>
          <w:rFonts w:hint="eastAsia" w:ascii="宋体" w:hAnsi="宋体" w:cs="宋体"/>
          <w:color w:val="auto"/>
          <w:szCs w:val="24"/>
          <w:u w:val="single"/>
        </w:rPr>
        <w:t>                     </w:t>
      </w:r>
    </w:p>
    <w:p w14:paraId="29AF831A">
      <w:pPr>
        <w:pStyle w:val="44"/>
        <w:ind w:firstLine="420"/>
        <w:rPr>
          <w:rFonts w:hint="eastAsia" w:ascii="宋体" w:hAnsi="宋体" w:cs="宋体"/>
          <w:color w:val="auto"/>
          <w:szCs w:val="24"/>
        </w:rPr>
      </w:pPr>
      <w:r>
        <w:rPr>
          <w:rFonts w:hint="eastAsia" w:ascii="宋体" w:hAnsi="宋体" w:cs="宋体"/>
          <w:color w:val="auto"/>
          <w:szCs w:val="24"/>
        </w:rPr>
        <w:t>1、依法缴纳税收的供应商</w:t>
      </w:r>
    </w:p>
    <w:p w14:paraId="0D78C362">
      <w:pPr>
        <w:pStyle w:val="44"/>
        <w:ind w:firstLine="420"/>
        <w:rPr>
          <w:rFonts w:hint="eastAsia" w:ascii="宋体" w:hAnsi="宋体" w:cs="宋体"/>
          <w:color w:val="auto"/>
          <w:szCs w:val="24"/>
        </w:rPr>
      </w:pPr>
      <w:r>
        <w:rPr>
          <w:rFonts w:hint="eastAsia" w:ascii="宋体" w:hAnsi="宋体" w:cs="宋体"/>
          <w:color w:val="auto"/>
          <w:szCs w:val="24"/>
        </w:rPr>
        <w:t>现附上自</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日至</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日期间我方缴纳的</w:t>
      </w:r>
      <w:r>
        <w:rPr>
          <w:rFonts w:hint="eastAsia" w:ascii="宋体" w:hAnsi="宋体" w:cs="宋体"/>
          <w:color w:val="auto"/>
          <w:szCs w:val="24"/>
          <w:u w:val="single"/>
        </w:rPr>
        <w:t>（按照供应商实际缴纳的税种名称填写，如：增值税、所得税等）</w:t>
      </w:r>
      <w:r>
        <w:rPr>
          <w:rFonts w:hint="eastAsia" w:ascii="宋体" w:hAnsi="宋体" w:cs="宋体"/>
          <w:color w:val="auto"/>
          <w:szCs w:val="24"/>
        </w:rPr>
        <w:t>税收凭据复印件，上述证明材料真实有效，否则我方负全部责任。</w:t>
      </w:r>
    </w:p>
    <w:p w14:paraId="0B245723">
      <w:pPr>
        <w:pStyle w:val="44"/>
        <w:ind w:firstLine="420"/>
        <w:rPr>
          <w:rFonts w:hint="eastAsia" w:ascii="宋体" w:hAnsi="宋体" w:cs="宋体"/>
          <w:color w:val="auto"/>
          <w:szCs w:val="24"/>
        </w:rPr>
      </w:pPr>
      <w:r>
        <w:rPr>
          <w:rFonts w:hint="eastAsia" w:ascii="宋体" w:hAnsi="宋体" w:cs="宋体"/>
          <w:color w:val="auto"/>
          <w:szCs w:val="24"/>
        </w:rPr>
        <w:t>2、依法免税的供应商</w:t>
      </w:r>
    </w:p>
    <w:p w14:paraId="60C36C34">
      <w:pPr>
        <w:pStyle w:val="44"/>
        <w:ind w:firstLine="420"/>
        <w:rPr>
          <w:rFonts w:hint="eastAsia" w:ascii="宋体" w:hAnsi="宋体" w:cs="宋体"/>
          <w:color w:val="auto"/>
          <w:szCs w:val="24"/>
        </w:rPr>
      </w:pPr>
      <w:r>
        <w:rPr>
          <w:rFonts w:hint="eastAsia" w:ascii="宋体" w:hAnsi="宋体" w:cs="宋体"/>
          <w:color w:val="auto"/>
          <w:szCs w:val="24"/>
        </w:rPr>
        <w:t>（ ）现附上我方依法免税证明材料复印件，上述证明材料真实有效，否则我方负全部责任。</w:t>
      </w:r>
    </w:p>
    <w:p w14:paraId="5FA64019">
      <w:pPr>
        <w:pStyle w:val="44"/>
        <w:rPr>
          <w:rFonts w:hint="eastAsia" w:ascii="宋体" w:hAnsi="宋体" w:cs="宋体"/>
          <w:color w:val="auto"/>
          <w:szCs w:val="24"/>
        </w:rPr>
      </w:pPr>
      <w:r>
        <w:rPr>
          <w:rFonts w:hint="eastAsia" w:ascii="宋体" w:hAnsi="宋体" w:cs="宋体"/>
          <w:color w:val="auto"/>
          <w:szCs w:val="24"/>
          <w:shd w:val="clear" w:color="auto" w:fill="FFFFFF"/>
        </w:rPr>
        <w:t>※</w:t>
      </w:r>
      <w:r>
        <w:rPr>
          <w:rFonts w:hint="eastAsia" w:ascii="宋体" w:hAnsi="宋体" w:cs="宋体"/>
          <w:color w:val="auto"/>
          <w:szCs w:val="24"/>
        </w:rPr>
        <w:t>注意：</w:t>
      </w:r>
    </w:p>
    <w:p w14:paraId="73DDAF05">
      <w:pPr>
        <w:pStyle w:val="44"/>
        <w:ind w:firstLine="420"/>
        <w:rPr>
          <w:rFonts w:hint="eastAsia" w:ascii="宋体" w:hAnsi="宋体" w:cs="宋体"/>
          <w:color w:val="auto"/>
          <w:szCs w:val="24"/>
        </w:rPr>
      </w:pPr>
      <w:r>
        <w:rPr>
          <w:rFonts w:hint="eastAsia" w:ascii="宋体" w:hAnsi="宋体" w:cs="宋体"/>
          <w:color w:val="auto"/>
          <w:szCs w:val="24"/>
        </w:rPr>
        <w:t>1、供应商提供的税收凭据复印件应符合下列规定：</w:t>
      </w:r>
    </w:p>
    <w:p w14:paraId="0DAD9A82">
      <w:pPr>
        <w:pStyle w:val="44"/>
        <w:ind w:firstLine="420"/>
        <w:rPr>
          <w:rFonts w:hint="eastAsia" w:ascii="宋体" w:hAnsi="宋体" w:cs="宋体"/>
          <w:color w:val="auto"/>
          <w:szCs w:val="24"/>
        </w:rPr>
      </w:pPr>
      <w:r>
        <w:rPr>
          <w:rFonts w:hint="eastAsia" w:ascii="宋体" w:hAnsi="宋体" w:cs="宋体"/>
          <w:color w:val="auto"/>
          <w:szCs w:val="24"/>
        </w:rPr>
        <w:t xml:space="preserve"> 1.1磋商截止时间前（不含磋商截止时间的当月）已依法缴纳税收的供应商，提供磋商截止时间前六个月（不含磋商截止时间的当月）中任一月份的税收凭据复印件。</w:t>
      </w:r>
    </w:p>
    <w:p w14:paraId="6D1651BF">
      <w:pPr>
        <w:pStyle w:val="44"/>
        <w:ind w:firstLine="420"/>
        <w:rPr>
          <w:rFonts w:hint="eastAsia" w:ascii="宋体" w:hAnsi="宋体" w:cs="宋体"/>
          <w:color w:val="auto"/>
          <w:szCs w:val="24"/>
        </w:rPr>
      </w:pPr>
      <w:r>
        <w:rPr>
          <w:rFonts w:hint="eastAsia" w:ascii="宋体" w:hAnsi="宋体" w:cs="宋体"/>
          <w:color w:val="auto"/>
          <w:szCs w:val="24"/>
        </w:rPr>
        <w:t xml:space="preserve"> 1.2磋商截止时间的当月成立且已依法缴纳税收的供应商，提供磋商截止时间当月的税收凭据复印件。 </w:t>
      </w:r>
    </w:p>
    <w:p w14:paraId="61B370FB">
      <w:pPr>
        <w:pStyle w:val="44"/>
        <w:ind w:firstLine="420"/>
        <w:rPr>
          <w:rFonts w:hint="eastAsia" w:ascii="宋体" w:hAnsi="宋体" w:cs="宋体"/>
          <w:color w:val="auto"/>
          <w:szCs w:val="24"/>
        </w:rPr>
      </w:pPr>
      <w:r>
        <w:rPr>
          <w:rFonts w:hint="eastAsia" w:ascii="宋体" w:hAnsi="宋体" w:cs="宋体"/>
          <w:color w:val="auto"/>
          <w:szCs w:val="24"/>
        </w:rPr>
        <w:t xml:space="preserve">1.3磋商截止时间的当月成立但因税务机关原因导致其尚未依法缴纳税收的供应商，提供依法缴纳税收承诺书原件（格式自拟），该承诺书视同税收凭据。 </w:t>
      </w:r>
    </w:p>
    <w:p w14:paraId="3D0496B2">
      <w:pPr>
        <w:pStyle w:val="44"/>
        <w:ind w:firstLine="420"/>
        <w:rPr>
          <w:rFonts w:hint="eastAsia" w:ascii="宋体" w:hAnsi="宋体" w:cs="宋体"/>
          <w:color w:val="auto"/>
          <w:szCs w:val="24"/>
        </w:rPr>
      </w:pPr>
      <w:r>
        <w:rPr>
          <w:rFonts w:hint="eastAsia" w:ascii="宋体" w:hAnsi="宋体" w:cs="宋体"/>
          <w:color w:val="auto"/>
          <w:szCs w:val="24"/>
        </w:rPr>
        <w:t>2、</w:t>
      </w:r>
      <w:r>
        <w:rPr>
          <w:rFonts w:hint="eastAsia" w:ascii="宋体" w:hAnsi="宋体" w:cs="宋体"/>
          <w:b/>
          <w:bCs/>
          <w:color w:val="auto"/>
          <w:szCs w:val="24"/>
        </w:rPr>
        <w:t>“依法缴纳税收证明材料”</w:t>
      </w:r>
      <w:r>
        <w:rPr>
          <w:rFonts w:hint="eastAsia" w:ascii="宋体" w:hAnsi="宋体" w:cs="宋体"/>
          <w:color w:val="auto"/>
          <w:szCs w:val="24"/>
        </w:rPr>
        <w:t>有欠缴记录的，视为</w:t>
      </w:r>
      <w:r>
        <w:rPr>
          <w:rFonts w:hint="eastAsia" w:ascii="宋体" w:hAnsi="宋体" w:cs="宋体"/>
          <w:b/>
          <w:bCs/>
          <w:color w:val="auto"/>
          <w:szCs w:val="24"/>
        </w:rPr>
        <w:t>未依法缴纳税收</w:t>
      </w:r>
      <w:r>
        <w:rPr>
          <w:rFonts w:hint="eastAsia" w:ascii="宋体" w:hAnsi="宋体" w:cs="宋体"/>
          <w:color w:val="auto"/>
          <w:szCs w:val="24"/>
        </w:rPr>
        <w:t xml:space="preserve">。 </w:t>
      </w:r>
    </w:p>
    <w:p w14:paraId="0AC8739D">
      <w:pPr>
        <w:pStyle w:val="44"/>
        <w:ind w:firstLine="420"/>
        <w:rPr>
          <w:rFonts w:hint="eastAsia" w:ascii="宋体" w:hAnsi="宋体" w:cs="宋体"/>
          <w:color w:val="auto"/>
          <w:szCs w:val="24"/>
        </w:rPr>
      </w:pPr>
      <w:r>
        <w:rPr>
          <w:rFonts w:hint="eastAsia" w:ascii="宋体" w:hAnsi="宋体" w:cs="宋体"/>
          <w:color w:val="auto"/>
          <w:szCs w:val="24"/>
        </w:rPr>
        <w:t xml:space="preserve">3、供应商提供的相应证明材料复印件均应符合：内容完整、清晰、整洁，并由供应商加盖其单位公章。 </w:t>
      </w:r>
    </w:p>
    <w:p w14:paraId="1D7C3788">
      <w:pPr>
        <w:pStyle w:val="44"/>
        <w:numPr>
          <w:ilvl w:val="0"/>
          <w:numId w:val="22"/>
        </w:numPr>
        <w:rPr>
          <w:rFonts w:hint="eastAsia" w:ascii="宋体" w:hAnsi="宋体" w:cs="宋体"/>
          <w:color w:val="auto"/>
          <w:szCs w:val="24"/>
        </w:rPr>
      </w:pPr>
      <w:r>
        <w:rPr>
          <w:rFonts w:hint="eastAsia" w:ascii="宋体" w:hAnsi="宋体" w:cs="宋体"/>
          <w:color w:val="auto"/>
          <w:szCs w:val="24"/>
        </w:rPr>
        <w:t>  </w:t>
      </w:r>
    </w:p>
    <w:p w14:paraId="38EE5DF8">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772A65C0">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43C264F0">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629B4148">
      <w:pPr>
        <w:pStyle w:val="44"/>
        <w:jc w:val="center"/>
        <w:rPr>
          <w:rFonts w:hint="eastAsia" w:ascii="宋体" w:hAnsi="宋体" w:cs="宋体"/>
          <w:color w:val="auto"/>
          <w:sz w:val="21"/>
          <w:szCs w:val="21"/>
        </w:rPr>
      </w:pPr>
    </w:p>
    <w:p w14:paraId="27BB40D5">
      <w:pPr>
        <w:pStyle w:val="44"/>
        <w:jc w:val="center"/>
        <w:rPr>
          <w:rFonts w:hint="eastAsia" w:ascii="宋体" w:hAnsi="宋体" w:cs="宋体"/>
          <w:color w:val="auto"/>
          <w:sz w:val="21"/>
          <w:szCs w:val="21"/>
        </w:rPr>
      </w:pPr>
    </w:p>
    <w:p w14:paraId="37232279">
      <w:pPr>
        <w:pStyle w:val="44"/>
        <w:jc w:val="center"/>
        <w:rPr>
          <w:rFonts w:hint="eastAsia" w:ascii="宋体" w:hAnsi="宋体" w:cs="宋体"/>
          <w:color w:val="auto"/>
          <w:sz w:val="21"/>
          <w:szCs w:val="21"/>
        </w:rPr>
      </w:pPr>
      <w:r>
        <w:rPr>
          <w:rFonts w:hint="eastAsia" w:ascii="宋体" w:hAnsi="宋体" w:cs="宋体"/>
          <w:color w:val="auto"/>
          <w:sz w:val="21"/>
          <w:szCs w:val="21"/>
        </w:rPr>
        <w:br w:type="page"/>
      </w:r>
    </w:p>
    <w:p w14:paraId="0F3E0BF7">
      <w:pPr>
        <w:pStyle w:val="44"/>
        <w:jc w:val="center"/>
        <w:rPr>
          <w:rFonts w:hint="eastAsia" w:ascii="宋体" w:hAnsi="宋体" w:cs="宋体"/>
          <w:color w:val="auto"/>
          <w:sz w:val="32"/>
          <w:szCs w:val="32"/>
        </w:rPr>
      </w:pPr>
      <w:r>
        <w:rPr>
          <w:rStyle w:val="52"/>
          <w:rFonts w:hint="eastAsia" w:ascii="宋体" w:hAnsi="宋体" w:cs="宋体"/>
          <w:color w:val="auto"/>
          <w:sz w:val="32"/>
          <w:szCs w:val="32"/>
          <w:lang w:val="en-US"/>
        </w:rPr>
        <w:t>8</w:t>
      </w:r>
      <w:r>
        <w:rPr>
          <w:rStyle w:val="52"/>
          <w:rFonts w:hint="eastAsia" w:ascii="宋体" w:hAnsi="宋体" w:cs="宋体"/>
          <w:color w:val="auto"/>
          <w:sz w:val="32"/>
          <w:szCs w:val="32"/>
        </w:rPr>
        <w:t>-5依法缴纳社会保障资金证明材料</w:t>
      </w:r>
    </w:p>
    <w:p w14:paraId="58630372">
      <w:pPr>
        <w:pStyle w:val="44"/>
        <w:rPr>
          <w:rFonts w:hint="eastAsia" w:ascii="宋体" w:hAnsi="宋体" w:cs="宋体"/>
          <w:color w:val="auto"/>
        </w:rPr>
      </w:pPr>
      <w:r>
        <w:rPr>
          <w:rFonts w:hint="eastAsia" w:ascii="宋体" w:hAnsi="宋体" w:cs="宋体"/>
          <w:color w:val="auto"/>
          <w:sz w:val="21"/>
          <w:szCs w:val="21"/>
        </w:rPr>
        <w:t> </w:t>
      </w:r>
    </w:p>
    <w:p w14:paraId="0C18E5D0">
      <w:pPr>
        <w:pStyle w:val="44"/>
        <w:rPr>
          <w:rFonts w:hint="eastAsia" w:ascii="宋体" w:hAnsi="宋体" w:cs="宋体"/>
          <w:color w:val="auto"/>
          <w:szCs w:val="24"/>
        </w:rPr>
      </w:pPr>
      <w:r>
        <w:rPr>
          <w:rFonts w:hint="eastAsia" w:ascii="宋体" w:hAnsi="宋体" w:cs="宋体"/>
          <w:color w:val="auto"/>
          <w:szCs w:val="24"/>
        </w:rPr>
        <w:t>致：</w:t>
      </w:r>
      <w:r>
        <w:rPr>
          <w:rFonts w:hint="eastAsia" w:ascii="宋体" w:hAnsi="宋体" w:cs="宋体"/>
          <w:color w:val="auto"/>
          <w:szCs w:val="24"/>
          <w:u w:val="single"/>
        </w:rPr>
        <w:t>                     </w:t>
      </w:r>
    </w:p>
    <w:p w14:paraId="2DA8412B">
      <w:pPr>
        <w:pStyle w:val="44"/>
        <w:ind w:firstLine="420"/>
        <w:rPr>
          <w:rFonts w:hint="eastAsia" w:ascii="宋体" w:hAnsi="宋体" w:cs="宋体"/>
          <w:color w:val="auto"/>
          <w:szCs w:val="24"/>
        </w:rPr>
      </w:pPr>
      <w:r>
        <w:rPr>
          <w:rFonts w:hint="eastAsia" w:ascii="宋体" w:hAnsi="宋体" w:cs="宋体"/>
          <w:color w:val="auto"/>
          <w:szCs w:val="24"/>
        </w:rPr>
        <w:t>1、依法缴纳社会保障资金的供应商</w:t>
      </w:r>
    </w:p>
    <w:p w14:paraId="1F49BEF9">
      <w:pPr>
        <w:pStyle w:val="44"/>
        <w:ind w:firstLine="420"/>
        <w:rPr>
          <w:rFonts w:hint="eastAsia" w:ascii="宋体" w:hAnsi="宋体" w:cs="宋体"/>
          <w:color w:val="auto"/>
          <w:szCs w:val="24"/>
        </w:rPr>
      </w:pPr>
      <w:r>
        <w:rPr>
          <w:rFonts w:hint="eastAsia" w:ascii="宋体" w:hAnsi="宋体" w:cs="宋体"/>
          <w:color w:val="auto"/>
          <w:szCs w:val="24"/>
        </w:rPr>
        <w:t>现附上自</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日至</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日我方缴纳的社会保险凭据（限：税务机关/社会保障资金管理机关的专用收据或社会保险缴纳清单，或社会保险的银行缴款收讫凭证）复印件，上述证明材料真实有效，否则我方负全部责任。</w:t>
      </w:r>
    </w:p>
    <w:p w14:paraId="750D32F8">
      <w:pPr>
        <w:pStyle w:val="44"/>
        <w:ind w:firstLine="420"/>
        <w:rPr>
          <w:rFonts w:hint="eastAsia" w:ascii="宋体" w:hAnsi="宋体" w:cs="宋体"/>
          <w:color w:val="auto"/>
          <w:szCs w:val="24"/>
        </w:rPr>
      </w:pPr>
      <w:r>
        <w:rPr>
          <w:rFonts w:hint="eastAsia" w:ascii="宋体" w:hAnsi="宋体" w:cs="宋体"/>
          <w:color w:val="auto"/>
          <w:szCs w:val="24"/>
        </w:rPr>
        <w:t>2、依法不需要缴纳社会保障资金的供应商</w:t>
      </w:r>
    </w:p>
    <w:p w14:paraId="08CB65B3">
      <w:pPr>
        <w:pStyle w:val="44"/>
        <w:ind w:firstLine="420"/>
        <w:rPr>
          <w:rFonts w:hint="eastAsia" w:ascii="宋体" w:hAnsi="宋体" w:cs="宋体"/>
          <w:color w:val="auto"/>
          <w:szCs w:val="24"/>
        </w:rPr>
      </w:pPr>
      <w:r>
        <w:rPr>
          <w:rFonts w:hint="eastAsia" w:ascii="宋体" w:hAnsi="宋体" w:cs="宋体"/>
          <w:color w:val="auto"/>
          <w:szCs w:val="24"/>
        </w:rPr>
        <w:t>现附上我方依法不需要缴纳社会保障资金证明材料复印件，上述证明材料真实有效，否则我方负全部责任。</w:t>
      </w:r>
    </w:p>
    <w:p w14:paraId="3E73186D">
      <w:pPr>
        <w:pStyle w:val="44"/>
        <w:rPr>
          <w:rFonts w:hint="eastAsia" w:ascii="宋体" w:hAnsi="宋体" w:cs="宋体"/>
          <w:color w:val="auto"/>
          <w:szCs w:val="24"/>
        </w:rPr>
      </w:pPr>
      <w:r>
        <w:rPr>
          <w:rFonts w:hint="eastAsia" w:ascii="宋体" w:hAnsi="宋体" w:cs="宋体"/>
          <w:color w:val="auto"/>
          <w:szCs w:val="24"/>
          <w:shd w:val="clear" w:color="auto" w:fill="FFFFFF"/>
        </w:rPr>
        <w:t>※</w:t>
      </w:r>
      <w:r>
        <w:rPr>
          <w:rFonts w:hint="eastAsia" w:ascii="宋体" w:hAnsi="宋体" w:cs="宋体"/>
          <w:color w:val="auto"/>
          <w:szCs w:val="24"/>
        </w:rPr>
        <w:t>注意：</w:t>
      </w:r>
    </w:p>
    <w:p w14:paraId="42F4E435">
      <w:pPr>
        <w:pStyle w:val="44"/>
        <w:ind w:firstLine="480" w:firstLineChars="200"/>
        <w:rPr>
          <w:rFonts w:hint="eastAsia" w:ascii="宋体" w:hAnsi="宋体" w:cs="宋体"/>
          <w:color w:val="auto"/>
          <w:szCs w:val="24"/>
        </w:rPr>
      </w:pPr>
      <w:r>
        <w:rPr>
          <w:rFonts w:hint="eastAsia" w:ascii="宋体" w:hAnsi="宋体" w:cs="宋体"/>
          <w:color w:val="auto"/>
          <w:szCs w:val="24"/>
        </w:rPr>
        <w:t>1、供应商提供的社会保险凭据复印件应符合下列规定： </w:t>
      </w:r>
    </w:p>
    <w:p w14:paraId="6A57C455">
      <w:pPr>
        <w:pStyle w:val="44"/>
        <w:ind w:firstLine="480" w:firstLineChars="200"/>
        <w:rPr>
          <w:rFonts w:hint="eastAsia" w:ascii="宋体" w:hAnsi="宋体" w:cs="宋体"/>
          <w:color w:val="auto"/>
          <w:szCs w:val="24"/>
        </w:rPr>
      </w:pPr>
      <w:r>
        <w:rPr>
          <w:rFonts w:hint="eastAsia" w:ascii="宋体" w:hAnsi="宋体" w:cs="宋体"/>
          <w:color w:val="auto"/>
          <w:szCs w:val="24"/>
        </w:rPr>
        <w:t>1.1磋商截止时间前（不含磋商截止时间的当月）已依法缴纳社会保障资金的供应商，提供磋商截止时间前六个月（不含磋商截止时间的当月）中任一月份的社会保险凭据复印件。 </w:t>
      </w:r>
    </w:p>
    <w:p w14:paraId="5A076C2F">
      <w:pPr>
        <w:pStyle w:val="44"/>
        <w:ind w:firstLine="480" w:firstLineChars="200"/>
        <w:rPr>
          <w:rFonts w:hint="eastAsia" w:ascii="宋体" w:hAnsi="宋体" w:cs="宋体"/>
          <w:color w:val="auto"/>
          <w:szCs w:val="24"/>
        </w:rPr>
      </w:pPr>
      <w:r>
        <w:rPr>
          <w:rFonts w:hint="eastAsia" w:ascii="宋体" w:hAnsi="宋体" w:cs="宋体"/>
          <w:color w:val="auto"/>
          <w:szCs w:val="24"/>
        </w:rPr>
        <w:t>1.2磋商截止时间的当月成立且已依法缴纳社会保障资金的供应商，提供磋商截止时间当月的社会保险凭据复印件。 1.3磋商截止时间的当月成立但因税务机关/社会保障资金管理机关原因导致其尚未依法缴纳社会保障资金的供应商，提供依法缴纳社会保障资金承诺书原件（格式自拟），该承诺书视同社会保险凭据。</w:t>
      </w:r>
    </w:p>
    <w:p w14:paraId="4050E144">
      <w:pPr>
        <w:pStyle w:val="44"/>
        <w:ind w:firstLine="480" w:firstLineChars="200"/>
        <w:rPr>
          <w:rFonts w:hint="eastAsia" w:ascii="宋体" w:hAnsi="宋体" w:cs="宋体"/>
          <w:color w:val="auto"/>
          <w:szCs w:val="24"/>
        </w:rPr>
      </w:pPr>
      <w:r>
        <w:rPr>
          <w:rFonts w:hint="eastAsia" w:ascii="宋体" w:hAnsi="宋体" w:cs="宋体"/>
          <w:color w:val="auto"/>
          <w:szCs w:val="24"/>
        </w:rPr>
        <w:t>2、</w:t>
      </w:r>
      <w:r>
        <w:rPr>
          <w:rFonts w:hint="eastAsia" w:ascii="宋体" w:hAnsi="宋体" w:cs="宋体"/>
          <w:b/>
          <w:bCs/>
          <w:color w:val="auto"/>
          <w:szCs w:val="24"/>
        </w:rPr>
        <w:t>“依法缴纳社会保障资金证明材料”</w:t>
      </w:r>
      <w:r>
        <w:rPr>
          <w:rFonts w:hint="eastAsia" w:ascii="宋体" w:hAnsi="宋体" w:cs="宋体"/>
          <w:color w:val="auto"/>
          <w:szCs w:val="24"/>
        </w:rPr>
        <w:t>有欠缴记录的，</w:t>
      </w:r>
      <w:r>
        <w:rPr>
          <w:rFonts w:hint="eastAsia" w:ascii="宋体" w:hAnsi="宋体" w:cs="宋体"/>
          <w:b/>
          <w:bCs/>
          <w:color w:val="auto"/>
          <w:szCs w:val="24"/>
        </w:rPr>
        <w:t>视为未依法缴纳社会保障资</w:t>
      </w:r>
      <w:r>
        <w:rPr>
          <w:rFonts w:hint="eastAsia" w:ascii="宋体" w:hAnsi="宋体" w:cs="宋体"/>
          <w:color w:val="auto"/>
          <w:szCs w:val="24"/>
        </w:rPr>
        <w:t>金。</w:t>
      </w:r>
    </w:p>
    <w:p w14:paraId="4994553B">
      <w:pPr>
        <w:pStyle w:val="44"/>
        <w:ind w:firstLine="480" w:firstLineChars="200"/>
        <w:rPr>
          <w:rFonts w:hint="eastAsia" w:ascii="宋体" w:hAnsi="宋体" w:cs="宋体"/>
          <w:color w:val="auto"/>
          <w:szCs w:val="24"/>
        </w:rPr>
      </w:pPr>
      <w:r>
        <w:rPr>
          <w:rFonts w:hint="eastAsia" w:ascii="宋体" w:hAnsi="宋体" w:cs="宋体"/>
          <w:color w:val="auto"/>
          <w:szCs w:val="24"/>
        </w:rPr>
        <w:t>3、供应商提供的相应证明材料复印件均应符合：内容完整、清晰、整洁，并由供应商加盖其单位公章。 </w:t>
      </w:r>
    </w:p>
    <w:p w14:paraId="49BDA2D5">
      <w:pPr>
        <w:pStyle w:val="44"/>
        <w:rPr>
          <w:rFonts w:hint="eastAsia" w:ascii="宋体" w:hAnsi="宋体" w:cs="宋体"/>
          <w:color w:val="auto"/>
          <w:szCs w:val="24"/>
        </w:rPr>
      </w:pPr>
    </w:p>
    <w:p w14:paraId="0C1AB69F">
      <w:pPr>
        <w:pStyle w:val="44"/>
        <w:rPr>
          <w:rFonts w:hint="eastAsia" w:ascii="宋体" w:hAnsi="宋体" w:cs="宋体"/>
          <w:color w:val="auto"/>
          <w:szCs w:val="24"/>
        </w:rPr>
      </w:pPr>
    </w:p>
    <w:p w14:paraId="0FB51180">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0E184A45">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6F9AD613">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68697713">
      <w:pPr>
        <w:pStyle w:val="44"/>
        <w:jc w:val="center"/>
        <w:rPr>
          <w:rFonts w:hint="eastAsia" w:ascii="宋体" w:hAnsi="宋体" w:cs="宋体"/>
          <w:color w:val="auto"/>
        </w:rPr>
      </w:pPr>
    </w:p>
    <w:p w14:paraId="2910251C">
      <w:pPr>
        <w:pStyle w:val="44"/>
        <w:jc w:val="center"/>
        <w:rPr>
          <w:rFonts w:hint="eastAsia" w:ascii="宋体" w:hAnsi="宋体" w:cs="宋体"/>
          <w:color w:val="auto"/>
        </w:rPr>
      </w:pPr>
    </w:p>
    <w:p w14:paraId="53E4DBAD">
      <w:pPr>
        <w:pStyle w:val="44"/>
        <w:jc w:val="center"/>
        <w:rPr>
          <w:rFonts w:hint="eastAsia" w:ascii="宋体" w:hAnsi="宋体" w:cs="宋体"/>
          <w:color w:val="auto"/>
          <w:sz w:val="21"/>
          <w:szCs w:val="21"/>
        </w:rPr>
      </w:pPr>
      <w:r>
        <w:rPr>
          <w:rFonts w:hint="eastAsia" w:ascii="宋体" w:hAnsi="宋体" w:cs="宋体"/>
          <w:color w:val="auto"/>
          <w:sz w:val="21"/>
          <w:szCs w:val="21"/>
        </w:rPr>
        <w:br w:type="page"/>
      </w:r>
    </w:p>
    <w:p w14:paraId="147B2C50">
      <w:pPr>
        <w:pStyle w:val="44"/>
        <w:jc w:val="center"/>
        <w:rPr>
          <w:rFonts w:hint="eastAsia" w:ascii="宋体" w:hAnsi="宋体" w:cs="宋体"/>
          <w:color w:val="auto"/>
          <w:sz w:val="32"/>
          <w:szCs w:val="32"/>
        </w:rPr>
      </w:pPr>
      <w:r>
        <w:rPr>
          <w:rStyle w:val="52"/>
          <w:rFonts w:hint="eastAsia" w:ascii="宋体" w:hAnsi="宋体" w:cs="宋体"/>
          <w:color w:val="auto"/>
          <w:sz w:val="32"/>
          <w:szCs w:val="32"/>
          <w:lang w:val="en-US"/>
        </w:rPr>
        <w:t>8</w:t>
      </w:r>
      <w:r>
        <w:rPr>
          <w:rStyle w:val="52"/>
          <w:rFonts w:hint="eastAsia" w:ascii="宋体" w:hAnsi="宋体" w:cs="宋体"/>
          <w:color w:val="auto"/>
          <w:sz w:val="32"/>
          <w:szCs w:val="32"/>
        </w:rPr>
        <w:t>-6参加采购活动前三年内在经营活动中没有重大违法记录书面声明</w:t>
      </w:r>
    </w:p>
    <w:p w14:paraId="2DEADF5E">
      <w:pPr>
        <w:pStyle w:val="44"/>
        <w:rPr>
          <w:rFonts w:hint="eastAsia" w:ascii="宋体" w:hAnsi="宋体" w:cs="宋体"/>
          <w:color w:val="auto"/>
        </w:rPr>
      </w:pPr>
      <w:r>
        <w:rPr>
          <w:rFonts w:hint="eastAsia" w:ascii="宋体" w:hAnsi="宋体" w:cs="宋体"/>
          <w:color w:val="auto"/>
          <w:sz w:val="21"/>
          <w:szCs w:val="21"/>
        </w:rPr>
        <w:t> </w:t>
      </w:r>
    </w:p>
    <w:p w14:paraId="0D026E2A">
      <w:pPr>
        <w:pStyle w:val="44"/>
        <w:rPr>
          <w:rFonts w:hint="eastAsia" w:ascii="宋体" w:hAnsi="宋体" w:cs="宋体"/>
          <w:color w:val="auto"/>
          <w:szCs w:val="24"/>
        </w:rPr>
      </w:pPr>
      <w:r>
        <w:rPr>
          <w:rFonts w:hint="eastAsia" w:ascii="宋体" w:hAnsi="宋体" w:cs="宋体"/>
          <w:color w:val="auto"/>
          <w:szCs w:val="24"/>
        </w:rPr>
        <w:t>致：</w:t>
      </w:r>
      <w:r>
        <w:rPr>
          <w:rFonts w:hint="eastAsia" w:ascii="宋体" w:hAnsi="宋体" w:cs="宋体"/>
          <w:color w:val="auto"/>
          <w:szCs w:val="24"/>
          <w:u w:val="single"/>
        </w:rPr>
        <w:t>                     </w:t>
      </w:r>
    </w:p>
    <w:p w14:paraId="71C43605">
      <w:pPr>
        <w:pStyle w:val="44"/>
        <w:ind w:firstLine="420"/>
        <w:rPr>
          <w:rFonts w:hint="eastAsia" w:ascii="宋体" w:hAnsi="宋体" w:cs="宋体"/>
          <w:color w:val="auto"/>
          <w:szCs w:val="24"/>
        </w:rPr>
      </w:pPr>
      <w:r>
        <w:rPr>
          <w:rFonts w:hint="eastAsia" w:ascii="宋体" w:hAnsi="宋体" w:cs="宋体"/>
          <w:color w:val="auto"/>
          <w:szCs w:val="24"/>
          <w:shd w:val="clear" w:color="auto" w:fill="FFFFFF"/>
        </w:rPr>
        <w:t>参加采购活动前三年内，我方在经营活动中没有重大违法记录，即没有因违法经营受到刑事处罚或责令停产停业、吊销许可证或执照、较大数额罚款等行政处罚。否则产生不利后果由我方承担责任。</w:t>
      </w:r>
    </w:p>
    <w:p w14:paraId="7760D7BD">
      <w:pPr>
        <w:pStyle w:val="44"/>
        <w:ind w:firstLine="420"/>
        <w:rPr>
          <w:rFonts w:hint="eastAsia" w:ascii="宋体" w:hAnsi="宋体" w:cs="宋体"/>
          <w:color w:val="auto"/>
          <w:szCs w:val="24"/>
        </w:rPr>
      </w:pPr>
      <w:r>
        <w:rPr>
          <w:rFonts w:hint="eastAsia" w:ascii="宋体" w:hAnsi="宋体" w:cs="宋体"/>
          <w:color w:val="auto"/>
          <w:szCs w:val="24"/>
        </w:rPr>
        <w:t>特此声明。</w:t>
      </w:r>
    </w:p>
    <w:p w14:paraId="2CCF2F91">
      <w:pPr>
        <w:pStyle w:val="44"/>
        <w:widowControl/>
        <w:shd w:val="clear" w:color="auto" w:fill="FFFFFF"/>
        <w:spacing w:line="480" w:lineRule="atLeast"/>
        <w:jc w:val="left"/>
        <w:rPr>
          <w:rFonts w:hint="eastAsia" w:ascii="宋体" w:hAnsi="宋体" w:cs="宋体"/>
          <w:color w:val="auto"/>
          <w:szCs w:val="24"/>
        </w:rPr>
      </w:pPr>
      <w:r>
        <w:rPr>
          <w:rFonts w:hint="eastAsia" w:ascii="宋体" w:hAnsi="宋体" w:cs="宋体"/>
          <w:color w:val="auto"/>
          <w:szCs w:val="24"/>
          <w:shd w:val="clear" w:color="auto" w:fill="FFFFFF"/>
        </w:rPr>
        <w:t>※注意：</w:t>
      </w:r>
    </w:p>
    <w:p w14:paraId="24E6C947">
      <w:pPr>
        <w:pStyle w:val="44"/>
        <w:widowControl/>
        <w:shd w:val="clear" w:color="auto" w:fill="FFFFFF"/>
        <w:spacing w:line="480" w:lineRule="atLeast"/>
        <w:ind w:firstLine="480" w:firstLineChars="200"/>
        <w:jc w:val="left"/>
        <w:rPr>
          <w:rFonts w:hint="eastAsia" w:ascii="宋体" w:hAnsi="宋体" w:cs="宋体"/>
          <w:color w:val="auto"/>
          <w:szCs w:val="24"/>
        </w:rPr>
      </w:pPr>
      <w:r>
        <w:rPr>
          <w:rFonts w:hint="eastAsia" w:ascii="宋体" w:hAnsi="宋体" w:cs="宋体"/>
          <w:color w:val="auto"/>
          <w:szCs w:val="24"/>
          <w:shd w:val="clear" w:color="auto" w:fill="FFFFFF"/>
        </w:rPr>
        <w:t>1、“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59757021">
      <w:pPr>
        <w:pStyle w:val="44"/>
        <w:widowControl/>
        <w:shd w:val="clear" w:color="auto" w:fill="FFFFFF"/>
        <w:spacing w:line="480" w:lineRule="atLeast"/>
        <w:ind w:firstLine="480" w:firstLineChars="200"/>
        <w:jc w:val="left"/>
        <w:rPr>
          <w:rFonts w:hint="eastAsia" w:ascii="宋体" w:hAnsi="宋体" w:cs="宋体"/>
          <w:color w:val="auto"/>
          <w:szCs w:val="24"/>
        </w:rPr>
      </w:pPr>
      <w:r>
        <w:rPr>
          <w:rFonts w:hint="eastAsia" w:ascii="宋体" w:hAnsi="宋体" w:cs="宋体"/>
          <w:color w:val="auto"/>
          <w:szCs w:val="24"/>
          <w:shd w:val="clear" w:color="auto" w:fill="FFFFFF"/>
        </w:rPr>
        <w:t>2、请供应商根据实际情况如实声明，否则视为提供虚假材料。</w:t>
      </w:r>
    </w:p>
    <w:p w14:paraId="4BFC0CD1">
      <w:pPr>
        <w:pStyle w:val="44"/>
        <w:rPr>
          <w:rFonts w:hint="eastAsia" w:ascii="宋体" w:hAnsi="宋体" w:cs="宋体"/>
          <w:color w:val="auto"/>
          <w:szCs w:val="24"/>
        </w:rPr>
      </w:pPr>
    </w:p>
    <w:p w14:paraId="2B389063">
      <w:pPr>
        <w:pStyle w:val="44"/>
        <w:rPr>
          <w:rFonts w:hint="eastAsia" w:ascii="宋体" w:hAnsi="宋体" w:cs="宋体"/>
          <w:color w:val="auto"/>
          <w:szCs w:val="24"/>
        </w:rPr>
      </w:pPr>
      <w:r>
        <w:rPr>
          <w:rFonts w:hint="eastAsia" w:ascii="宋体" w:hAnsi="宋体" w:cs="宋体"/>
          <w:color w:val="auto"/>
          <w:szCs w:val="24"/>
        </w:rPr>
        <w:t> </w:t>
      </w:r>
    </w:p>
    <w:p w14:paraId="2F7BDC20">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6D73A97B">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1BBFBE47">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6D4C1973">
      <w:pPr>
        <w:pStyle w:val="44"/>
        <w:rPr>
          <w:rFonts w:hint="eastAsia" w:ascii="宋体" w:hAnsi="宋体" w:cs="宋体"/>
          <w:color w:val="auto"/>
        </w:rPr>
      </w:pPr>
      <w:r>
        <w:rPr>
          <w:rFonts w:hint="eastAsia" w:ascii="宋体" w:hAnsi="宋体" w:cs="宋体"/>
          <w:color w:val="auto"/>
          <w:sz w:val="21"/>
          <w:szCs w:val="21"/>
        </w:rPr>
        <w:t> </w:t>
      </w:r>
    </w:p>
    <w:p w14:paraId="311DABB1">
      <w:pPr>
        <w:pStyle w:val="44"/>
        <w:rPr>
          <w:rFonts w:hint="eastAsia" w:ascii="宋体" w:hAnsi="宋体" w:cs="宋体"/>
          <w:color w:val="auto"/>
        </w:rPr>
      </w:pPr>
      <w:r>
        <w:rPr>
          <w:rFonts w:hint="eastAsia" w:ascii="宋体" w:hAnsi="宋体" w:cs="宋体"/>
          <w:color w:val="auto"/>
          <w:sz w:val="21"/>
          <w:szCs w:val="21"/>
        </w:rPr>
        <w:t> </w:t>
      </w:r>
    </w:p>
    <w:p w14:paraId="2B740DB1">
      <w:pPr>
        <w:pStyle w:val="44"/>
        <w:jc w:val="center"/>
        <w:rPr>
          <w:rFonts w:hint="eastAsia" w:ascii="宋体" w:hAnsi="宋体" w:cs="宋体"/>
          <w:color w:val="auto"/>
          <w:sz w:val="21"/>
          <w:szCs w:val="21"/>
        </w:rPr>
      </w:pPr>
    </w:p>
    <w:p w14:paraId="3847F41C">
      <w:pPr>
        <w:pStyle w:val="44"/>
        <w:jc w:val="center"/>
        <w:rPr>
          <w:rFonts w:hint="eastAsia" w:ascii="宋体" w:hAnsi="宋体" w:cs="宋体"/>
          <w:color w:val="auto"/>
          <w:sz w:val="21"/>
          <w:szCs w:val="21"/>
        </w:rPr>
      </w:pPr>
    </w:p>
    <w:p w14:paraId="74E8DE96">
      <w:pPr>
        <w:pStyle w:val="44"/>
        <w:jc w:val="center"/>
        <w:rPr>
          <w:rFonts w:hint="eastAsia" w:ascii="宋体" w:hAnsi="宋体" w:cs="宋体"/>
          <w:color w:val="auto"/>
          <w:sz w:val="21"/>
          <w:szCs w:val="21"/>
        </w:rPr>
      </w:pPr>
      <w:r>
        <w:rPr>
          <w:rFonts w:hint="eastAsia" w:ascii="宋体" w:hAnsi="宋体" w:cs="宋体"/>
          <w:color w:val="auto"/>
          <w:sz w:val="21"/>
          <w:szCs w:val="21"/>
        </w:rPr>
        <w:br w:type="page"/>
      </w:r>
    </w:p>
    <w:p w14:paraId="15C2B13A">
      <w:pPr>
        <w:pStyle w:val="44"/>
        <w:jc w:val="center"/>
        <w:rPr>
          <w:rFonts w:hint="eastAsia" w:ascii="宋体" w:hAnsi="宋体" w:cs="宋体"/>
          <w:color w:val="auto"/>
          <w:sz w:val="32"/>
          <w:szCs w:val="32"/>
        </w:rPr>
      </w:pPr>
      <w:r>
        <w:rPr>
          <w:rFonts w:hint="eastAsia" w:ascii="宋体" w:hAnsi="宋体" w:cs="宋体"/>
          <w:b/>
          <w:bCs/>
          <w:color w:val="auto"/>
          <w:sz w:val="32"/>
          <w:szCs w:val="32"/>
          <w:lang w:val="en-US" w:eastAsia="zh-CN"/>
        </w:rPr>
        <w:t>8</w:t>
      </w:r>
      <w:r>
        <w:rPr>
          <w:rFonts w:hint="eastAsia" w:ascii="宋体" w:hAnsi="宋体" w:cs="宋体"/>
          <w:b/>
          <w:bCs/>
          <w:color w:val="auto"/>
          <w:sz w:val="32"/>
          <w:szCs w:val="32"/>
        </w:rPr>
        <w:t>-7</w:t>
      </w:r>
      <w:r>
        <w:rPr>
          <w:rStyle w:val="52"/>
          <w:rFonts w:hint="eastAsia" w:ascii="宋体" w:hAnsi="宋体" w:cs="宋体"/>
          <w:color w:val="auto"/>
          <w:sz w:val="32"/>
          <w:szCs w:val="32"/>
        </w:rPr>
        <w:t>信用记录查询结果</w:t>
      </w:r>
    </w:p>
    <w:p w14:paraId="18273B79">
      <w:pPr>
        <w:pStyle w:val="44"/>
        <w:rPr>
          <w:rFonts w:hint="eastAsia" w:ascii="宋体" w:hAnsi="宋体" w:cs="宋体"/>
          <w:color w:val="auto"/>
        </w:rPr>
      </w:pPr>
      <w:r>
        <w:rPr>
          <w:rFonts w:hint="eastAsia" w:ascii="宋体" w:hAnsi="宋体" w:cs="宋体"/>
          <w:color w:val="auto"/>
          <w:sz w:val="21"/>
          <w:szCs w:val="21"/>
        </w:rPr>
        <w:t> </w:t>
      </w:r>
    </w:p>
    <w:p w14:paraId="3C573FE6">
      <w:pPr>
        <w:pStyle w:val="44"/>
        <w:rPr>
          <w:rFonts w:hint="eastAsia" w:ascii="宋体" w:hAnsi="宋体" w:cs="宋体"/>
          <w:color w:val="auto"/>
          <w:szCs w:val="24"/>
        </w:rPr>
      </w:pPr>
      <w:r>
        <w:rPr>
          <w:rFonts w:hint="eastAsia" w:ascii="宋体" w:hAnsi="宋体" w:cs="宋体"/>
          <w:color w:val="auto"/>
          <w:szCs w:val="24"/>
        </w:rPr>
        <w:t> </w:t>
      </w:r>
    </w:p>
    <w:p w14:paraId="6D5F498D">
      <w:pPr>
        <w:pStyle w:val="301"/>
        <w:ind w:firstLine="480"/>
        <w:jc w:val="both"/>
        <w:rPr>
          <w:rFonts w:ascii="宋体" w:hAnsi="宋体" w:cs="宋体"/>
          <w:color w:val="auto"/>
          <w:kern w:val="2"/>
          <w:sz w:val="24"/>
          <w:szCs w:val="24"/>
          <w:lang w:eastAsia="zh-CN"/>
        </w:rPr>
      </w:pPr>
      <w:r>
        <w:rPr>
          <w:rFonts w:ascii="宋体" w:hAnsi="宋体" w:cs="宋体"/>
          <w:color w:val="auto"/>
          <w:kern w:val="2"/>
          <w:sz w:val="24"/>
          <w:szCs w:val="24"/>
          <w:lang w:eastAsia="zh-CN"/>
        </w:rPr>
        <w:t>1、由磋商小组通过网站查询并打印供应商的信用记录。</w:t>
      </w:r>
    </w:p>
    <w:p w14:paraId="0D60BEC0">
      <w:pPr>
        <w:pStyle w:val="301"/>
        <w:ind w:firstLine="480"/>
        <w:jc w:val="center"/>
        <w:rPr>
          <w:rFonts w:ascii="宋体" w:hAnsi="宋体" w:cs="宋体"/>
          <w:color w:val="auto"/>
          <w:kern w:val="2"/>
          <w:sz w:val="24"/>
          <w:szCs w:val="24"/>
          <w:lang w:eastAsia="zh-CN"/>
        </w:rPr>
      </w:pPr>
      <w:r>
        <w:rPr>
          <w:rFonts w:ascii="宋体" w:hAnsi="宋体" w:cs="宋体"/>
          <w:color w:val="auto"/>
          <w:kern w:val="2"/>
          <w:sz w:val="24"/>
          <w:szCs w:val="24"/>
          <w:lang w:eastAsia="zh-CN"/>
        </w:rPr>
        <w:t>2、经查询，供应商参加本项目采购活动(响应文件递交截止时间)前三年内被列入失信被执行人名单、重大税收违法案件当事人名单、政府采购严重违法失信行为记录名单及其他重大违法记录且相关信用惩戒期限未满的，其资格审查不合格。</w:t>
      </w:r>
    </w:p>
    <w:p w14:paraId="16651CDA">
      <w:pPr>
        <w:pStyle w:val="301"/>
        <w:ind w:firstLine="480"/>
        <w:jc w:val="both"/>
        <w:rPr>
          <w:rFonts w:ascii="宋体" w:hAnsi="宋体" w:cs="宋体"/>
          <w:color w:val="auto"/>
          <w:kern w:val="2"/>
          <w:sz w:val="24"/>
          <w:szCs w:val="24"/>
          <w:lang w:eastAsia="zh-CN"/>
        </w:rPr>
      </w:pPr>
      <w:r>
        <w:rPr>
          <w:rFonts w:ascii="宋体" w:hAnsi="宋体" w:cs="宋体"/>
          <w:color w:val="auto"/>
          <w:kern w:val="2"/>
          <w:sz w:val="24"/>
          <w:szCs w:val="24"/>
          <w:lang w:eastAsia="zh-CN"/>
        </w:rPr>
        <w:t>3、供应商应了解自身的信用记录情况。当供应商受到200万以上罚款的行政处罚且该罚款不属较大数额罚款时，供应商应在电子响应文件中提供此项罚款不属于较大数额罚款的依据（如提供：相关法律制度的规定、行政执法机构对该罚款不属于较大数额罚款的认定或者其他有效依据）。</w:t>
      </w:r>
    </w:p>
    <w:p w14:paraId="27010DF4">
      <w:pPr>
        <w:pStyle w:val="44"/>
        <w:rPr>
          <w:rFonts w:hint="eastAsia" w:ascii="宋体" w:hAnsi="宋体" w:cs="宋体"/>
          <w:color w:val="auto"/>
          <w:szCs w:val="24"/>
        </w:rPr>
      </w:pPr>
    </w:p>
    <w:p w14:paraId="34EBE2C1">
      <w:pPr>
        <w:pStyle w:val="44"/>
        <w:rPr>
          <w:rFonts w:hint="eastAsia" w:ascii="宋体" w:hAnsi="宋体" w:cs="宋体"/>
          <w:color w:val="auto"/>
          <w:szCs w:val="24"/>
        </w:rPr>
      </w:pPr>
    </w:p>
    <w:p w14:paraId="1EB43795">
      <w:pPr>
        <w:pStyle w:val="44"/>
        <w:rPr>
          <w:rFonts w:hint="eastAsia" w:ascii="宋体" w:hAnsi="宋体" w:cs="宋体"/>
          <w:color w:val="auto"/>
          <w:szCs w:val="24"/>
        </w:rPr>
      </w:pPr>
      <w:r>
        <w:rPr>
          <w:rFonts w:hint="eastAsia" w:ascii="宋体" w:hAnsi="宋体" w:cs="宋体"/>
          <w:color w:val="auto"/>
          <w:szCs w:val="24"/>
        </w:rPr>
        <w:t> </w:t>
      </w:r>
    </w:p>
    <w:p w14:paraId="72750B73">
      <w:pPr>
        <w:pStyle w:val="44"/>
        <w:rPr>
          <w:rFonts w:hint="eastAsia" w:ascii="宋体" w:hAnsi="宋体" w:cs="宋体"/>
          <w:color w:val="auto"/>
          <w:szCs w:val="24"/>
        </w:rPr>
      </w:pPr>
      <w:r>
        <w:rPr>
          <w:rFonts w:hint="eastAsia" w:ascii="宋体" w:hAnsi="宋体" w:cs="宋体"/>
          <w:color w:val="auto"/>
          <w:szCs w:val="24"/>
        </w:rPr>
        <w:t> </w:t>
      </w:r>
    </w:p>
    <w:p w14:paraId="16C4E292">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47F5585D">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2CEFB668">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6460BA0E">
      <w:pPr>
        <w:pStyle w:val="44"/>
        <w:rPr>
          <w:rFonts w:hint="eastAsia" w:ascii="宋体" w:hAnsi="宋体" w:cs="宋体"/>
          <w:color w:val="auto"/>
        </w:rPr>
      </w:pPr>
      <w:r>
        <w:rPr>
          <w:rFonts w:hint="eastAsia" w:ascii="宋体" w:hAnsi="宋体" w:cs="宋体"/>
          <w:color w:val="auto"/>
          <w:sz w:val="21"/>
          <w:szCs w:val="21"/>
        </w:rPr>
        <w:t> </w:t>
      </w:r>
    </w:p>
    <w:p w14:paraId="79662460">
      <w:pPr>
        <w:pStyle w:val="44"/>
        <w:rPr>
          <w:rFonts w:hint="eastAsia" w:ascii="宋体" w:hAnsi="宋体" w:cs="宋体"/>
          <w:color w:val="auto"/>
        </w:rPr>
      </w:pPr>
      <w:r>
        <w:rPr>
          <w:rFonts w:hint="eastAsia" w:ascii="宋体" w:hAnsi="宋体" w:cs="宋体"/>
          <w:color w:val="auto"/>
          <w:sz w:val="21"/>
          <w:szCs w:val="21"/>
        </w:rPr>
        <w:t> </w:t>
      </w:r>
    </w:p>
    <w:p w14:paraId="6D74FA96">
      <w:pPr>
        <w:pStyle w:val="44"/>
        <w:jc w:val="center"/>
        <w:rPr>
          <w:rStyle w:val="52"/>
          <w:rFonts w:hint="eastAsia" w:ascii="宋体" w:hAnsi="宋体" w:cs="宋体"/>
          <w:color w:val="auto"/>
          <w:sz w:val="21"/>
          <w:szCs w:val="21"/>
        </w:rPr>
      </w:pPr>
    </w:p>
    <w:p w14:paraId="0AF36B4A">
      <w:pPr>
        <w:pStyle w:val="44"/>
        <w:jc w:val="center"/>
        <w:rPr>
          <w:rStyle w:val="52"/>
          <w:rFonts w:hint="eastAsia" w:ascii="宋体" w:hAnsi="宋体" w:cs="宋体"/>
          <w:color w:val="auto"/>
          <w:sz w:val="21"/>
          <w:szCs w:val="21"/>
        </w:rPr>
      </w:pPr>
    </w:p>
    <w:p w14:paraId="344067D7">
      <w:pPr>
        <w:pStyle w:val="44"/>
        <w:jc w:val="center"/>
        <w:rPr>
          <w:rFonts w:hint="eastAsia" w:ascii="宋体" w:hAnsi="宋体" w:cs="宋体"/>
          <w:color w:val="auto"/>
          <w:sz w:val="21"/>
          <w:szCs w:val="21"/>
        </w:rPr>
      </w:pPr>
      <w:r>
        <w:rPr>
          <w:rStyle w:val="52"/>
          <w:rFonts w:hint="eastAsia" w:ascii="宋体" w:hAnsi="宋体" w:cs="宋体"/>
          <w:color w:val="auto"/>
          <w:sz w:val="21"/>
          <w:szCs w:val="21"/>
        </w:rPr>
        <w:br w:type="page"/>
      </w:r>
    </w:p>
    <w:p w14:paraId="2E56DD3E">
      <w:pPr>
        <w:pStyle w:val="44"/>
        <w:jc w:val="center"/>
        <w:rPr>
          <w:rFonts w:hint="eastAsia" w:ascii="宋体" w:hAnsi="宋体" w:cs="宋体"/>
          <w:b/>
          <w:bCs/>
          <w:color w:val="auto"/>
        </w:rPr>
      </w:pPr>
      <w:r>
        <w:rPr>
          <w:rFonts w:hint="eastAsia" w:ascii="宋体" w:hAnsi="宋体" w:cs="宋体"/>
          <w:b/>
          <w:bCs/>
          <w:color w:val="auto"/>
          <w:sz w:val="32"/>
          <w:szCs w:val="32"/>
          <w:lang w:val="en-US" w:eastAsia="zh-CN"/>
        </w:rPr>
        <w:t>8</w:t>
      </w:r>
      <w:r>
        <w:rPr>
          <w:rFonts w:hint="eastAsia" w:ascii="宋体" w:hAnsi="宋体" w:cs="宋体"/>
          <w:b/>
          <w:bCs/>
          <w:color w:val="auto"/>
          <w:sz w:val="32"/>
          <w:szCs w:val="32"/>
        </w:rPr>
        <w:t>-8具备履行合同所必需设备和专业技术能力的声明函</w:t>
      </w:r>
    </w:p>
    <w:p w14:paraId="175B640C">
      <w:pPr>
        <w:pStyle w:val="44"/>
        <w:jc w:val="center"/>
        <w:rPr>
          <w:rFonts w:hint="eastAsia" w:ascii="宋体" w:hAnsi="宋体" w:cs="宋体"/>
          <w:color w:val="auto"/>
        </w:rPr>
      </w:pPr>
    </w:p>
    <w:p w14:paraId="2A36F0D6">
      <w:pPr>
        <w:pStyle w:val="44"/>
        <w:widowControl/>
        <w:rPr>
          <w:rFonts w:hint="eastAsia" w:ascii="宋体" w:hAnsi="宋体" w:cs="宋体"/>
          <w:color w:val="auto"/>
          <w:szCs w:val="24"/>
        </w:rPr>
      </w:pPr>
      <w:r>
        <w:rPr>
          <w:rFonts w:hint="eastAsia" w:ascii="宋体" w:hAnsi="宋体" w:cs="宋体"/>
          <w:color w:val="auto"/>
          <w:szCs w:val="24"/>
        </w:rPr>
        <w:t>致：</w:t>
      </w:r>
      <w:r>
        <w:rPr>
          <w:rFonts w:hint="eastAsia" w:ascii="宋体" w:hAnsi="宋体" w:cs="宋体"/>
          <w:color w:val="auto"/>
          <w:szCs w:val="24"/>
          <w:u w:val="single"/>
        </w:rPr>
        <w:t>                     </w:t>
      </w:r>
    </w:p>
    <w:p w14:paraId="5C51B05A">
      <w:pPr>
        <w:pStyle w:val="44"/>
        <w:widowControl/>
        <w:ind w:firstLine="420"/>
        <w:rPr>
          <w:rFonts w:hint="eastAsia" w:ascii="宋体" w:hAnsi="宋体" w:cs="宋体"/>
          <w:color w:val="auto"/>
          <w:szCs w:val="24"/>
        </w:rPr>
      </w:pPr>
      <w:r>
        <w:rPr>
          <w:rFonts w:hint="eastAsia" w:ascii="宋体" w:hAnsi="宋体" w:cs="宋体"/>
          <w:color w:val="auto"/>
          <w:szCs w:val="24"/>
        </w:rPr>
        <w:t>我方具备履行合同所必需的设备和专业技术能力，否则产生不利后果由我方承担责任。</w:t>
      </w:r>
    </w:p>
    <w:p w14:paraId="2656C80E">
      <w:pPr>
        <w:pStyle w:val="44"/>
        <w:widowControl/>
        <w:ind w:firstLine="420"/>
        <w:rPr>
          <w:rFonts w:hint="eastAsia" w:ascii="宋体" w:hAnsi="宋体" w:cs="宋体"/>
          <w:color w:val="auto"/>
          <w:szCs w:val="24"/>
        </w:rPr>
      </w:pPr>
      <w:r>
        <w:rPr>
          <w:rFonts w:hint="eastAsia" w:ascii="宋体" w:hAnsi="宋体" w:cs="宋体"/>
          <w:color w:val="auto"/>
          <w:szCs w:val="24"/>
        </w:rPr>
        <w:t>特此声明。</w:t>
      </w:r>
    </w:p>
    <w:p w14:paraId="2D59D879">
      <w:pPr>
        <w:pStyle w:val="44"/>
        <w:widowControl/>
        <w:rPr>
          <w:rFonts w:hint="eastAsia" w:ascii="宋体" w:hAnsi="宋体" w:cs="宋体"/>
          <w:color w:val="auto"/>
          <w:szCs w:val="24"/>
        </w:rPr>
      </w:pPr>
    </w:p>
    <w:p w14:paraId="383AA04E">
      <w:pPr>
        <w:pStyle w:val="44"/>
        <w:widowControl/>
        <w:rPr>
          <w:rFonts w:hint="eastAsia" w:ascii="宋体" w:hAnsi="宋体" w:cs="宋体"/>
          <w:color w:val="auto"/>
          <w:szCs w:val="24"/>
        </w:rPr>
      </w:pPr>
      <w:r>
        <w:rPr>
          <w:rFonts w:hint="eastAsia" w:ascii="宋体" w:hAnsi="宋体" w:cs="宋体"/>
          <w:color w:val="auto"/>
          <w:szCs w:val="24"/>
          <w:shd w:val="clear" w:color="auto" w:fill="FFFFFF"/>
        </w:rPr>
        <w:t>※</w:t>
      </w:r>
      <w:r>
        <w:rPr>
          <w:rFonts w:hint="eastAsia" w:ascii="宋体" w:hAnsi="宋体" w:cs="宋体"/>
          <w:color w:val="auto"/>
          <w:szCs w:val="24"/>
        </w:rPr>
        <w:t>注意：</w:t>
      </w:r>
    </w:p>
    <w:p w14:paraId="535B8CCA">
      <w:pPr>
        <w:pStyle w:val="44"/>
        <w:widowControl/>
        <w:rPr>
          <w:rFonts w:hint="eastAsia" w:ascii="宋体" w:hAnsi="宋体" w:cs="宋体"/>
          <w:color w:val="auto"/>
          <w:szCs w:val="24"/>
        </w:rPr>
      </w:pPr>
      <w:r>
        <w:rPr>
          <w:rFonts w:hint="eastAsia" w:ascii="宋体" w:hAnsi="宋体" w:cs="宋体"/>
          <w:color w:val="auto"/>
          <w:szCs w:val="24"/>
        </w:rPr>
        <w:t>1、请供应商根据实际情况如实声明，否则</w:t>
      </w:r>
      <w:r>
        <w:rPr>
          <w:rStyle w:val="52"/>
          <w:rFonts w:hint="eastAsia" w:ascii="宋体" w:hAnsi="宋体" w:cs="宋体"/>
          <w:color w:val="auto"/>
        </w:rPr>
        <w:t>视为提供虚假材料。</w:t>
      </w:r>
    </w:p>
    <w:p w14:paraId="28DE4CF3">
      <w:pPr>
        <w:pStyle w:val="44"/>
        <w:rPr>
          <w:rFonts w:hint="eastAsia" w:ascii="宋体" w:hAnsi="宋体" w:cs="宋体"/>
          <w:color w:val="auto"/>
          <w:szCs w:val="24"/>
        </w:rPr>
      </w:pPr>
    </w:p>
    <w:p w14:paraId="51BFE3E7">
      <w:pPr>
        <w:pStyle w:val="44"/>
        <w:rPr>
          <w:rFonts w:hint="eastAsia" w:ascii="宋体" w:hAnsi="宋体" w:cs="宋体"/>
          <w:color w:val="auto"/>
          <w:szCs w:val="24"/>
        </w:rPr>
      </w:pPr>
    </w:p>
    <w:p w14:paraId="4FF45C9C">
      <w:pPr>
        <w:pStyle w:val="44"/>
        <w:rPr>
          <w:rFonts w:hint="eastAsia" w:ascii="宋体" w:hAnsi="宋体" w:cs="宋体"/>
          <w:color w:val="auto"/>
          <w:szCs w:val="24"/>
        </w:rPr>
      </w:pPr>
    </w:p>
    <w:p w14:paraId="607F4405">
      <w:pPr>
        <w:pStyle w:val="44"/>
        <w:rPr>
          <w:rFonts w:hint="eastAsia" w:ascii="宋体" w:hAnsi="宋体" w:cs="宋体"/>
          <w:color w:val="auto"/>
          <w:szCs w:val="24"/>
        </w:rPr>
      </w:pPr>
    </w:p>
    <w:p w14:paraId="08230709">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0F7BF21B">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3FE56034">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68992F17">
      <w:pPr>
        <w:tabs>
          <w:tab w:val="left" w:pos="978"/>
        </w:tabs>
        <w:spacing w:line="360" w:lineRule="auto"/>
        <w:rPr>
          <w:rFonts w:hint="eastAsia" w:ascii="宋体" w:hAnsi="宋体" w:cs="宋体"/>
          <w:b/>
          <w:color w:val="auto"/>
          <w:sz w:val="24"/>
        </w:rPr>
      </w:pPr>
    </w:p>
    <w:p w14:paraId="1C36820B">
      <w:pPr>
        <w:tabs>
          <w:tab w:val="left" w:pos="978"/>
        </w:tabs>
        <w:spacing w:line="360" w:lineRule="auto"/>
        <w:rPr>
          <w:rFonts w:hint="eastAsia" w:ascii="宋体" w:hAnsi="宋体" w:cs="宋体"/>
          <w:b/>
          <w:color w:val="auto"/>
          <w:sz w:val="24"/>
        </w:rPr>
      </w:pPr>
    </w:p>
    <w:p w14:paraId="338AAD43">
      <w:pPr>
        <w:tabs>
          <w:tab w:val="left" w:pos="978"/>
        </w:tabs>
        <w:spacing w:line="360" w:lineRule="auto"/>
        <w:rPr>
          <w:rFonts w:hint="eastAsia" w:ascii="宋体" w:hAnsi="宋体" w:cs="宋体"/>
          <w:b/>
          <w:color w:val="auto"/>
          <w:sz w:val="24"/>
        </w:rPr>
      </w:pPr>
    </w:p>
    <w:p w14:paraId="4149B383">
      <w:pPr>
        <w:pStyle w:val="44"/>
        <w:jc w:val="center"/>
        <w:rPr>
          <w:rFonts w:hint="eastAsia" w:ascii="宋体" w:hAnsi="宋体" w:cs="宋体"/>
          <w:b/>
          <w:bCs/>
          <w:color w:val="auto"/>
        </w:rPr>
      </w:pPr>
      <w:r>
        <w:rPr>
          <w:rFonts w:hint="eastAsia" w:ascii="宋体" w:hAnsi="宋体" w:cs="宋体"/>
          <w:b/>
          <w:color w:val="auto"/>
          <w:sz w:val="24"/>
        </w:rPr>
        <w:br w:type="page"/>
      </w:r>
      <w:bookmarkStart w:id="229" w:name="_Toc17536_WPSOffice_Level2"/>
      <w:bookmarkStart w:id="230" w:name="_Toc23270"/>
      <w:bookmarkStart w:id="231" w:name="_Toc3419_WPSOffice_Level2"/>
      <w:r>
        <w:rPr>
          <w:rFonts w:hint="eastAsia" w:ascii="宋体" w:hAnsi="宋体" w:cs="宋体"/>
          <w:b/>
          <w:bCs/>
          <w:color w:val="auto"/>
          <w:sz w:val="32"/>
          <w:szCs w:val="32"/>
          <w:lang w:val="en-US" w:eastAsia="zh-CN"/>
        </w:rPr>
        <w:t>8</w:t>
      </w:r>
      <w:r>
        <w:rPr>
          <w:rFonts w:hint="eastAsia" w:ascii="宋体" w:hAnsi="宋体" w:cs="宋体"/>
          <w:b/>
          <w:bCs/>
          <w:color w:val="auto"/>
          <w:sz w:val="32"/>
          <w:szCs w:val="32"/>
        </w:rPr>
        <w:t>-</w:t>
      </w:r>
      <w:r>
        <w:rPr>
          <w:rFonts w:hint="eastAsia" w:ascii="宋体" w:hAnsi="宋体" w:cs="宋体"/>
          <w:b/>
          <w:bCs/>
          <w:color w:val="auto"/>
          <w:sz w:val="32"/>
          <w:szCs w:val="32"/>
          <w:lang w:val="en-US" w:eastAsia="zh-CN"/>
        </w:rPr>
        <w:t>9</w:t>
      </w:r>
      <w:r>
        <w:rPr>
          <w:rFonts w:hint="eastAsia" w:ascii="宋体" w:hAnsi="宋体" w:cs="宋体"/>
          <w:b/>
          <w:bCs/>
          <w:color w:val="auto"/>
          <w:sz w:val="32"/>
          <w:szCs w:val="32"/>
        </w:rPr>
        <w:t>没有被列入景弘集团有限公司和</w:t>
      </w:r>
      <w:r>
        <w:rPr>
          <w:rFonts w:hint="eastAsia" w:ascii="宋体" w:hAnsi="宋体" w:cs="宋体"/>
          <w:b/>
          <w:bCs/>
          <w:color w:val="auto"/>
          <w:sz w:val="32"/>
          <w:szCs w:val="32"/>
          <w:lang w:eastAsia="zh-CN"/>
        </w:rPr>
        <w:t>福建省建阳兴欣织造有限责任公司</w:t>
      </w:r>
      <w:r>
        <w:rPr>
          <w:rFonts w:hint="eastAsia" w:ascii="宋体" w:hAnsi="宋体" w:cs="宋体"/>
          <w:b/>
          <w:bCs/>
          <w:color w:val="auto"/>
          <w:sz w:val="32"/>
          <w:szCs w:val="32"/>
        </w:rPr>
        <w:t>黑名单的承诺函</w:t>
      </w:r>
    </w:p>
    <w:p w14:paraId="0C3C09E6">
      <w:pPr>
        <w:pStyle w:val="44"/>
        <w:jc w:val="center"/>
        <w:rPr>
          <w:rFonts w:hint="eastAsia" w:ascii="宋体" w:hAnsi="宋体" w:cs="宋体"/>
          <w:color w:val="auto"/>
        </w:rPr>
      </w:pPr>
    </w:p>
    <w:p w14:paraId="6E4C0004">
      <w:pPr>
        <w:pStyle w:val="44"/>
        <w:widowControl/>
        <w:rPr>
          <w:rFonts w:hint="eastAsia" w:ascii="宋体" w:hAnsi="宋体" w:cs="宋体"/>
          <w:color w:val="auto"/>
          <w:szCs w:val="24"/>
        </w:rPr>
      </w:pPr>
      <w:r>
        <w:rPr>
          <w:rFonts w:hint="eastAsia" w:ascii="宋体" w:hAnsi="宋体" w:cs="宋体"/>
          <w:color w:val="auto"/>
          <w:szCs w:val="24"/>
        </w:rPr>
        <w:t>致：</w:t>
      </w:r>
      <w:r>
        <w:rPr>
          <w:rFonts w:hint="eastAsia" w:ascii="宋体" w:hAnsi="宋体" w:cs="宋体"/>
          <w:color w:val="auto"/>
          <w:szCs w:val="24"/>
          <w:u w:val="single"/>
        </w:rPr>
        <w:t>                     </w:t>
      </w:r>
    </w:p>
    <w:p w14:paraId="0A4B3890">
      <w:pPr>
        <w:pStyle w:val="44"/>
        <w:widowControl/>
        <w:ind w:firstLine="420"/>
        <w:rPr>
          <w:rFonts w:hint="eastAsia" w:ascii="宋体" w:hAnsi="宋体" w:cs="宋体"/>
          <w:color w:val="auto"/>
          <w:szCs w:val="24"/>
        </w:rPr>
      </w:pPr>
      <w:r>
        <w:rPr>
          <w:rFonts w:hint="eastAsia" w:ascii="宋体" w:hAnsi="宋体" w:cs="宋体"/>
          <w:color w:val="auto"/>
          <w:szCs w:val="24"/>
        </w:rPr>
        <w:t>我方没有被列入景弘集团有限公司和</w:t>
      </w:r>
      <w:r>
        <w:rPr>
          <w:rFonts w:hint="eastAsia" w:ascii="宋体" w:hAnsi="宋体" w:cs="宋体"/>
          <w:color w:val="auto"/>
          <w:szCs w:val="24"/>
          <w:lang w:eastAsia="zh-CN"/>
        </w:rPr>
        <w:t>福建省建阳兴欣织造有限责任公司</w:t>
      </w:r>
      <w:r>
        <w:rPr>
          <w:rFonts w:hint="eastAsia" w:ascii="宋体" w:hAnsi="宋体" w:cs="宋体"/>
          <w:color w:val="auto"/>
          <w:szCs w:val="24"/>
        </w:rPr>
        <w:t>黑名单。</w:t>
      </w:r>
    </w:p>
    <w:p w14:paraId="71D298C9">
      <w:pPr>
        <w:pStyle w:val="44"/>
        <w:widowControl/>
        <w:ind w:firstLine="420"/>
        <w:rPr>
          <w:rFonts w:hint="eastAsia" w:ascii="宋体" w:hAnsi="宋体" w:cs="宋体"/>
          <w:color w:val="auto"/>
          <w:szCs w:val="24"/>
        </w:rPr>
      </w:pPr>
      <w:r>
        <w:rPr>
          <w:rFonts w:hint="eastAsia" w:ascii="宋体" w:hAnsi="宋体" w:cs="宋体"/>
          <w:color w:val="auto"/>
          <w:szCs w:val="24"/>
        </w:rPr>
        <w:t>特此声明。</w:t>
      </w:r>
    </w:p>
    <w:p w14:paraId="34A8E374">
      <w:pPr>
        <w:pStyle w:val="44"/>
        <w:widowControl/>
        <w:rPr>
          <w:rFonts w:hint="eastAsia" w:ascii="宋体" w:hAnsi="宋体" w:cs="宋体"/>
          <w:color w:val="auto"/>
          <w:szCs w:val="24"/>
        </w:rPr>
      </w:pPr>
    </w:p>
    <w:p w14:paraId="482FAE06">
      <w:pPr>
        <w:pStyle w:val="44"/>
        <w:widowControl/>
        <w:rPr>
          <w:rFonts w:hint="eastAsia" w:ascii="宋体" w:hAnsi="宋体" w:cs="宋体"/>
          <w:color w:val="auto"/>
          <w:szCs w:val="24"/>
        </w:rPr>
      </w:pPr>
      <w:r>
        <w:rPr>
          <w:rFonts w:hint="eastAsia" w:ascii="宋体" w:hAnsi="宋体" w:cs="宋体"/>
          <w:color w:val="auto"/>
          <w:szCs w:val="24"/>
          <w:shd w:val="clear" w:color="auto" w:fill="FFFFFF"/>
        </w:rPr>
        <w:t>※</w:t>
      </w:r>
      <w:r>
        <w:rPr>
          <w:rFonts w:hint="eastAsia" w:ascii="宋体" w:hAnsi="宋体" w:cs="宋体"/>
          <w:color w:val="auto"/>
          <w:szCs w:val="24"/>
        </w:rPr>
        <w:t>注意：</w:t>
      </w:r>
    </w:p>
    <w:p w14:paraId="0EA13935">
      <w:pPr>
        <w:pStyle w:val="44"/>
        <w:widowControl/>
        <w:rPr>
          <w:rFonts w:hint="eastAsia" w:ascii="宋体" w:hAnsi="宋体" w:cs="宋体"/>
          <w:color w:val="auto"/>
          <w:szCs w:val="24"/>
        </w:rPr>
      </w:pPr>
      <w:r>
        <w:rPr>
          <w:rFonts w:hint="eastAsia" w:ascii="宋体" w:hAnsi="宋体" w:cs="宋体"/>
          <w:color w:val="auto"/>
          <w:szCs w:val="24"/>
        </w:rPr>
        <w:t>1、请供应商根据实际情况如实声明，否则</w:t>
      </w:r>
      <w:r>
        <w:rPr>
          <w:rStyle w:val="52"/>
          <w:rFonts w:hint="eastAsia" w:ascii="宋体" w:hAnsi="宋体" w:cs="宋体"/>
          <w:color w:val="auto"/>
        </w:rPr>
        <w:t>视为提供虚假材料。</w:t>
      </w:r>
    </w:p>
    <w:p w14:paraId="71DD3FCF">
      <w:pPr>
        <w:pStyle w:val="44"/>
        <w:rPr>
          <w:rFonts w:hint="eastAsia" w:ascii="宋体" w:hAnsi="宋体" w:cs="宋体"/>
          <w:color w:val="auto"/>
          <w:szCs w:val="24"/>
        </w:rPr>
      </w:pPr>
    </w:p>
    <w:p w14:paraId="4088CBFF">
      <w:pPr>
        <w:pStyle w:val="44"/>
        <w:rPr>
          <w:rFonts w:hint="eastAsia" w:ascii="宋体" w:hAnsi="宋体" w:cs="宋体"/>
          <w:color w:val="auto"/>
          <w:szCs w:val="24"/>
        </w:rPr>
      </w:pPr>
    </w:p>
    <w:p w14:paraId="305215CC">
      <w:pPr>
        <w:pStyle w:val="44"/>
        <w:rPr>
          <w:rFonts w:hint="eastAsia" w:ascii="宋体" w:hAnsi="宋体" w:cs="宋体"/>
          <w:color w:val="auto"/>
          <w:szCs w:val="24"/>
        </w:rPr>
      </w:pPr>
    </w:p>
    <w:p w14:paraId="3F296904">
      <w:pPr>
        <w:pStyle w:val="44"/>
        <w:rPr>
          <w:rFonts w:hint="eastAsia" w:ascii="宋体" w:hAnsi="宋体" w:cs="宋体"/>
          <w:color w:val="auto"/>
          <w:szCs w:val="24"/>
        </w:rPr>
      </w:pPr>
    </w:p>
    <w:p w14:paraId="718909A9">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05BF7005">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671A338C">
      <w:pPr>
        <w:pStyle w:val="44"/>
        <w:rPr>
          <w:rFonts w:hint="eastAsia" w:ascii="宋体" w:hAnsi="宋体" w:cs="宋体"/>
          <w:color w:val="auto"/>
          <w:szCs w:val="24"/>
        </w:rPr>
      </w:pPr>
      <w:r>
        <w:rPr>
          <w:rFonts w:hint="eastAsia" w:ascii="宋体" w:hAnsi="宋体" w:cs="宋体"/>
          <w:color w:val="auto"/>
          <w:szCs w:val="24"/>
        </w:rPr>
        <w:t>日期：</w:t>
      </w:r>
      <w:r>
        <w:rPr>
          <w:rFonts w:hint="eastAsia" w:ascii="宋体" w:hAnsi="宋体" w:cs="宋体"/>
          <w:color w:val="auto"/>
          <w:szCs w:val="24"/>
          <w:u w:val="single"/>
        </w:rPr>
        <w:t>    </w:t>
      </w:r>
      <w:r>
        <w:rPr>
          <w:rFonts w:hint="eastAsia" w:ascii="宋体" w:hAnsi="宋体" w:cs="宋体"/>
          <w:color w:val="auto"/>
          <w:szCs w:val="24"/>
        </w:rPr>
        <w:t>年</w:t>
      </w:r>
      <w:r>
        <w:rPr>
          <w:rFonts w:hint="eastAsia" w:ascii="宋体" w:hAnsi="宋体" w:cs="宋体"/>
          <w:color w:val="auto"/>
          <w:szCs w:val="24"/>
          <w:u w:val="single"/>
        </w:rPr>
        <w:t>   </w:t>
      </w:r>
      <w:r>
        <w:rPr>
          <w:rFonts w:hint="eastAsia" w:ascii="宋体" w:hAnsi="宋体" w:cs="宋体"/>
          <w:color w:val="auto"/>
          <w:szCs w:val="24"/>
        </w:rPr>
        <w:t>月</w:t>
      </w:r>
      <w:r>
        <w:rPr>
          <w:rFonts w:hint="eastAsia" w:ascii="宋体" w:hAnsi="宋体" w:cs="宋体"/>
          <w:color w:val="auto"/>
          <w:szCs w:val="24"/>
          <w:u w:val="single"/>
        </w:rPr>
        <w:t>   </w:t>
      </w:r>
      <w:r>
        <w:rPr>
          <w:rFonts w:hint="eastAsia" w:ascii="宋体" w:hAnsi="宋体" w:cs="宋体"/>
          <w:color w:val="auto"/>
          <w:szCs w:val="24"/>
        </w:rPr>
        <w:t>日</w:t>
      </w:r>
    </w:p>
    <w:p w14:paraId="0CB06D57">
      <w:pPr>
        <w:tabs>
          <w:tab w:val="left" w:pos="978"/>
        </w:tabs>
        <w:spacing w:line="360" w:lineRule="auto"/>
        <w:outlineLvl w:val="0"/>
        <w:rPr>
          <w:rFonts w:hint="eastAsia" w:ascii="宋体" w:hAnsi="宋体" w:cs="宋体"/>
          <w:b/>
          <w:bCs/>
          <w:color w:val="auto"/>
          <w:szCs w:val="21"/>
        </w:rPr>
      </w:pPr>
    </w:p>
    <w:p w14:paraId="441E8C4B">
      <w:pPr>
        <w:tabs>
          <w:tab w:val="left" w:pos="978"/>
        </w:tabs>
        <w:spacing w:line="360" w:lineRule="auto"/>
        <w:outlineLvl w:val="0"/>
        <w:rPr>
          <w:rFonts w:hint="eastAsia" w:ascii="宋体" w:hAnsi="宋体" w:cs="宋体"/>
          <w:b/>
          <w:bCs/>
          <w:color w:val="auto"/>
          <w:szCs w:val="21"/>
        </w:rPr>
      </w:pPr>
    </w:p>
    <w:p w14:paraId="075B3880">
      <w:pPr>
        <w:tabs>
          <w:tab w:val="left" w:pos="978"/>
        </w:tabs>
        <w:spacing w:line="360" w:lineRule="auto"/>
        <w:outlineLvl w:val="0"/>
        <w:rPr>
          <w:rFonts w:hint="eastAsia" w:ascii="宋体" w:hAnsi="宋体" w:cs="宋体"/>
          <w:b/>
          <w:bCs/>
          <w:color w:val="auto"/>
          <w:szCs w:val="21"/>
        </w:rPr>
      </w:pPr>
    </w:p>
    <w:p w14:paraId="01C8F658">
      <w:pPr>
        <w:tabs>
          <w:tab w:val="left" w:pos="978"/>
        </w:tabs>
        <w:spacing w:line="360" w:lineRule="auto"/>
        <w:outlineLvl w:val="0"/>
        <w:rPr>
          <w:rFonts w:hint="eastAsia" w:ascii="宋体" w:hAnsi="宋体" w:cs="宋体"/>
          <w:b/>
          <w:bCs/>
          <w:color w:val="auto"/>
          <w:szCs w:val="21"/>
        </w:rPr>
      </w:pPr>
    </w:p>
    <w:p w14:paraId="58ED34EC">
      <w:pPr>
        <w:tabs>
          <w:tab w:val="left" w:pos="978"/>
        </w:tabs>
        <w:spacing w:line="360" w:lineRule="auto"/>
        <w:outlineLvl w:val="0"/>
        <w:rPr>
          <w:rFonts w:hint="eastAsia" w:ascii="宋体" w:hAnsi="宋体" w:cs="宋体"/>
          <w:b/>
          <w:bCs/>
          <w:color w:val="auto"/>
          <w:szCs w:val="21"/>
        </w:rPr>
      </w:pPr>
    </w:p>
    <w:p w14:paraId="454B118B">
      <w:pPr>
        <w:tabs>
          <w:tab w:val="left" w:pos="978"/>
        </w:tabs>
        <w:spacing w:line="360" w:lineRule="auto"/>
        <w:outlineLvl w:val="0"/>
        <w:rPr>
          <w:rFonts w:hint="eastAsia" w:ascii="宋体" w:hAnsi="宋体" w:cs="宋体"/>
          <w:b/>
          <w:bCs/>
          <w:color w:val="auto"/>
          <w:szCs w:val="21"/>
        </w:rPr>
      </w:pPr>
    </w:p>
    <w:p w14:paraId="002C6C24">
      <w:pPr>
        <w:tabs>
          <w:tab w:val="left" w:pos="978"/>
        </w:tabs>
        <w:spacing w:line="360" w:lineRule="auto"/>
        <w:outlineLvl w:val="0"/>
        <w:rPr>
          <w:rFonts w:hint="eastAsia" w:ascii="宋体" w:hAnsi="宋体" w:cs="宋体"/>
          <w:b/>
          <w:bCs/>
          <w:color w:val="auto"/>
          <w:szCs w:val="21"/>
        </w:rPr>
      </w:pPr>
    </w:p>
    <w:p w14:paraId="3AF3AD9F">
      <w:pPr>
        <w:tabs>
          <w:tab w:val="left" w:pos="978"/>
        </w:tabs>
        <w:spacing w:line="360" w:lineRule="auto"/>
        <w:outlineLvl w:val="0"/>
        <w:rPr>
          <w:rFonts w:hint="eastAsia" w:ascii="宋体" w:hAnsi="宋体" w:cs="宋体"/>
          <w:b/>
          <w:bCs/>
          <w:color w:val="auto"/>
          <w:szCs w:val="21"/>
        </w:rPr>
      </w:pPr>
    </w:p>
    <w:p w14:paraId="62069472">
      <w:pPr>
        <w:tabs>
          <w:tab w:val="left" w:pos="978"/>
        </w:tabs>
        <w:spacing w:line="360" w:lineRule="auto"/>
        <w:outlineLvl w:val="0"/>
        <w:rPr>
          <w:rFonts w:hint="eastAsia" w:ascii="宋体" w:hAnsi="宋体" w:cs="宋体"/>
          <w:b/>
          <w:bCs/>
          <w:color w:val="auto"/>
          <w:szCs w:val="21"/>
        </w:rPr>
      </w:pPr>
    </w:p>
    <w:p w14:paraId="5D03AAF9">
      <w:pPr>
        <w:tabs>
          <w:tab w:val="left" w:pos="978"/>
        </w:tabs>
        <w:spacing w:line="360" w:lineRule="auto"/>
        <w:outlineLvl w:val="0"/>
        <w:rPr>
          <w:rFonts w:hint="eastAsia" w:ascii="宋体" w:hAnsi="宋体" w:cs="宋体"/>
          <w:b/>
          <w:bCs/>
          <w:color w:val="auto"/>
          <w:szCs w:val="21"/>
        </w:rPr>
      </w:pPr>
    </w:p>
    <w:p w14:paraId="7ED7114B">
      <w:pPr>
        <w:tabs>
          <w:tab w:val="left" w:pos="978"/>
        </w:tabs>
        <w:spacing w:line="360" w:lineRule="auto"/>
        <w:outlineLvl w:val="0"/>
        <w:rPr>
          <w:rFonts w:hint="eastAsia" w:ascii="宋体" w:hAnsi="宋体" w:cs="宋体"/>
          <w:b/>
          <w:bCs/>
          <w:color w:val="auto"/>
          <w:szCs w:val="21"/>
        </w:rPr>
      </w:pPr>
    </w:p>
    <w:p w14:paraId="1B29759C">
      <w:pPr>
        <w:tabs>
          <w:tab w:val="left" w:pos="978"/>
        </w:tabs>
        <w:spacing w:line="360" w:lineRule="auto"/>
        <w:outlineLvl w:val="0"/>
        <w:rPr>
          <w:rFonts w:hint="eastAsia" w:ascii="宋体" w:hAnsi="宋体" w:cs="宋体"/>
          <w:b/>
          <w:bCs/>
          <w:color w:val="auto"/>
          <w:szCs w:val="21"/>
        </w:rPr>
      </w:pPr>
    </w:p>
    <w:p w14:paraId="3BC0B05D">
      <w:pPr>
        <w:tabs>
          <w:tab w:val="left" w:pos="978"/>
        </w:tabs>
        <w:spacing w:line="360" w:lineRule="auto"/>
        <w:outlineLvl w:val="0"/>
        <w:rPr>
          <w:rFonts w:hint="eastAsia" w:ascii="宋体" w:hAnsi="宋体" w:cs="宋体"/>
          <w:b/>
          <w:bCs/>
          <w:color w:val="auto"/>
          <w:szCs w:val="21"/>
        </w:rPr>
      </w:pPr>
    </w:p>
    <w:p w14:paraId="452718B0">
      <w:pPr>
        <w:tabs>
          <w:tab w:val="left" w:pos="978"/>
        </w:tabs>
        <w:spacing w:line="360" w:lineRule="auto"/>
        <w:outlineLvl w:val="0"/>
        <w:rPr>
          <w:rFonts w:hint="eastAsia" w:ascii="宋体" w:hAnsi="宋体" w:cs="宋体"/>
          <w:b/>
          <w:bCs/>
          <w:color w:val="auto"/>
          <w:szCs w:val="21"/>
        </w:rPr>
      </w:pPr>
    </w:p>
    <w:p w14:paraId="1179981F">
      <w:pPr>
        <w:tabs>
          <w:tab w:val="left" w:pos="978"/>
        </w:tabs>
        <w:spacing w:line="360" w:lineRule="auto"/>
        <w:outlineLvl w:val="0"/>
        <w:rPr>
          <w:rFonts w:hint="eastAsia" w:ascii="宋体" w:hAnsi="宋体" w:cs="宋体"/>
          <w:b/>
          <w:bCs/>
          <w:color w:val="auto"/>
          <w:szCs w:val="21"/>
        </w:rPr>
      </w:pPr>
    </w:p>
    <w:p w14:paraId="526AB878">
      <w:pPr>
        <w:tabs>
          <w:tab w:val="left" w:pos="978"/>
        </w:tabs>
        <w:spacing w:line="360" w:lineRule="auto"/>
        <w:outlineLvl w:val="0"/>
        <w:rPr>
          <w:rFonts w:hint="eastAsia" w:ascii="宋体" w:hAnsi="宋体" w:cs="宋体"/>
          <w:b/>
          <w:bCs/>
          <w:color w:val="auto"/>
          <w:szCs w:val="21"/>
        </w:rPr>
      </w:pPr>
    </w:p>
    <w:p w14:paraId="3777E219">
      <w:pPr>
        <w:tabs>
          <w:tab w:val="left" w:pos="978"/>
        </w:tabs>
        <w:spacing w:line="360" w:lineRule="auto"/>
        <w:outlineLvl w:val="0"/>
        <w:rPr>
          <w:rFonts w:hint="eastAsia" w:ascii="宋体" w:hAnsi="宋体" w:cs="宋体"/>
          <w:b/>
          <w:bCs/>
          <w:color w:val="auto"/>
          <w:szCs w:val="21"/>
        </w:rPr>
      </w:pPr>
    </w:p>
    <w:p w14:paraId="1E100386">
      <w:pPr>
        <w:spacing w:line="240" w:lineRule="auto"/>
        <w:outlineLvl w:val="9"/>
        <w:rPr>
          <w:rFonts w:hint="eastAsia" w:ascii="宋体" w:hAnsi="宋体" w:cs="宋体"/>
          <w:b/>
          <w:bCs/>
          <w:color w:val="auto"/>
          <w:szCs w:val="21"/>
        </w:rPr>
      </w:pPr>
      <w:r>
        <w:rPr>
          <w:rFonts w:hint="eastAsia" w:ascii="宋体" w:hAnsi="宋体" w:cs="宋体"/>
          <w:b/>
          <w:bCs/>
          <w:color w:val="auto"/>
          <w:szCs w:val="21"/>
        </w:rPr>
        <w:br w:type="page"/>
      </w:r>
    </w:p>
    <w:p w14:paraId="666E9B17">
      <w:pPr>
        <w:tabs>
          <w:tab w:val="left" w:pos="978"/>
        </w:tabs>
        <w:spacing w:line="360" w:lineRule="auto"/>
        <w:outlineLvl w:val="0"/>
        <w:rPr>
          <w:rFonts w:hint="eastAsia" w:ascii="宋体" w:hAnsi="宋体" w:cs="宋体"/>
          <w:b/>
          <w:color w:val="auto"/>
          <w:sz w:val="28"/>
          <w:szCs w:val="28"/>
        </w:rPr>
      </w:pPr>
      <w:r>
        <w:rPr>
          <w:rFonts w:hint="eastAsia" w:ascii="宋体" w:hAnsi="宋体" w:cs="宋体"/>
          <w:b/>
          <w:bCs/>
          <w:color w:val="auto"/>
          <w:szCs w:val="21"/>
        </w:rPr>
        <w:t>附件</w:t>
      </w:r>
      <w:r>
        <w:rPr>
          <w:rFonts w:hint="eastAsia" w:ascii="宋体" w:hAnsi="宋体" w:cs="宋体"/>
          <w:b/>
          <w:bCs/>
          <w:color w:val="auto"/>
          <w:szCs w:val="21"/>
          <w:lang w:val="en-US" w:eastAsia="zh-CN"/>
        </w:rPr>
        <w:t>9</w:t>
      </w:r>
      <w:r>
        <w:rPr>
          <w:rFonts w:hint="eastAsia" w:ascii="宋体" w:hAnsi="宋体" w:cs="宋体"/>
          <w:b/>
          <w:color w:val="auto"/>
          <w:sz w:val="24"/>
          <w:szCs w:val="24"/>
        </w:rPr>
        <w:t xml:space="preserve">                  </w:t>
      </w:r>
      <w:r>
        <w:rPr>
          <w:rFonts w:hint="eastAsia" w:ascii="宋体" w:hAnsi="宋体" w:cs="宋体"/>
          <w:b/>
          <w:color w:val="auto"/>
          <w:sz w:val="32"/>
          <w:szCs w:val="32"/>
        </w:rPr>
        <w:t xml:space="preserve"> 磋商保证金提交说明函</w:t>
      </w:r>
      <w:bookmarkEnd w:id="229"/>
      <w:bookmarkEnd w:id="230"/>
      <w:bookmarkEnd w:id="231"/>
    </w:p>
    <w:p w14:paraId="305B2C26">
      <w:pPr>
        <w:tabs>
          <w:tab w:val="left" w:pos="978"/>
        </w:tabs>
        <w:spacing w:line="360" w:lineRule="auto"/>
        <w:rPr>
          <w:rFonts w:hint="eastAsia" w:ascii="宋体" w:hAnsi="宋体" w:cs="宋体"/>
          <w:color w:val="auto"/>
          <w:sz w:val="24"/>
        </w:rPr>
      </w:pPr>
    </w:p>
    <w:p w14:paraId="7075E303">
      <w:pPr>
        <w:tabs>
          <w:tab w:val="left" w:pos="978"/>
        </w:tabs>
        <w:spacing w:line="360" w:lineRule="auto"/>
        <w:rPr>
          <w:rFonts w:hint="eastAsia" w:ascii="宋体" w:hAnsi="宋体" w:cs="宋体"/>
          <w:color w:val="auto"/>
          <w:sz w:val="24"/>
        </w:rPr>
      </w:pPr>
      <w:r>
        <w:rPr>
          <w:rFonts w:hint="eastAsia" w:ascii="宋体" w:hAnsi="宋体" w:cs="宋体"/>
          <w:color w:val="auto"/>
          <w:sz w:val="24"/>
        </w:rPr>
        <w:t>致： 福建优胜招标项目管理集团有限公司</w:t>
      </w:r>
    </w:p>
    <w:p w14:paraId="6F01D059">
      <w:pPr>
        <w:tabs>
          <w:tab w:val="left" w:pos="978"/>
        </w:tabs>
        <w:spacing w:line="360" w:lineRule="auto"/>
        <w:rPr>
          <w:rFonts w:hint="eastAsia" w:ascii="宋体" w:hAnsi="宋体" w:cs="宋体"/>
          <w:color w:val="auto"/>
          <w:sz w:val="24"/>
        </w:rPr>
      </w:pPr>
      <w:r>
        <w:rPr>
          <w:rFonts w:hint="eastAsia" w:ascii="宋体" w:hAnsi="宋体" w:cs="宋体"/>
          <w:b/>
          <w:color w:val="auto"/>
          <w:sz w:val="24"/>
        </w:rPr>
        <w:t xml:space="preserve">    </w:t>
      </w:r>
      <w:r>
        <w:rPr>
          <w:rFonts w:hint="eastAsia" w:ascii="宋体" w:hAnsi="宋体" w:cs="宋体"/>
          <w:color w:val="auto"/>
          <w:sz w:val="24"/>
        </w:rPr>
        <w:t xml:space="preserve"> 根据我方参与贵方组织的“</w:t>
      </w:r>
      <w:r>
        <w:rPr>
          <w:rFonts w:hint="eastAsia" w:ascii="宋体" w:hAnsi="宋体" w:cs="宋体"/>
          <w:color w:val="auto"/>
          <w:sz w:val="24"/>
          <w:u w:val="single"/>
        </w:rPr>
        <w:t xml:space="preserve">  项目名称   </w:t>
      </w:r>
      <w:r>
        <w:rPr>
          <w:rFonts w:hint="eastAsia" w:ascii="宋体" w:hAnsi="宋体" w:cs="宋体"/>
          <w:color w:val="auto"/>
          <w:sz w:val="24"/>
        </w:rPr>
        <w:t>”（项目编号：</w:t>
      </w:r>
      <w:r>
        <w:rPr>
          <w:rFonts w:hint="eastAsia" w:ascii="宋体" w:hAnsi="宋体" w:cs="宋体"/>
          <w:color w:val="auto"/>
          <w:sz w:val="24"/>
          <w:u w:val="single"/>
        </w:rPr>
        <w:t xml:space="preserve">       </w:t>
      </w:r>
      <w:r>
        <w:rPr>
          <w:rFonts w:hint="eastAsia" w:ascii="宋体" w:hAnsi="宋体" w:cs="宋体"/>
          <w:color w:val="auto"/>
          <w:sz w:val="24"/>
        </w:rPr>
        <w:t>）项目的竞争性磋商文件要求，我司向贵方账户</w:t>
      </w:r>
      <w:r>
        <w:rPr>
          <w:rFonts w:hint="eastAsia" w:ascii="宋体" w:hAnsi="宋体" w:cs="宋体"/>
          <w:color w:val="auto"/>
          <w:sz w:val="24"/>
          <w:u w:val="single"/>
        </w:rPr>
        <w:t>汇入（转入）</w:t>
      </w:r>
      <w:r>
        <w:rPr>
          <w:rFonts w:hint="eastAsia" w:ascii="宋体" w:hAnsi="宋体" w:cs="宋体"/>
          <w:color w:val="auto"/>
          <w:sz w:val="24"/>
        </w:rPr>
        <w:t>以下金额款项作为我方的磋商保证金。并附上</w:t>
      </w:r>
      <w:r>
        <w:rPr>
          <w:rFonts w:hint="eastAsia" w:ascii="宋体" w:hAnsi="宋体" w:cs="宋体"/>
          <w:color w:val="auto"/>
          <w:sz w:val="24"/>
          <w:u w:val="single"/>
        </w:rPr>
        <w:t>转账凭证（电汇凭证）</w:t>
      </w:r>
      <w:r>
        <w:rPr>
          <w:rFonts w:hint="eastAsia" w:ascii="宋体" w:hAnsi="宋体" w:cs="宋体"/>
          <w:color w:val="auto"/>
          <w:sz w:val="24"/>
        </w:rPr>
        <w:t>；</w:t>
      </w:r>
    </w:p>
    <w:p w14:paraId="52441F57">
      <w:pPr>
        <w:tabs>
          <w:tab w:val="left" w:pos="978"/>
        </w:tabs>
        <w:spacing w:line="360" w:lineRule="auto"/>
        <w:rPr>
          <w:rFonts w:hint="eastAsia" w:ascii="宋体" w:hAnsi="宋体" w:cs="宋体"/>
          <w:b/>
          <w:color w:val="auto"/>
          <w:sz w:val="24"/>
        </w:rPr>
      </w:pPr>
      <w:r>
        <w:rPr>
          <w:rFonts w:hint="eastAsia" w:ascii="宋体" w:hAnsi="宋体" w:cs="宋体"/>
          <w:b/>
          <w:color w:val="auto"/>
          <w:sz w:val="24"/>
        </w:rPr>
        <w:t xml:space="preserve">     </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3726"/>
        <w:gridCol w:w="3743"/>
      </w:tblGrid>
      <w:tr w14:paraId="453F8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060" w:type="dxa"/>
            <w:noWrap w:val="0"/>
            <w:vAlign w:val="center"/>
          </w:tcPr>
          <w:p w14:paraId="17FF106B">
            <w:pPr>
              <w:keepNext w:val="0"/>
              <w:keepLines w:val="0"/>
              <w:suppressLineNumbers w:val="0"/>
              <w:tabs>
                <w:tab w:val="left" w:pos="978"/>
              </w:tabs>
              <w:spacing w:before="0" w:beforeAutospacing="0" w:after="0" w:afterAutospacing="0"/>
              <w:ind w:left="0" w:right="0"/>
              <w:jc w:val="center"/>
              <w:rPr>
                <w:rFonts w:hint="eastAsia" w:ascii="宋体" w:hAnsi="宋体" w:cs="宋体"/>
                <w:b/>
                <w:color w:val="auto"/>
                <w:sz w:val="24"/>
                <w:szCs w:val="20"/>
              </w:rPr>
            </w:pPr>
            <w:r>
              <w:rPr>
                <w:rFonts w:hint="eastAsia" w:ascii="宋体" w:hAnsi="宋体" w:cs="宋体"/>
                <w:b/>
                <w:color w:val="auto"/>
                <w:sz w:val="24"/>
                <w:szCs w:val="20"/>
              </w:rPr>
              <w:t>序号</w:t>
            </w:r>
          </w:p>
        </w:tc>
        <w:tc>
          <w:tcPr>
            <w:tcW w:w="3726" w:type="dxa"/>
            <w:noWrap w:val="0"/>
            <w:vAlign w:val="center"/>
          </w:tcPr>
          <w:p w14:paraId="748218EA">
            <w:pPr>
              <w:keepNext w:val="0"/>
              <w:keepLines w:val="0"/>
              <w:suppressLineNumbers w:val="0"/>
              <w:tabs>
                <w:tab w:val="left" w:pos="978"/>
              </w:tabs>
              <w:spacing w:before="0" w:beforeAutospacing="0" w:after="0" w:afterAutospacing="0"/>
              <w:ind w:left="0" w:right="0"/>
              <w:jc w:val="center"/>
              <w:rPr>
                <w:rFonts w:hint="eastAsia" w:ascii="宋体" w:hAnsi="宋体" w:cs="宋体"/>
                <w:b/>
                <w:color w:val="auto"/>
                <w:sz w:val="24"/>
                <w:szCs w:val="20"/>
              </w:rPr>
            </w:pPr>
            <w:r>
              <w:rPr>
                <w:rFonts w:hint="eastAsia" w:ascii="宋体" w:hAnsi="宋体" w:cs="宋体"/>
                <w:b/>
                <w:color w:val="auto"/>
                <w:sz w:val="24"/>
                <w:szCs w:val="20"/>
              </w:rPr>
              <w:t>所投合同包</w:t>
            </w:r>
          </w:p>
        </w:tc>
        <w:tc>
          <w:tcPr>
            <w:tcW w:w="3743" w:type="dxa"/>
            <w:noWrap w:val="0"/>
            <w:vAlign w:val="center"/>
          </w:tcPr>
          <w:p w14:paraId="2C4786A4">
            <w:pPr>
              <w:keepNext w:val="0"/>
              <w:keepLines w:val="0"/>
              <w:suppressLineNumbers w:val="0"/>
              <w:tabs>
                <w:tab w:val="left" w:pos="978"/>
              </w:tabs>
              <w:spacing w:before="0" w:beforeAutospacing="0" w:after="0" w:afterAutospacing="0"/>
              <w:ind w:left="0" w:right="0"/>
              <w:jc w:val="center"/>
              <w:rPr>
                <w:rFonts w:hint="eastAsia" w:ascii="宋体" w:hAnsi="宋体" w:cs="宋体"/>
                <w:b/>
                <w:color w:val="auto"/>
                <w:sz w:val="24"/>
                <w:szCs w:val="20"/>
              </w:rPr>
            </w:pPr>
            <w:r>
              <w:rPr>
                <w:rFonts w:hint="eastAsia" w:ascii="宋体" w:hAnsi="宋体" w:cs="宋体"/>
                <w:b/>
                <w:color w:val="auto"/>
                <w:sz w:val="24"/>
                <w:szCs w:val="20"/>
              </w:rPr>
              <w:t>提交磋商保证金金额（元）</w:t>
            </w:r>
          </w:p>
        </w:tc>
      </w:tr>
      <w:tr w14:paraId="16D0D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060" w:type="dxa"/>
            <w:noWrap w:val="0"/>
            <w:vAlign w:val="center"/>
          </w:tcPr>
          <w:p w14:paraId="4832501C">
            <w:pPr>
              <w:keepNext w:val="0"/>
              <w:keepLines w:val="0"/>
              <w:suppressLineNumbers w:val="0"/>
              <w:tabs>
                <w:tab w:val="left" w:pos="978"/>
              </w:tabs>
              <w:spacing w:before="0" w:beforeAutospacing="0" w:after="0" w:afterAutospacing="0"/>
              <w:ind w:left="0" w:right="0"/>
              <w:jc w:val="center"/>
              <w:rPr>
                <w:rFonts w:hint="eastAsia" w:ascii="宋体" w:hAnsi="宋体" w:cs="宋体"/>
                <w:color w:val="auto"/>
                <w:sz w:val="24"/>
                <w:szCs w:val="20"/>
              </w:rPr>
            </w:pPr>
            <w:r>
              <w:rPr>
                <w:rFonts w:hint="eastAsia" w:ascii="宋体" w:hAnsi="宋体" w:cs="宋体"/>
                <w:color w:val="auto"/>
                <w:sz w:val="24"/>
                <w:szCs w:val="20"/>
              </w:rPr>
              <w:t>1</w:t>
            </w:r>
          </w:p>
        </w:tc>
        <w:tc>
          <w:tcPr>
            <w:tcW w:w="3726" w:type="dxa"/>
            <w:noWrap w:val="0"/>
            <w:vAlign w:val="center"/>
          </w:tcPr>
          <w:p w14:paraId="3E058B21">
            <w:pPr>
              <w:keepNext w:val="0"/>
              <w:keepLines w:val="0"/>
              <w:suppressLineNumbers w:val="0"/>
              <w:tabs>
                <w:tab w:val="left" w:pos="978"/>
              </w:tabs>
              <w:spacing w:before="0" w:beforeAutospacing="0" w:after="0" w:afterAutospacing="0"/>
              <w:ind w:left="0" w:right="0"/>
              <w:jc w:val="center"/>
              <w:rPr>
                <w:rFonts w:hint="eastAsia" w:ascii="宋体" w:hAnsi="宋体" w:cs="宋体"/>
                <w:color w:val="auto"/>
                <w:sz w:val="24"/>
                <w:szCs w:val="20"/>
              </w:rPr>
            </w:pPr>
            <w:r>
              <w:rPr>
                <w:rFonts w:hint="eastAsia" w:ascii="宋体" w:hAnsi="宋体" w:cs="宋体"/>
                <w:color w:val="auto"/>
                <w:sz w:val="24"/>
                <w:szCs w:val="20"/>
              </w:rPr>
              <w:t>一</w:t>
            </w:r>
          </w:p>
        </w:tc>
        <w:tc>
          <w:tcPr>
            <w:tcW w:w="3743" w:type="dxa"/>
            <w:noWrap w:val="0"/>
            <w:vAlign w:val="center"/>
          </w:tcPr>
          <w:p w14:paraId="34A6CFA0">
            <w:pPr>
              <w:keepNext w:val="0"/>
              <w:keepLines w:val="0"/>
              <w:suppressLineNumbers w:val="0"/>
              <w:tabs>
                <w:tab w:val="left" w:pos="978"/>
              </w:tabs>
              <w:spacing w:before="0" w:beforeAutospacing="0" w:after="0" w:afterAutospacing="0"/>
              <w:ind w:left="0" w:right="0"/>
              <w:jc w:val="center"/>
              <w:rPr>
                <w:rFonts w:hint="eastAsia" w:ascii="宋体" w:hAnsi="宋体" w:cs="宋体"/>
                <w:color w:val="auto"/>
                <w:sz w:val="24"/>
                <w:szCs w:val="20"/>
              </w:rPr>
            </w:pPr>
          </w:p>
        </w:tc>
      </w:tr>
      <w:tr w14:paraId="4AC11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4786" w:type="dxa"/>
            <w:gridSpan w:val="2"/>
            <w:noWrap w:val="0"/>
            <w:vAlign w:val="center"/>
          </w:tcPr>
          <w:p w14:paraId="2EBFDBBD">
            <w:pPr>
              <w:keepNext w:val="0"/>
              <w:keepLines w:val="0"/>
              <w:suppressLineNumbers w:val="0"/>
              <w:tabs>
                <w:tab w:val="left" w:pos="978"/>
              </w:tabs>
              <w:spacing w:before="0" w:beforeAutospacing="0" w:after="0" w:afterAutospacing="0"/>
              <w:ind w:left="0" w:right="0"/>
              <w:jc w:val="center"/>
              <w:rPr>
                <w:rFonts w:hint="eastAsia" w:ascii="宋体" w:hAnsi="宋体" w:cs="宋体"/>
                <w:color w:val="auto"/>
                <w:sz w:val="24"/>
                <w:szCs w:val="20"/>
              </w:rPr>
            </w:pPr>
            <w:r>
              <w:rPr>
                <w:rFonts w:hint="eastAsia" w:ascii="宋体" w:hAnsi="宋体" w:cs="宋体"/>
                <w:color w:val="auto"/>
                <w:sz w:val="24"/>
                <w:szCs w:val="20"/>
              </w:rPr>
              <w:t>合计</w:t>
            </w:r>
          </w:p>
        </w:tc>
        <w:tc>
          <w:tcPr>
            <w:tcW w:w="3743" w:type="dxa"/>
            <w:noWrap w:val="0"/>
            <w:vAlign w:val="center"/>
          </w:tcPr>
          <w:p w14:paraId="3F792CAE">
            <w:pPr>
              <w:keepNext w:val="0"/>
              <w:keepLines w:val="0"/>
              <w:suppressLineNumbers w:val="0"/>
              <w:tabs>
                <w:tab w:val="left" w:pos="978"/>
              </w:tabs>
              <w:spacing w:before="0" w:beforeAutospacing="0" w:after="0" w:afterAutospacing="0"/>
              <w:ind w:left="0" w:right="0"/>
              <w:jc w:val="center"/>
              <w:rPr>
                <w:rFonts w:hint="eastAsia" w:ascii="宋体" w:hAnsi="宋体" w:cs="宋体"/>
                <w:color w:val="auto"/>
                <w:sz w:val="24"/>
                <w:szCs w:val="20"/>
              </w:rPr>
            </w:pPr>
          </w:p>
        </w:tc>
      </w:tr>
      <w:tr w14:paraId="688E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9" w:hRule="atLeast"/>
        </w:trPr>
        <w:tc>
          <w:tcPr>
            <w:tcW w:w="8529" w:type="dxa"/>
            <w:gridSpan w:val="3"/>
            <w:noWrap w:val="0"/>
            <w:vAlign w:val="center"/>
          </w:tcPr>
          <w:p w14:paraId="70177DB4">
            <w:pPr>
              <w:keepNext w:val="0"/>
              <w:keepLines w:val="0"/>
              <w:suppressLineNumbers w:val="0"/>
              <w:tabs>
                <w:tab w:val="left" w:pos="978"/>
              </w:tabs>
              <w:spacing w:before="0" w:beforeAutospacing="0" w:after="0" w:afterAutospacing="0" w:line="360" w:lineRule="auto"/>
              <w:ind w:left="0" w:right="0"/>
              <w:jc w:val="center"/>
              <w:rPr>
                <w:rFonts w:hint="eastAsia" w:ascii="宋体" w:hAnsi="宋体" w:cs="宋体"/>
                <w:color w:val="auto"/>
                <w:sz w:val="24"/>
                <w:szCs w:val="20"/>
              </w:rPr>
            </w:pPr>
            <w:r>
              <w:rPr>
                <w:rFonts w:hint="eastAsia" w:ascii="宋体" w:hAnsi="宋体" w:cs="宋体"/>
                <w:color w:val="auto"/>
                <w:sz w:val="24"/>
                <w:szCs w:val="20"/>
              </w:rPr>
              <w:t>磋商保证金凭证复印件粘贴处</w:t>
            </w:r>
          </w:p>
        </w:tc>
      </w:tr>
    </w:tbl>
    <w:p w14:paraId="46B8DDEC">
      <w:pPr>
        <w:tabs>
          <w:tab w:val="left" w:pos="978"/>
        </w:tabs>
        <w:spacing w:line="360" w:lineRule="auto"/>
        <w:rPr>
          <w:rFonts w:hint="eastAsia" w:ascii="宋体" w:hAnsi="宋体" w:cs="宋体"/>
          <w:b/>
          <w:color w:val="auto"/>
          <w:sz w:val="24"/>
          <w:szCs w:val="24"/>
          <w:u w:val="single"/>
        </w:rPr>
      </w:pPr>
    </w:p>
    <w:p w14:paraId="2B077496">
      <w:pPr>
        <w:tabs>
          <w:tab w:val="left" w:pos="978"/>
        </w:tabs>
        <w:spacing w:line="360" w:lineRule="auto"/>
        <w:rPr>
          <w:rFonts w:hint="eastAsia" w:ascii="宋体" w:hAnsi="宋体" w:cs="宋体"/>
          <w:color w:val="auto"/>
          <w:sz w:val="24"/>
          <w:szCs w:val="24"/>
        </w:rPr>
      </w:pPr>
    </w:p>
    <w:p w14:paraId="2950E5FD">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6350B58E">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7B52BEB1">
      <w:pPr>
        <w:spacing w:line="360" w:lineRule="auto"/>
        <w:rPr>
          <w:rFonts w:hint="eastAsia" w:ascii="宋体" w:hAnsi="宋体" w:cs="宋体"/>
          <w:color w:val="auto"/>
          <w:sz w:val="24"/>
          <w:u w:val="single"/>
        </w:rPr>
      </w:pPr>
      <w:r>
        <w:rPr>
          <w:rFonts w:hint="eastAsia" w:ascii="宋体" w:hAnsi="宋体" w:cs="宋体"/>
          <w:color w:val="auto"/>
          <w:sz w:val="24"/>
          <w:szCs w:val="24"/>
        </w:rPr>
        <w:t>日期：</w:t>
      </w:r>
      <w:r>
        <w:rPr>
          <w:rFonts w:hint="eastAsia" w:ascii="宋体" w:hAnsi="宋体" w:cs="宋体"/>
          <w:color w:val="auto"/>
          <w:sz w:val="24"/>
          <w:szCs w:val="24"/>
          <w:u w:val="single"/>
        </w:rPr>
        <w:t>    </w:t>
      </w:r>
      <w:r>
        <w:rPr>
          <w:rFonts w:hint="eastAsia" w:ascii="宋体" w:hAnsi="宋体" w:cs="宋体"/>
          <w:color w:val="auto"/>
          <w:sz w:val="24"/>
          <w:szCs w:val="24"/>
        </w:rPr>
        <w:t>年</w:t>
      </w:r>
      <w:r>
        <w:rPr>
          <w:rFonts w:hint="eastAsia" w:ascii="宋体" w:hAnsi="宋体" w:cs="宋体"/>
          <w:color w:val="auto"/>
          <w:sz w:val="24"/>
          <w:szCs w:val="24"/>
          <w:u w:val="single"/>
        </w:rPr>
        <w:t>   </w:t>
      </w:r>
      <w:r>
        <w:rPr>
          <w:rFonts w:hint="eastAsia" w:ascii="宋体" w:hAnsi="宋体" w:cs="宋体"/>
          <w:color w:val="auto"/>
          <w:sz w:val="24"/>
          <w:szCs w:val="24"/>
        </w:rPr>
        <w:t>月</w:t>
      </w:r>
      <w:r>
        <w:rPr>
          <w:rFonts w:hint="eastAsia" w:ascii="宋体" w:hAnsi="宋体" w:cs="宋体"/>
          <w:color w:val="auto"/>
          <w:sz w:val="24"/>
          <w:szCs w:val="24"/>
          <w:u w:val="single"/>
        </w:rPr>
        <w:t>   </w:t>
      </w:r>
      <w:r>
        <w:rPr>
          <w:rFonts w:hint="eastAsia" w:ascii="宋体" w:hAnsi="宋体" w:cs="宋体"/>
          <w:color w:val="auto"/>
          <w:sz w:val="24"/>
          <w:szCs w:val="24"/>
        </w:rPr>
        <w:t>日</w:t>
      </w:r>
      <w:r>
        <w:rPr>
          <w:rFonts w:hint="eastAsia" w:ascii="宋体" w:hAnsi="宋体" w:cs="宋体"/>
          <w:color w:val="auto"/>
          <w:sz w:val="24"/>
          <w:szCs w:val="24"/>
          <w:u w:val="single"/>
        </w:rPr>
        <w:t xml:space="preserve">    </w:t>
      </w:r>
      <w:r>
        <w:rPr>
          <w:rFonts w:hint="eastAsia" w:ascii="宋体" w:hAnsi="宋体" w:cs="宋体"/>
          <w:color w:val="auto"/>
          <w:sz w:val="24"/>
          <w:u w:val="single"/>
        </w:rPr>
        <w:t xml:space="preserve">                        </w:t>
      </w:r>
    </w:p>
    <w:p w14:paraId="2DD5BEDC">
      <w:pPr>
        <w:spacing w:line="360" w:lineRule="auto"/>
        <w:rPr>
          <w:rFonts w:hint="eastAsia" w:ascii="宋体" w:hAnsi="宋体" w:cs="宋体"/>
          <w:color w:val="auto"/>
          <w:sz w:val="24"/>
          <w:u w:val="single"/>
        </w:rPr>
      </w:pPr>
    </w:p>
    <w:p w14:paraId="75FFD400">
      <w:pPr>
        <w:spacing w:line="360" w:lineRule="auto"/>
        <w:ind w:right="1920"/>
        <w:jc w:val="left"/>
        <w:outlineLvl w:val="0"/>
        <w:rPr>
          <w:rFonts w:hint="eastAsia" w:ascii="宋体" w:hAnsi="宋体" w:cs="宋体"/>
          <w:color w:val="auto"/>
          <w:sz w:val="24"/>
        </w:rPr>
      </w:pPr>
      <w:r>
        <w:rPr>
          <w:rFonts w:hint="eastAsia" w:ascii="宋体" w:hAnsi="宋体" w:cs="宋体"/>
          <w:color w:val="auto"/>
          <w:sz w:val="24"/>
          <w:u w:val="single"/>
        </w:rPr>
        <w:br w:type="page"/>
      </w:r>
      <w:bookmarkStart w:id="232" w:name="_Toc7122"/>
      <w:r>
        <w:rPr>
          <w:rFonts w:hint="eastAsia" w:ascii="宋体" w:hAnsi="宋体" w:cs="宋体"/>
          <w:b/>
          <w:bCs/>
          <w:color w:val="auto"/>
          <w:szCs w:val="21"/>
        </w:rPr>
        <w:t>附件</w:t>
      </w:r>
      <w:bookmarkEnd w:id="232"/>
      <w:r>
        <w:rPr>
          <w:rFonts w:hint="eastAsia" w:ascii="宋体" w:hAnsi="宋体" w:cs="宋体"/>
          <w:b/>
          <w:bCs/>
          <w:color w:val="auto"/>
          <w:szCs w:val="21"/>
          <w:lang w:val="en-US" w:eastAsia="zh-CN"/>
        </w:rPr>
        <w:t>10</w:t>
      </w:r>
      <w:r>
        <w:rPr>
          <w:rFonts w:hint="eastAsia" w:ascii="宋体" w:hAnsi="宋体" w:cs="宋体"/>
          <w:b/>
          <w:bCs/>
          <w:color w:val="auto"/>
          <w:szCs w:val="21"/>
        </w:rPr>
        <w:t xml:space="preserve"> </w:t>
      </w:r>
    </w:p>
    <w:p w14:paraId="437B6E6F">
      <w:pPr>
        <w:spacing w:line="360" w:lineRule="auto"/>
        <w:jc w:val="center"/>
        <w:rPr>
          <w:rFonts w:hint="eastAsia" w:ascii="宋体" w:hAnsi="宋体" w:cs="宋体"/>
          <w:b/>
          <w:color w:val="auto"/>
          <w:sz w:val="32"/>
          <w:szCs w:val="32"/>
        </w:rPr>
      </w:pPr>
      <w:bookmarkStart w:id="233" w:name="_Toc32092_WPSOffice_Level2"/>
      <w:bookmarkStart w:id="234" w:name="_Toc5674_WPSOffice_Level2"/>
      <w:r>
        <w:rPr>
          <w:rFonts w:hint="eastAsia" w:ascii="宋体" w:hAnsi="宋体" w:cs="宋体"/>
          <w:b/>
          <w:color w:val="auto"/>
          <w:sz w:val="32"/>
          <w:szCs w:val="32"/>
        </w:rPr>
        <w:t>退还磋商保证金申请函</w:t>
      </w:r>
      <w:bookmarkEnd w:id="233"/>
      <w:bookmarkEnd w:id="234"/>
    </w:p>
    <w:p w14:paraId="535340AA">
      <w:pPr>
        <w:tabs>
          <w:tab w:val="left" w:pos="978"/>
        </w:tabs>
        <w:spacing w:line="360" w:lineRule="auto"/>
        <w:rPr>
          <w:rFonts w:hint="eastAsia" w:ascii="宋体" w:hAnsi="宋体" w:cs="宋体"/>
          <w:color w:val="auto"/>
          <w:sz w:val="24"/>
        </w:rPr>
      </w:pPr>
    </w:p>
    <w:p w14:paraId="4FFFD060">
      <w:pPr>
        <w:tabs>
          <w:tab w:val="left" w:pos="978"/>
        </w:tabs>
        <w:spacing w:line="360" w:lineRule="auto"/>
        <w:rPr>
          <w:rFonts w:hint="eastAsia" w:ascii="宋体" w:hAnsi="宋体" w:cs="宋体"/>
          <w:color w:val="auto"/>
          <w:sz w:val="24"/>
        </w:rPr>
      </w:pPr>
      <w:r>
        <w:rPr>
          <w:rFonts w:hint="eastAsia" w:ascii="宋体" w:hAnsi="宋体" w:cs="宋体"/>
          <w:color w:val="auto"/>
          <w:sz w:val="24"/>
        </w:rPr>
        <w:t>致：福建优胜招标项目管理集团有限公司</w:t>
      </w:r>
    </w:p>
    <w:p w14:paraId="08356988">
      <w:pPr>
        <w:tabs>
          <w:tab w:val="left" w:pos="978"/>
        </w:tabs>
        <w:spacing w:line="360" w:lineRule="auto"/>
        <w:rPr>
          <w:rFonts w:hint="eastAsia" w:ascii="宋体" w:hAnsi="宋体" w:cs="宋体"/>
          <w:color w:val="auto"/>
          <w:sz w:val="24"/>
        </w:rPr>
      </w:pPr>
      <w:r>
        <w:rPr>
          <w:rFonts w:hint="eastAsia" w:ascii="宋体" w:hAnsi="宋体" w:cs="宋体"/>
          <w:b/>
          <w:color w:val="auto"/>
          <w:sz w:val="24"/>
        </w:rPr>
        <w:t xml:space="preserve">    </w:t>
      </w:r>
      <w:r>
        <w:rPr>
          <w:rFonts w:hint="eastAsia" w:ascii="宋体" w:hAnsi="宋体" w:cs="宋体"/>
          <w:color w:val="auto"/>
          <w:sz w:val="24"/>
        </w:rPr>
        <w:t>我方参与贵方组织的“</w:t>
      </w:r>
      <w:r>
        <w:rPr>
          <w:rFonts w:hint="eastAsia" w:ascii="宋体" w:hAnsi="宋体" w:cs="宋体"/>
          <w:color w:val="auto"/>
          <w:sz w:val="24"/>
          <w:u w:val="single"/>
        </w:rPr>
        <w:t xml:space="preserve">       项目名称     </w:t>
      </w:r>
      <w:r>
        <w:rPr>
          <w:rFonts w:hint="eastAsia" w:ascii="宋体" w:hAnsi="宋体" w:cs="宋体"/>
          <w:color w:val="auto"/>
          <w:sz w:val="24"/>
        </w:rPr>
        <w:t>”（项目编号：</w:t>
      </w:r>
      <w:r>
        <w:rPr>
          <w:rFonts w:hint="eastAsia" w:ascii="宋体" w:hAnsi="宋体" w:cs="宋体"/>
          <w:color w:val="auto"/>
          <w:sz w:val="24"/>
          <w:u w:val="single"/>
        </w:rPr>
        <w:t xml:space="preserve">       </w:t>
      </w:r>
      <w:r>
        <w:rPr>
          <w:rFonts w:hint="eastAsia" w:ascii="宋体" w:hAnsi="宋体" w:cs="宋体"/>
          <w:color w:val="auto"/>
          <w:sz w:val="24"/>
        </w:rPr>
        <w:t>）项目合同包</w:t>
      </w:r>
      <w:r>
        <w:rPr>
          <w:rFonts w:hint="eastAsia" w:ascii="宋体" w:hAnsi="宋体" w:cs="宋体"/>
          <w:color w:val="auto"/>
          <w:sz w:val="24"/>
          <w:u w:val="single"/>
        </w:rPr>
        <w:t xml:space="preserve">        </w:t>
      </w:r>
      <w:r>
        <w:rPr>
          <w:rFonts w:hint="eastAsia" w:ascii="宋体" w:hAnsi="宋体" w:cs="宋体"/>
          <w:color w:val="auto"/>
          <w:sz w:val="24"/>
        </w:rPr>
        <w:t>的报价，我方以(同城转账、异城电汇、现金银行缴款)形式向贵方账户缴纳磋商保证金（大写</w:t>
      </w:r>
      <w:r>
        <w:rPr>
          <w:rFonts w:hint="eastAsia" w:ascii="宋体" w:hAnsi="宋体" w:cs="宋体"/>
          <w:color w:val="auto"/>
          <w:sz w:val="24"/>
          <w:u w:val="single"/>
        </w:rPr>
        <w:t xml:space="preserve">        </w:t>
      </w:r>
      <w:r>
        <w:rPr>
          <w:rFonts w:hint="eastAsia" w:ascii="宋体" w:hAnsi="宋体" w:cs="宋体"/>
          <w:color w:val="auto"/>
          <w:sz w:val="24"/>
        </w:rPr>
        <w:t>元）（小写￥</w:t>
      </w:r>
      <w:r>
        <w:rPr>
          <w:rFonts w:hint="eastAsia" w:ascii="宋体" w:hAnsi="宋体" w:cs="宋体"/>
          <w:color w:val="auto"/>
          <w:sz w:val="24"/>
          <w:u w:val="single"/>
        </w:rPr>
        <w:t xml:space="preserve">      </w:t>
      </w:r>
      <w:r>
        <w:rPr>
          <w:rFonts w:hint="eastAsia" w:ascii="宋体" w:hAnsi="宋体" w:cs="宋体"/>
          <w:color w:val="auto"/>
          <w:sz w:val="24"/>
        </w:rPr>
        <w:t>元）,因未成交，请贵公司将相关款项结清后给予办理退还，并退还到我方以下账户中：</w:t>
      </w:r>
    </w:p>
    <w:p w14:paraId="48F8AD11">
      <w:pPr>
        <w:tabs>
          <w:tab w:val="left" w:pos="978"/>
        </w:tabs>
        <w:spacing w:line="360" w:lineRule="auto"/>
        <w:ind w:left="706" w:hanging="705" w:hangingChars="294"/>
        <w:rPr>
          <w:rFonts w:hint="eastAsia" w:ascii="宋体" w:hAnsi="宋体" w:cs="宋体"/>
          <w:color w:val="auto"/>
          <w:sz w:val="24"/>
        </w:rPr>
      </w:pPr>
    </w:p>
    <w:p w14:paraId="5EA50B62">
      <w:pPr>
        <w:tabs>
          <w:tab w:val="left" w:pos="978"/>
        </w:tabs>
        <w:spacing w:line="480" w:lineRule="auto"/>
        <w:rPr>
          <w:rFonts w:hint="eastAsia" w:ascii="宋体" w:hAnsi="宋体" w:cs="宋体"/>
          <w:color w:val="auto"/>
          <w:sz w:val="24"/>
          <w:u w:val="single"/>
        </w:rPr>
      </w:pPr>
      <w:r>
        <w:rPr>
          <w:rFonts w:hint="eastAsia" w:ascii="宋体" w:hAnsi="宋体" w:cs="宋体"/>
          <w:color w:val="auto"/>
          <w:sz w:val="24"/>
          <w:szCs w:val="22"/>
        </w:rPr>
        <w:t>供应商</w:t>
      </w:r>
      <w:r>
        <w:rPr>
          <w:rFonts w:hint="eastAsia" w:ascii="宋体" w:hAnsi="宋体" w:cs="宋体"/>
          <w:color w:val="auto"/>
          <w:sz w:val="24"/>
        </w:rPr>
        <w:t>公司全称：</w:t>
      </w:r>
      <w:r>
        <w:rPr>
          <w:rFonts w:hint="eastAsia" w:ascii="宋体" w:hAnsi="宋体" w:cs="宋体"/>
          <w:color w:val="auto"/>
          <w:sz w:val="24"/>
          <w:u w:val="single"/>
        </w:rPr>
        <w:t xml:space="preserve">                                      </w:t>
      </w:r>
    </w:p>
    <w:p w14:paraId="76B8E212">
      <w:pPr>
        <w:tabs>
          <w:tab w:val="left" w:pos="978"/>
        </w:tabs>
        <w:spacing w:line="480" w:lineRule="auto"/>
        <w:rPr>
          <w:rFonts w:hint="eastAsia" w:ascii="宋体" w:hAnsi="宋体" w:cs="宋体"/>
          <w:color w:val="auto"/>
          <w:sz w:val="24"/>
        </w:rPr>
      </w:pPr>
      <w:r>
        <w:rPr>
          <w:rFonts w:hint="eastAsia" w:ascii="宋体" w:hAnsi="宋体" w:cs="宋体"/>
          <w:color w:val="auto"/>
          <w:sz w:val="24"/>
        </w:rPr>
        <w:t>开户行全称：</w:t>
      </w:r>
      <w:r>
        <w:rPr>
          <w:rFonts w:hint="eastAsia" w:ascii="宋体" w:hAnsi="宋体" w:cs="宋体"/>
          <w:color w:val="auto"/>
          <w:sz w:val="24"/>
          <w:u w:val="single"/>
        </w:rPr>
        <w:t xml:space="preserve">                                        </w:t>
      </w:r>
    </w:p>
    <w:p w14:paraId="33C38946">
      <w:pPr>
        <w:tabs>
          <w:tab w:val="left" w:pos="978"/>
        </w:tabs>
        <w:spacing w:line="480" w:lineRule="auto"/>
        <w:rPr>
          <w:rFonts w:hint="eastAsia" w:ascii="宋体" w:hAnsi="宋体" w:cs="宋体"/>
          <w:color w:val="auto"/>
          <w:sz w:val="24"/>
        </w:rPr>
      </w:pPr>
      <w:r>
        <w:rPr>
          <w:rFonts w:hint="eastAsia" w:ascii="宋体" w:hAnsi="宋体" w:cs="宋体"/>
          <w:color w:val="auto"/>
          <w:sz w:val="24"/>
        </w:rPr>
        <w:t>账号：</w:t>
      </w:r>
      <w:r>
        <w:rPr>
          <w:rFonts w:hint="eastAsia" w:ascii="宋体" w:hAnsi="宋体" w:cs="宋体"/>
          <w:color w:val="auto"/>
          <w:sz w:val="24"/>
          <w:u w:val="single"/>
        </w:rPr>
        <w:t xml:space="preserve">                                              </w:t>
      </w:r>
    </w:p>
    <w:p w14:paraId="2A7538E1">
      <w:pPr>
        <w:tabs>
          <w:tab w:val="left" w:pos="978"/>
        </w:tabs>
        <w:spacing w:line="360" w:lineRule="auto"/>
        <w:rPr>
          <w:rFonts w:hint="eastAsia" w:ascii="宋体" w:hAnsi="宋体" w:cs="宋体"/>
          <w:b/>
          <w:color w:val="auto"/>
          <w:sz w:val="24"/>
        </w:rPr>
      </w:pPr>
      <w:r>
        <w:rPr>
          <w:rFonts w:hint="eastAsia" w:ascii="宋体" w:hAnsi="宋体" w:cs="宋体"/>
          <w:b/>
          <w:color w:val="auto"/>
          <w:sz w:val="24"/>
        </w:rPr>
        <w:t xml:space="preserve">     </w:t>
      </w:r>
    </w:p>
    <w:p w14:paraId="03D8D087">
      <w:pPr>
        <w:tabs>
          <w:tab w:val="left" w:pos="978"/>
        </w:tabs>
        <w:spacing w:line="360" w:lineRule="auto"/>
        <w:rPr>
          <w:rFonts w:hint="eastAsia" w:ascii="宋体" w:hAnsi="宋体" w:cs="宋体"/>
          <w:b/>
          <w:color w:val="auto"/>
          <w:sz w:val="24"/>
        </w:rPr>
      </w:pPr>
    </w:p>
    <w:p w14:paraId="5D790070">
      <w:pPr>
        <w:tabs>
          <w:tab w:val="left" w:pos="978"/>
        </w:tabs>
        <w:spacing w:line="360" w:lineRule="auto"/>
        <w:rPr>
          <w:rFonts w:hint="eastAsia" w:ascii="宋体" w:hAnsi="宋体" w:cs="宋体"/>
          <w:color w:val="auto"/>
        </w:rPr>
      </w:pPr>
    </w:p>
    <w:p w14:paraId="114DB6B3">
      <w:pPr>
        <w:pStyle w:val="44"/>
        <w:rPr>
          <w:rFonts w:hint="eastAsia" w:ascii="宋体" w:hAnsi="宋体" w:cs="宋体"/>
          <w:color w:val="auto"/>
          <w:szCs w:val="24"/>
        </w:rPr>
      </w:pPr>
      <w:r>
        <w:rPr>
          <w:rFonts w:hint="eastAsia" w:ascii="宋体" w:hAnsi="宋体" w:cs="宋体"/>
          <w:color w:val="auto"/>
          <w:szCs w:val="24"/>
        </w:rPr>
        <w:t>供应商：</w:t>
      </w:r>
      <w:r>
        <w:rPr>
          <w:rFonts w:hint="eastAsia" w:ascii="宋体" w:hAnsi="宋体" w:cs="宋体"/>
          <w:color w:val="auto"/>
          <w:szCs w:val="24"/>
          <w:u w:val="single"/>
        </w:rPr>
        <w:t>（全称并加盖单位公章）</w:t>
      </w:r>
    </w:p>
    <w:p w14:paraId="571F31D1">
      <w:pPr>
        <w:pStyle w:val="44"/>
        <w:rPr>
          <w:rFonts w:hint="eastAsia" w:ascii="宋体" w:hAnsi="宋体" w:cs="宋体"/>
          <w:color w:val="auto"/>
          <w:szCs w:val="24"/>
        </w:rPr>
      </w:pPr>
      <w:r>
        <w:rPr>
          <w:rFonts w:hint="eastAsia" w:ascii="宋体" w:hAnsi="宋体" w:cs="宋体"/>
          <w:color w:val="auto"/>
          <w:szCs w:val="24"/>
        </w:rPr>
        <w:t>供应商代表签字：</w:t>
      </w:r>
      <w:r>
        <w:rPr>
          <w:rFonts w:hint="eastAsia" w:ascii="宋体" w:hAnsi="宋体" w:cs="宋体"/>
          <w:color w:val="auto"/>
          <w:szCs w:val="24"/>
          <w:u w:val="single"/>
        </w:rPr>
        <w:t>         </w:t>
      </w:r>
    </w:p>
    <w:p w14:paraId="4DF6E268">
      <w:pPr>
        <w:rPr>
          <w:rFonts w:hint="eastAsia" w:ascii="宋体" w:hAnsi="宋体" w:cs="宋体"/>
          <w:color w:val="auto"/>
          <w:sz w:val="24"/>
          <w:szCs w:val="24"/>
          <w:u w:val="single"/>
        </w:rPr>
      </w:pPr>
      <w:r>
        <w:rPr>
          <w:rFonts w:hint="eastAsia" w:ascii="宋体" w:hAnsi="宋体" w:cs="宋体"/>
          <w:color w:val="auto"/>
          <w:sz w:val="24"/>
          <w:szCs w:val="24"/>
        </w:rPr>
        <w:t>日期：</w:t>
      </w:r>
      <w:r>
        <w:rPr>
          <w:rFonts w:hint="eastAsia" w:ascii="宋体" w:hAnsi="宋体" w:cs="宋体"/>
          <w:color w:val="auto"/>
          <w:sz w:val="24"/>
          <w:szCs w:val="24"/>
          <w:u w:val="single"/>
        </w:rPr>
        <w:t>    </w:t>
      </w:r>
      <w:r>
        <w:rPr>
          <w:rFonts w:hint="eastAsia" w:ascii="宋体" w:hAnsi="宋体" w:cs="宋体"/>
          <w:color w:val="auto"/>
          <w:sz w:val="24"/>
          <w:szCs w:val="24"/>
        </w:rPr>
        <w:t>年</w:t>
      </w:r>
      <w:r>
        <w:rPr>
          <w:rFonts w:hint="eastAsia" w:ascii="宋体" w:hAnsi="宋体" w:cs="宋体"/>
          <w:color w:val="auto"/>
          <w:sz w:val="24"/>
          <w:szCs w:val="24"/>
          <w:u w:val="single"/>
        </w:rPr>
        <w:t>   </w:t>
      </w:r>
      <w:r>
        <w:rPr>
          <w:rFonts w:hint="eastAsia" w:ascii="宋体" w:hAnsi="宋体" w:cs="宋体"/>
          <w:color w:val="auto"/>
          <w:sz w:val="24"/>
          <w:szCs w:val="24"/>
        </w:rPr>
        <w:t>月</w:t>
      </w:r>
      <w:r>
        <w:rPr>
          <w:rFonts w:hint="eastAsia" w:ascii="宋体" w:hAnsi="宋体" w:cs="宋体"/>
          <w:color w:val="auto"/>
          <w:sz w:val="24"/>
          <w:szCs w:val="24"/>
          <w:u w:val="single"/>
        </w:rPr>
        <w:t>   </w:t>
      </w:r>
      <w:r>
        <w:rPr>
          <w:rFonts w:hint="eastAsia" w:ascii="宋体" w:hAnsi="宋体" w:cs="宋体"/>
          <w:color w:val="auto"/>
          <w:sz w:val="24"/>
          <w:szCs w:val="24"/>
        </w:rPr>
        <w:t>日</w:t>
      </w:r>
      <w:r>
        <w:rPr>
          <w:rFonts w:hint="eastAsia" w:ascii="宋体" w:hAnsi="宋体" w:cs="宋体"/>
          <w:color w:val="auto"/>
          <w:sz w:val="24"/>
          <w:szCs w:val="24"/>
          <w:u w:val="single"/>
        </w:rPr>
        <w:t xml:space="preserve">                               </w:t>
      </w:r>
    </w:p>
    <w:p w14:paraId="26828B8B">
      <w:pPr>
        <w:rPr>
          <w:rFonts w:hint="eastAsia" w:ascii="宋体" w:hAnsi="宋体" w:cs="宋体"/>
          <w:color w:val="auto"/>
          <w:sz w:val="24"/>
          <w:u w:val="single"/>
        </w:rPr>
      </w:pPr>
    </w:p>
    <w:p w14:paraId="0D4E7E06">
      <w:pPr>
        <w:rPr>
          <w:rFonts w:hint="eastAsia" w:ascii="宋体" w:hAnsi="宋体" w:cs="宋体"/>
          <w:color w:val="auto"/>
          <w:sz w:val="24"/>
          <w:u w:val="single"/>
        </w:rPr>
      </w:pPr>
    </w:p>
    <w:p w14:paraId="79D1C471">
      <w:pPr>
        <w:rPr>
          <w:rFonts w:hint="eastAsia" w:ascii="宋体" w:hAnsi="宋体" w:cs="宋体"/>
          <w:color w:val="auto"/>
          <w:sz w:val="24"/>
          <w:u w:val="single"/>
        </w:rPr>
      </w:pPr>
    </w:p>
    <w:p w14:paraId="52CE09BF">
      <w:pPr>
        <w:rPr>
          <w:rFonts w:hint="eastAsia" w:ascii="宋体" w:hAnsi="宋体" w:cs="宋体"/>
          <w:color w:val="auto"/>
          <w:sz w:val="24"/>
          <w:u w:val="single"/>
        </w:rPr>
      </w:pPr>
    </w:p>
    <w:p w14:paraId="745C9116">
      <w:pPr>
        <w:tabs>
          <w:tab w:val="left" w:pos="900"/>
        </w:tabs>
        <w:spacing w:line="620" w:lineRule="exact"/>
        <w:outlineLvl w:val="0"/>
        <w:rPr>
          <w:rFonts w:hint="eastAsia" w:ascii="宋体" w:hAnsi="宋体" w:cs="宋体"/>
          <w:b/>
          <w:color w:val="auto"/>
          <w:sz w:val="32"/>
          <w:szCs w:val="32"/>
        </w:rPr>
      </w:pPr>
      <w:r>
        <w:rPr>
          <w:rFonts w:hint="eastAsia" w:ascii="宋体" w:hAnsi="宋体" w:cs="宋体"/>
          <w:color w:val="auto"/>
        </w:rPr>
        <w:br w:type="page"/>
      </w:r>
      <w:bookmarkStart w:id="235" w:name="_Toc29285"/>
      <w:bookmarkStart w:id="236" w:name="_Toc27501_WPSOffice_Level2"/>
      <w:bookmarkStart w:id="237" w:name="_Toc24219_WPSOffice_Level2"/>
      <w:r>
        <w:rPr>
          <w:rFonts w:hint="eastAsia" w:ascii="宋体" w:hAnsi="宋体" w:cs="宋体"/>
          <w:b/>
          <w:bCs/>
          <w:color w:val="auto"/>
          <w:szCs w:val="21"/>
        </w:rPr>
        <w:t>附件1</w:t>
      </w:r>
      <w:r>
        <w:rPr>
          <w:rFonts w:hint="eastAsia" w:ascii="宋体" w:hAnsi="宋体" w:cs="宋体"/>
          <w:b/>
          <w:bCs/>
          <w:color w:val="auto"/>
          <w:szCs w:val="21"/>
          <w:lang w:val="en-US" w:eastAsia="zh-CN"/>
        </w:rPr>
        <w:t>1</w:t>
      </w:r>
      <w:r>
        <w:rPr>
          <w:rFonts w:hint="eastAsia" w:ascii="宋体" w:hAnsi="宋体" w:cs="宋体"/>
          <w:b/>
          <w:bCs/>
          <w:color w:val="auto"/>
          <w:szCs w:val="21"/>
        </w:rPr>
        <w:t xml:space="preserve">                   </w:t>
      </w:r>
      <w:r>
        <w:rPr>
          <w:rFonts w:hint="eastAsia" w:ascii="宋体" w:hAnsi="宋体" w:cs="宋体"/>
          <w:b/>
          <w:color w:val="auto"/>
          <w:sz w:val="32"/>
          <w:szCs w:val="32"/>
        </w:rPr>
        <w:t>供应商应交的其他资料</w:t>
      </w:r>
      <w:bookmarkEnd w:id="235"/>
      <w:bookmarkEnd w:id="236"/>
      <w:bookmarkEnd w:id="237"/>
    </w:p>
    <w:p w14:paraId="21C6EB15">
      <w:pPr>
        <w:tabs>
          <w:tab w:val="left" w:pos="900"/>
        </w:tabs>
        <w:spacing w:line="500" w:lineRule="exact"/>
        <w:rPr>
          <w:rFonts w:hint="eastAsia" w:ascii="宋体" w:hAnsi="宋体" w:cs="宋体"/>
          <w:color w:val="auto"/>
          <w:szCs w:val="21"/>
        </w:rPr>
      </w:pPr>
    </w:p>
    <w:p w14:paraId="3C69DD84">
      <w:pPr>
        <w:pStyle w:val="44"/>
        <w:widowControl/>
        <w:spacing w:before="75" w:after="75" w:line="435" w:lineRule="atLeast"/>
        <w:rPr>
          <w:rFonts w:hint="eastAsia" w:ascii="宋体" w:hAnsi="宋体" w:cs="宋体"/>
          <w:color w:val="auto"/>
        </w:rPr>
      </w:pPr>
      <w:r>
        <w:rPr>
          <w:rFonts w:hint="eastAsia" w:ascii="宋体" w:hAnsi="宋体" w:cs="宋体"/>
          <w:color w:val="auto"/>
          <w:szCs w:val="24"/>
        </w:rPr>
        <w:t>说明：</w:t>
      </w:r>
    </w:p>
    <w:p w14:paraId="3BCFAF07">
      <w:pPr>
        <w:pStyle w:val="44"/>
        <w:widowControl/>
        <w:spacing w:before="75" w:after="75" w:line="435" w:lineRule="atLeast"/>
        <w:ind w:firstLine="480"/>
        <w:rPr>
          <w:rFonts w:hint="eastAsia" w:ascii="宋体" w:hAnsi="宋体" w:cs="宋体"/>
          <w:color w:val="auto"/>
        </w:rPr>
      </w:pPr>
      <w:r>
        <w:rPr>
          <w:rFonts w:hint="eastAsia" w:ascii="宋体" w:hAnsi="宋体" w:cs="宋体"/>
          <w:color w:val="auto"/>
          <w:szCs w:val="24"/>
        </w:rPr>
        <w:t>1、</w:t>
      </w:r>
      <w:r>
        <w:rPr>
          <w:rFonts w:hint="eastAsia" w:ascii="宋体" w:hAnsi="宋体" w:cs="宋体"/>
          <w:color w:val="auto"/>
          <w:szCs w:val="24"/>
          <w:lang w:val="en-US" w:eastAsia="zh-CN"/>
        </w:rPr>
        <w:t>采购人</w:t>
      </w:r>
      <w:r>
        <w:rPr>
          <w:rFonts w:hint="eastAsia" w:ascii="宋体" w:hAnsi="宋体" w:cs="宋体"/>
          <w:color w:val="auto"/>
          <w:szCs w:val="24"/>
        </w:rPr>
        <w:t>或采购代理机构可以根据项目的特点和需要，在磋商文件中对要求作为响应文件组成部分的其他内容进行具体规定或附表格式，供应商应按照磋商文件要求提供相关承诺及材料，并加盖供应商单位公章。</w:t>
      </w:r>
    </w:p>
    <w:p w14:paraId="2C549CB9">
      <w:pPr>
        <w:pStyle w:val="44"/>
        <w:widowControl/>
        <w:spacing w:before="75" w:after="75" w:line="435" w:lineRule="atLeast"/>
        <w:ind w:firstLine="480"/>
        <w:rPr>
          <w:rFonts w:hint="eastAsia" w:ascii="宋体" w:hAnsi="宋体" w:cs="宋体"/>
          <w:color w:val="auto"/>
          <w:szCs w:val="24"/>
        </w:rPr>
      </w:pPr>
      <w:r>
        <w:rPr>
          <w:rFonts w:hint="eastAsia" w:ascii="宋体" w:hAnsi="宋体" w:cs="宋体"/>
          <w:color w:val="auto"/>
          <w:szCs w:val="24"/>
        </w:rPr>
        <w:t>2、供应商根据自身实际情况编写有关资料包括如供应商单位简介、竞争性磋商文件要求提供或供应商自己认为体现自身优势，需要补充说明的其他资料，格式自拟。</w:t>
      </w:r>
    </w:p>
    <w:p w14:paraId="0FA78903">
      <w:pPr>
        <w:spacing w:line="560" w:lineRule="exact"/>
        <w:rPr>
          <w:rFonts w:hint="eastAsia" w:ascii="宋体" w:hAnsi="宋体" w:cs="宋体"/>
          <w:color w:val="auto"/>
          <w:sz w:val="32"/>
          <w:szCs w:val="32"/>
        </w:rPr>
      </w:pPr>
    </w:p>
    <w:p w14:paraId="755C5096">
      <w:pPr>
        <w:pStyle w:val="63"/>
        <w:rPr>
          <w:rFonts w:hint="eastAsia" w:ascii="宋体" w:hAnsi="宋体" w:eastAsia="宋体"/>
          <w:b/>
          <w:bCs/>
          <w:color w:val="auto"/>
          <w:szCs w:val="21"/>
        </w:rPr>
      </w:pPr>
    </w:p>
    <w:sectPr>
      <w:pgSz w:w="11907" w:h="16840"/>
      <w:pgMar w:top="1440" w:right="1559" w:bottom="1440" w:left="1797" w:header="794" w:footer="79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G Times">
    <w:altName w:val="Times New Roman"/>
    <w:panose1 w:val="00000000000000000000"/>
    <w:charset w:val="00"/>
    <w:family w:val="roman"/>
    <w:pitch w:val="default"/>
    <w:sig w:usb0="00000000" w:usb1="00000000" w:usb2="00000000" w:usb3="00000000" w:csb0="00000093"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Arial Narrow">
    <w:altName w:val="Arial"/>
    <w:panose1 w:val="020B0606020202030204"/>
    <w:charset w:val="00"/>
    <w:family w:val="swiss"/>
    <w:pitch w:val="default"/>
    <w:sig w:usb0="00000000" w:usb1="00000000" w:usb2="00000000" w:usb3="00000000" w:csb0="2000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altName w:val="微软雅黑"/>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976D2">
    <w:pPr>
      <w:pStyle w:val="32"/>
      <w:jc w:val="center"/>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882ED1">
                          <w:pPr>
                            <w:pStyle w:val="32"/>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1D882ED1">
                    <w:pPr>
                      <w:pStyle w:val="3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58002">
    <w:pPr>
      <w:pStyle w:val="32"/>
      <w:jc w:val="center"/>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9F33F3">
                          <w:pPr>
                            <w:pStyle w:val="32"/>
                            <w:jc w:val="cen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279F33F3">
                    <w:pPr>
                      <w:pStyle w:val="32"/>
                      <w:jc w:val="cen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96DB5">
    <w:pPr>
      <w:pStyle w:val="32"/>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0DA095">
                          <w:pPr>
                            <w:pStyle w:val="32"/>
                            <w:jc w:val="cen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560DA095">
                    <w:pPr>
                      <w:pStyle w:val="32"/>
                      <w:jc w:val="cent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102C0">
    <w:pPr>
      <w:pStyle w:val="34"/>
      <w:jc w:val="both"/>
      <w:rPr>
        <w:rFonts w:hint="eastAsia" w:ascii="宋体" w:hAnsi="宋体" w:eastAsia="宋体"/>
        <w:sz w:val="21"/>
        <w:szCs w:val="21"/>
        <w:lang w:eastAsia="zh-CN"/>
      </w:rPr>
    </w:pPr>
    <w:r>
      <w:rPr>
        <w:rFonts w:hint="eastAsia" w:ascii="宋体" w:hAnsi="宋体"/>
        <w:sz w:val="21"/>
        <w:szCs w:val="21"/>
      </w:rPr>
      <w:t xml:space="preserve">竞争性磋商文件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3D574">
    <w:pPr>
      <w:pStyle w:val="34"/>
      <w:jc w:val="left"/>
      <w:rPr>
        <w:rFonts w:hint="eastAsia" w:ascii="宋体" w:hAnsi="宋体" w:eastAsia="宋体"/>
        <w:sz w:val="21"/>
        <w:szCs w:val="21"/>
        <w:lang w:eastAsia="zh-CN"/>
      </w:rPr>
    </w:pPr>
    <w:r>
      <w:rPr>
        <w:rFonts w:hint="eastAsia" w:ascii="宋体" w:hAnsi="宋体"/>
        <w:sz w:val="21"/>
        <w:szCs w:val="21"/>
      </w:rPr>
      <w:t xml:space="preserve">竞争性磋商文件                                                   </w:t>
    </w:r>
    <w:r>
      <w:rPr>
        <w:rFonts w:hint="eastAsia" w:ascii="宋体" w:hAnsi="宋体"/>
        <w:sz w:val="21"/>
        <w:szCs w:val="21"/>
        <w:lang w:eastAsia="zh-CN"/>
      </w:rPr>
      <w:t>FJYS2025-489-1</w:t>
    </w:r>
  </w:p>
  <w:p w14:paraId="4B48F12E">
    <w:pPr>
      <w:pStyle w:val="34"/>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numPicBullet w:numPicBulletId="1">
    <w:pict>
      <v:shape id="1" type="#_x0000_t75" style="width:15px;height:15px" o:bullet="t">
        <v:imagedata r:id="rId2" o:title=""/>
      </v:shape>
    </w:pict>
  </w:numPicBullet>
  <w:numPicBullet w:numPicBulletId="2">
    <w:pict>
      <v:shape id="2" type="#_x0000_t75" style="width:15px;height:15px" o:bullet="t">
        <v:imagedata r:id="rId3" o:title=""/>
      </v:shape>
    </w:pict>
  </w:numPicBullet>
  <w:abstractNum w:abstractNumId="0">
    <w:nsid w:val="866FD032"/>
    <w:multiLevelType w:val="singleLevel"/>
    <w:tmpl w:val="866FD032"/>
    <w:lvl w:ilvl="0" w:tentative="0">
      <w:start w:val="1"/>
      <w:numFmt w:val="decimal"/>
      <w:suff w:val="nothing"/>
      <w:lvlText w:val="%1、"/>
      <w:lvlJc w:val="left"/>
    </w:lvl>
  </w:abstractNum>
  <w:abstractNum w:abstractNumId="1">
    <w:nsid w:val="00000007"/>
    <w:multiLevelType w:val="multilevel"/>
    <w:tmpl w:val="00000007"/>
    <w:lvl w:ilvl="0" w:tentative="0">
      <w:start w:val="1"/>
      <w:numFmt w:val="decimal"/>
      <w:pStyle w:val="247"/>
      <w:lvlText w:val="%1"/>
      <w:lvlJc w:val="left"/>
      <w:pPr>
        <w:tabs>
          <w:tab w:val="left" w:pos="420"/>
        </w:tabs>
        <w:ind w:left="420" w:hanging="420"/>
      </w:pPr>
      <w:rPr>
        <w:rFonts w:hint="eastAsia"/>
      </w:rPr>
    </w:lvl>
    <w:lvl w:ilvl="1" w:tentative="0">
      <w:start w:val="1"/>
      <w:numFmt w:val="bullet"/>
      <w:lvlText w:val=""/>
      <w:lvlPicBulletId w:val="1"/>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A"/>
    <w:multiLevelType w:val="multilevel"/>
    <w:tmpl w:val="0000000A"/>
    <w:lvl w:ilvl="0" w:tentative="0">
      <w:start w:val="1"/>
      <w:numFmt w:val="chineseCountingThousand"/>
      <w:pStyle w:val="243"/>
      <w:lvlText w:val="（%1）"/>
      <w:lvlJc w:val="left"/>
      <w:pPr>
        <w:tabs>
          <w:tab w:val="left" w:pos="1387"/>
        </w:tabs>
        <w:ind w:left="1387" w:hanging="907"/>
      </w:pPr>
      <w:rPr>
        <w:rFonts w:hint="eastAsia" w:ascii="仿宋_GB2312" w:hAnsi="宋体" w:eastAsia="仿宋_GB2312"/>
        <w:b w:val="0"/>
        <w:i w:val="0"/>
        <w:sz w:val="24"/>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000000F"/>
    <w:multiLevelType w:val="multilevel"/>
    <w:tmpl w:val="0000000F"/>
    <w:lvl w:ilvl="0" w:tentative="0">
      <w:start w:val="1"/>
      <w:numFmt w:val="decimal"/>
      <w:pStyle w:val="15"/>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1"/>
    <w:multiLevelType w:val="multilevel"/>
    <w:tmpl w:val="0000001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236"/>
      <w:lvlText w:val="%5)"/>
      <w:lvlJc w:val="left"/>
      <w:pPr>
        <w:tabs>
          <w:tab w:val="left" w:pos="2100"/>
        </w:tabs>
        <w:ind w:left="2100" w:hanging="420"/>
      </w:pPr>
    </w:lvl>
    <w:lvl w:ilvl="5" w:tentative="0">
      <w:start w:val="1"/>
      <w:numFmt w:val="lowerRoman"/>
      <w:pStyle w:val="239"/>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3"/>
    <w:multiLevelType w:val="multilevel"/>
    <w:tmpl w:val="00000013"/>
    <w:lvl w:ilvl="0" w:tentative="0">
      <w:start w:val="1"/>
      <w:numFmt w:val="chineseCountingThousand"/>
      <w:pStyle w:val="307"/>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D"/>
    <w:multiLevelType w:val="multilevel"/>
    <w:tmpl w:val="0000001D"/>
    <w:lvl w:ilvl="0" w:tentative="0">
      <w:start w:val="1"/>
      <w:numFmt w:val="decimal"/>
      <w:pStyle w:val="334"/>
      <w:lvlText w:val="10.1.%1"/>
      <w:lvlJc w:val="left"/>
      <w:pPr>
        <w:tabs>
          <w:tab w:val="left" w:pos="425"/>
        </w:tabs>
        <w:ind w:left="425" w:hanging="425"/>
      </w:pPr>
      <w:rPr>
        <w:rFonts w:hint="eastAsia"/>
      </w:rPr>
    </w:lvl>
    <w:lvl w:ilvl="1" w:tentative="0">
      <w:start w:val="1"/>
      <w:numFmt w:val="decimal"/>
      <w:lvlText w:val="10.%2."/>
      <w:lvlJc w:val="left"/>
      <w:pPr>
        <w:tabs>
          <w:tab w:val="left" w:pos="567"/>
        </w:tabs>
        <w:ind w:left="567" w:hanging="567"/>
      </w:pPr>
      <w:rPr>
        <w:rFonts w:hint="eastAsia" w:eastAsia="仿宋_GB2312"/>
        <w:sz w:val="24"/>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00000020"/>
    <w:multiLevelType w:val="multilevel"/>
    <w:tmpl w:val="00000020"/>
    <w:lvl w:ilvl="0" w:tentative="0">
      <w:start w:val="1"/>
      <w:numFmt w:val="decimal"/>
      <w:lvlText w:val="10.2.%1"/>
      <w:lvlJc w:val="left"/>
      <w:pPr>
        <w:tabs>
          <w:tab w:val="left" w:pos="425"/>
        </w:tabs>
        <w:ind w:left="425" w:hanging="425"/>
      </w:pPr>
      <w:rPr>
        <w:rFonts w:hint="eastAsia"/>
      </w:rPr>
    </w:lvl>
    <w:lvl w:ilvl="1" w:tentative="0">
      <w:start w:val="1"/>
      <w:numFmt w:val="decimal"/>
      <w:pStyle w:val="211"/>
      <w:lvlText w:val="10.%2."/>
      <w:lvlJc w:val="left"/>
      <w:pPr>
        <w:tabs>
          <w:tab w:val="left" w:pos="567"/>
        </w:tabs>
        <w:ind w:left="567" w:hanging="567"/>
      </w:pPr>
      <w:rPr>
        <w:rFonts w:hint="eastAsia" w:eastAsia="仿宋_GB2312"/>
        <w:sz w:val="24"/>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00000022"/>
    <w:multiLevelType w:val="multilevel"/>
    <w:tmpl w:val="00000022"/>
    <w:lvl w:ilvl="0" w:tentative="0">
      <w:start w:val="1"/>
      <w:numFmt w:val="decimal"/>
      <w:pStyle w:val="284"/>
      <w:lvlText w:val="1.3.%1."/>
      <w:lvlJc w:val="left"/>
      <w:pPr>
        <w:tabs>
          <w:tab w:val="left" w:pos="425"/>
        </w:tabs>
        <w:ind w:left="425" w:hanging="425"/>
      </w:pPr>
      <w:rPr>
        <w:rFonts w:hint="eastAsia"/>
      </w:rPr>
    </w:lvl>
    <w:lvl w:ilvl="1" w:tentative="0">
      <w:start w:val="1"/>
      <w:numFmt w:val="decimal"/>
      <w:lvlText w:val="10.%2."/>
      <w:lvlJc w:val="left"/>
      <w:pPr>
        <w:tabs>
          <w:tab w:val="left" w:pos="567"/>
        </w:tabs>
        <w:ind w:left="567" w:hanging="567"/>
      </w:pPr>
      <w:rPr>
        <w:rFonts w:hint="eastAsia" w:eastAsia="仿宋_GB2312"/>
        <w:b/>
        <w:sz w:val="24"/>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00000025"/>
    <w:multiLevelType w:val="multilevel"/>
    <w:tmpl w:val="00000025"/>
    <w:lvl w:ilvl="0" w:tentative="0">
      <w:start w:val="1"/>
      <w:numFmt w:val="decimal"/>
      <w:pStyle w:val="332"/>
      <w:lvlText w:val="%1."/>
      <w:lvlJc w:val="left"/>
      <w:pPr>
        <w:tabs>
          <w:tab w:val="left" w:pos="1320"/>
        </w:tabs>
        <w:ind w:left="1320" w:hanging="420"/>
      </w:pPr>
    </w:lvl>
    <w:lvl w:ilvl="1" w:tentative="0">
      <w:start w:val="1"/>
      <w:numFmt w:val="lowerLetter"/>
      <w:lvlText w:val="%2)"/>
      <w:lvlJc w:val="left"/>
      <w:pPr>
        <w:tabs>
          <w:tab w:val="left" w:pos="1740"/>
        </w:tabs>
        <w:ind w:left="1740" w:hanging="420"/>
      </w:pPr>
    </w:lvl>
    <w:lvl w:ilvl="2" w:tentative="0">
      <w:start w:val="1"/>
      <w:numFmt w:val="lowerRoman"/>
      <w:lvlText w:val="%3."/>
      <w:lvlJc w:val="right"/>
      <w:pPr>
        <w:tabs>
          <w:tab w:val="left" w:pos="2160"/>
        </w:tabs>
        <w:ind w:left="2160" w:hanging="420"/>
      </w:pPr>
    </w:lvl>
    <w:lvl w:ilvl="3" w:tentative="0">
      <w:start w:val="1"/>
      <w:numFmt w:val="decimal"/>
      <w:lvlText w:val="%4."/>
      <w:lvlJc w:val="left"/>
      <w:pPr>
        <w:tabs>
          <w:tab w:val="left" w:pos="2580"/>
        </w:tabs>
        <w:ind w:left="2580" w:hanging="420"/>
      </w:pPr>
    </w:lvl>
    <w:lvl w:ilvl="4" w:tentative="0">
      <w:start w:val="1"/>
      <w:numFmt w:val="lowerLetter"/>
      <w:lvlText w:val="%5)"/>
      <w:lvlJc w:val="left"/>
      <w:pPr>
        <w:tabs>
          <w:tab w:val="left" w:pos="3000"/>
        </w:tabs>
        <w:ind w:left="3000" w:hanging="420"/>
      </w:pPr>
    </w:lvl>
    <w:lvl w:ilvl="5" w:tentative="0">
      <w:start w:val="1"/>
      <w:numFmt w:val="lowerRoman"/>
      <w:lvlText w:val="%6."/>
      <w:lvlJc w:val="right"/>
      <w:pPr>
        <w:tabs>
          <w:tab w:val="left" w:pos="3420"/>
        </w:tabs>
        <w:ind w:left="3420" w:hanging="420"/>
      </w:pPr>
    </w:lvl>
    <w:lvl w:ilvl="6" w:tentative="0">
      <w:start w:val="1"/>
      <w:numFmt w:val="decimal"/>
      <w:lvlText w:val="%7."/>
      <w:lvlJc w:val="left"/>
      <w:pPr>
        <w:tabs>
          <w:tab w:val="left" w:pos="3840"/>
        </w:tabs>
        <w:ind w:left="3840" w:hanging="420"/>
      </w:pPr>
    </w:lvl>
    <w:lvl w:ilvl="7" w:tentative="0">
      <w:start w:val="1"/>
      <w:numFmt w:val="lowerLetter"/>
      <w:lvlText w:val="%8)"/>
      <w:lvlJc w:val="left"/>
      <w:pPr>
        <w:tabs>
          <w:tab w:val="left" w:pos="4260"/>
        </w:tabs>
        <w:ind w:left="4260" w:hanging="420"/>
      </w:pPr>
    </w:lvl>
    <w:lvl w:ilvl="8" w:tentative="0">
      <w:start w:val="1"/>
      <w:numFmt w:val="lowerRoman"/>
      <w:lvlText w:val="%9."/>
      <w:lvlJc w:val="right"/>
      <w:pPr>
        <w:tabs>
          <w:tab w:val="left" w:pos="4680"/>
        </w:tabs>
        <w:ind w:left="4680" w:hanging="420"/>
      </w:pPr>
    </w:lvl>
  </w:abstractNum>
  <w:abstractNum w:abstractNumId="10">
    <w:nsid w:val="04084ACD"/>
    <w:multiLevelType w:val="multilevel"/>
    <w:tmpl w:val="04084ACD"/>
    <w:lvl w:ilvl="0" w:tentative="0">
      <w:start w:val="7"/>
      <w:numFmt w:val="japaneseCounting"/>
      <w:pStyle w:val="275"/>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5205101"/>
    <w:multiLevelType w:val="multilevel"/>
    <w:tmpl w:val="05205101"/>
    <w:lvl w:ilvl="0" w:tentative="0">
      <w:start w:val="1"/>
      <w:numFmt w:val="decimal"/>
      <w:pStyle w:val="319"/>
      <w:lvlText w:val="%1)"/>
      <w:lvlJc w:val="left"/>
      <w:pPr>
        <w:tabs>
          <w:tab w:val="left" w:pos="315"/>
        </w:tabs>
        <w:ind w:left="315" w:hanging="420"/>
      </w:pPr>
      <w:rPr>
        <w:rFonts w:hint="default"/>
      </w:rPr>
    </w:lvl>
    <w:lvl w:ilvl="1" w:tentative="0">
      <w:start w:val="1"/>
      <w:numFmt w:val="lowerLetter"/>
      <w:lvlText w:val="%2)"/>
      <w:lvlJc w:val="left"/>
      <w:pPr>
        <w:tabs>
          <w:tab w:val="left" w:pos="735"/>
        </w:tabs>
        <w:ind w:left="735" w:hanging="420"/>
      </w:pPr>
    </w:lvl>
    <w:lvl w:ilvl="2" w:tentative="0">
      <w:start w:val="1"/>
      <w:numFmt w:val="lowerRoman"/>
      <w:lvlText w:val="%3."/>
      <w:lvlJc w:val="right"/>
      <w:pPr>
        <w:tabs>
          <w:tab w:val="left" w:pos="1155"/>
        </w:tabs>
        <w:ind w:left="1155" w:hanging="420"/>
      </w:pPr>
    </w:lvl>
    <w:lvl w:ilvl="3" w:tentative="0">
      <w:start w:val="1"/>
      <w:numFmt w:val="decimal"/>
      <w:lvlText w:val="%4."/>
      <w:lvlJc w:val="left"/>
      <w:pPr>
        <w:tabs>
          <w:tab w:val="left" w:pos="1575"/>
        </w:tabs>
        <w:ind w:left="1575" w:hanging="420"/>
      </w:pPr>
    </w:lvl>
    <w:lvl w:ilvl="4" w:tentative="0">
      <w:start w:val="1"/>
      <w:numFmt w:val="lowerLetter"/>
      <w:lvlText w:val="%5)"/>
      <w:lvlJc w:val="left"/>
      <w:pPr>
        <w:tabs>
          <w:tab w:val="left" w:pos="1995"/>
        </w:tabs>
        <w:ind w:left="1995" w:hanging="420"/>
      </w:pPr>
    </w:lvl>
    <w:lvl w:ilvl="5" w:tentative="0">
      <w:start w:val="1"/>
      <w:numFmt w:val="lowerRoman"/>
      <w:lvlText w:val="%6."/>
      <w:lvlJc w:val="right"/>
      <w:pPr>
        <w:tabs>
          <w:tab w:val="left" w:pos="2415"/>
        </w:tabs>
        <w:ind w:left="2415" w:hanging="420"/>
      </w:pPr>
    </w:lvl>
    <w:lvl w:ilvl="6" w:tentative="0">
      <w:start w:val="1"/>
      <w:numFmt w:val="decimal"/>
      <w:lvlText w:val="%7."/>
      <w:lvlJc w:val="left"/>
      <w:pPr>
        <w:tabs>
          <w:tab w:val="left" w:pos="2835"/>
        </w:tabs>
        <w:ind w:left="2835" w:hanging="420"/>
      </w:pPr>
    </w:lvl>
    <w:lvl w:ilvl="7" w:tentative="0">
      <w:start w:val="1"/>
      <w:numFmt w:val="lowerLetter"/>
      <w:lvlText w:val="%8)"/>
      <w:lvlJc w:val="left"/>
      <w:pPr>
        <w:tabs>
          <w:tab w:val="left" w:pos="3255"/>
        </w:tabs>
        <w:ind w:left="3255" w:hanging="420"/>
      </w:pPr>
    </w:lvl>
    <w:lvl w:ilvl="8" w:tentative="0">
      <w:start w:val="1"/>
      <w:numFmt w:val="lowerRoman"/>
      <w:lvlText w:val="%9."/>
      <w:lvlJc w:val="right"/>
      <w:pPr>
        <w:tabs>
          <w:tab w:val="left" w:pos="3675"/>
        </w:tabs>
        <w:ind w:left="3675" w:hanging="420"/>
      </w:pPr>
    </w:lvl>
  </w:abstractNum>
  <w:abstractNum w:abstractNumId="12">
    <w:nsid w:val="1D0511B5"/>
    <w:multiLevelType w:val="multilevel"/>
    <w:tmpl w:val="1D0511B5"/>
    <w:lvl w:ilvl="0" w:tentative="0">
      <w:start w:val="1"/>
      <w:numFmt w:val="decimal"/>
      <w:pStyle w:val="276"/>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2BD5B070"/>
    <w:multiLevelType w:val="singleLevel"/>
    <w:tmpl w:val="2BD5B070"/>
    <w:lvl w:ilvl="0" w:tentative="0">
      <w:start w:val="3"/>
      <w:numFmt w:val="chineseCounting"/>
      <w:suff w:val="space"/>
      <w:lvlText w:val="第%1章"/>
      <w:lvlJc w:val="left"/>
      <w:rPr>
        <w:rFonts w:hint="eastAsia"/>
      </w:rPr>
    </w:lvl>
  </w:abstractNum>
  <w:abstractNum w:abstractNumId="14">
    <w:nsid w:val="52512AC2"/>
    <w:multiLevelType w:val="multilevel"/>
    <w:tmpl w:val="52512AC2"/>
    <w:lvl w:ilvl="0" w:tentative="0">
      <w:start w:val="1"/>
      <w:numFmt w:val="decimal"/>
      <w:lvlText w:val="%1、"/>
      <w:lvlJc w:val="left"/>
      <w:pPr>
        <w:tabs>
          <w:tab w:val="left" w:pos="420"/>
        </w:tabs>
        <w:ind w:left="420" w:hanging="420"/>
      </w:pPr>
      <w:rPr>
        <w:rFonts w:hint="eastAsia"/>
      </w:rPr>
    </w:lvl>
    <w:lvl w:ilvl="1" w:tentative="0">
      <w:start w:val="1"/>
      <w:numFmt w:val="bullet"/>
      <w:lvlText w:val=""/>
      <w:lvlPicBulletId w:val="2"/>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5">
    <w:nsid w:val="525D71F4"/>
    <w:multiLevelType w:val="multilevel"/>
    <w:tmpl w:val="525D71F4"/>
    <w:lvl w:ilvl="0" w:tentative="0">
      <w:start w:val="1"/>
      <w:numFmt w:val="decimal"/>
      <w:pStyle w:val="235"/>
      <w:lvlText w:val="%1"/>
      <w:lvlJc w:val="left"/>
      <w:pPr>
        <w:tabs>
          <w:tab w:val="left" w:pos="420"/>
        </w:tabs>
        <w:ind w:left="420" w:hanging="420"/>
      </w:pPr>
      <w:rPr>
        <w:rFonts w:hint="eastAsia"/>
      </w:rPr>
    </w:lvl>
    <w:lvl w:ilvl="1" w:tentative="0">
      <w:start w:val="1"/>
      <w:numFmt w:val="bullet"/>
      <w:lvlText w:val=""/>
      <w:lvlPicBulletId w:val="0"/>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630E5AB2"/>
    <w:multiLevelType w:val="multilevel"/>
    <w:tmpl w:val="630E5AB2"/>
    <w:lvl w:ilvl="0" w:tentative="0">
      <w:start w:val="1"/>
      <w:numFmt w:val="decimal"/>
      <w:pStyle w:val="174"/>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64A8405B"/>
    <w:multiLevelType w:val="multilevel"/>
    <w:tmpl w:val="64A8405B"/>
    <w:lvl w:ilvl="0" w:tentative="0">
      <w:start w:val="1"/>
      <w:numFmt w:val="chineseCountingThousand"/>
      <w:pStyle w:val="254"/>
      <w:lvlText w:val="(%1)"/>
      <w:lvlJc w:val="left"/>
      <w:pPr>
        <w:tabs>
          <w:tab w:val="left" w:pos="420"/>
        </w:tabs>
        <w:ind w:left="420" w:hanging="420"/>
      </w:pPr>
      <w:rPr>
        <w:rFonts w:hint="eastAsia" w:ascii="仿宋_GB2312" w:eastAsia="仿宋_GB2312"/>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65693B96"/>
    <w:multiLevelType w:val="multilevel"/>
    <w:tmpl w:val="65693B96"/>
    <w:lvl w:ilvl="0" w:tentative="0">
      <w:start w:val="1"/>
      <w:numFmt w:val="decimal"/>
      <w:pStyle w:val="290"/>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72079C8"/>
    <w:multiLevelType w:val="multilevel"/>
    <w:tmpl w:val="672079C8"/>
    <w:lvl w:ilvl="0" w:tentative="0">
      <w:start w:val="1"/>
      <w:numFmt w:val="chineseCountingThousand"/>
      <w:pStyle w:val="188"/>
      <w:lvlText w:val="(%1)"/>
      <w:lvlJc w:val="left"/>
      <w:pPr>
        <w:tabs>
          <w:tab w:val="left" w:pos="420"/>
        </w:tabs>
        <w:ind w:left="420" w:hanging="420"/>
      </w:pPr>
      <w:rPr>
        <w:rFonts w:hint="eastAsia" w:ascii="仿宋_GB2312" w:eastAsia="仿宋_GB2312"/>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889C112"/>
    <w:multiLevelType w:val="singleLevel"/>
    <w:tmpl w:val="6889C112"/>
    <w:lvl w:ilvl="0" w:tentative="0">
      <w:start w:val="1"/>
      <w:numFmt w:val="chineseCounting"/>
      <w:suff w:val="nothing"/>
      <w:lvlText w:val="%1、"/>
      <w:lvlJc w:val="left"/>
      <w:rPr>
        <w:rFonts w:hint="eastAsia"/>
      </w:rPr>
    </w:lvl>
  </w:abstractNum>
  <w:abstractNum w:abstractNumId="21">
    <w:nsid w:val="72167FA5"/>
    <w:multiLevelType w:val="multilevel"/>
    <w:tmpl w:val="72167FA5"/>
    <w:lvl w:ilvl="0" w:tentative="0">
      <w:start w:val="5"/>
      <w:numFmt w:val="japaneseCounting"/>
      <w:pStyle w:val="179"/>
      <w:lvlText w:val="第%1章"/>
      <w:lvlJc w:val="left"/>
      <w:pPr>
        <w:tabs>
          <w:tab w:val="left" w:pos="1815"/>
        </w:tabs>
        <w:ind w:left="1815" w:hanging="181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6"/>
  </w:num>
  <w:num w:numId="3">
    <w:abstractNumId w:val="21"/>
  </w:num>
  <w:num w:numId="4">
    <w:abstractNumId w:val="19"/>
  </w:num>
  <w:num w:numId="5">
    <w:abstractNumId w:val="7"/>
  </w:num>
  <w:num w:numId="6">
    <w:abstractNumId w:val="15"/>
  </w:num>
  <w:num w:numId="7">
    <w:abstractNumId w:val="4"/>
  </w:num>
  <w:num w:numId="8">
    <w:abstractNumId w:val="2"/>
  </w:num>
  <w:num w:numId="9">
    <w:abstractNumId w:val="1"/>
  </w:num>
  <w:num w:numId="10">
    <w:abstractNumId w:val="17"/>
  </w:num>
  <w:num w:numId="11">
    <w:abstractNumId w:val="10"/>
  </w:num>
  <w:num w:numId="12">
    <w:abstractNumId w:val="12"/>
  </w:num>
  <w:num w:numId="13">
    <w:abstractNumId w:val="8"/>
  </w:num>
  <w:num w:numId="14">
    <w:abstractNumId w:val="18"/>
  </w:num>
  <w:num w:numId="15">
    <w:abstractNumId w:val="5"/>
  </w:num>
  <w:num w:numId="16">
    <w:abstractNumId w:val="11"/>
  </w:num>
  <w:num w:numId="17">
    <w:abstractNumId w:val="9"/>
  </w:num>
  <w:num w:numId="18">
    <w:abstractNumId w:val="6"/>
  </w:num>
  <w:num w:numId="19">
    <w:abstractNumId w:val="13"/>
  </w:num>
  <w:num w:numId="20">
    <w:abstractNumId w:val="20"/>
  </w:num>
  <w:num w:numId="21">
    <w:abstractNumId w:val="14"/>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315"/>
  <w:hyphenationZone w:val="360"/>
  <w:drawingGridHorizontalSpacing w:val="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jY2VjNjJlMDRkNDg4NmUyMDJhOGZjNDAxY2FiM2MifQ=="/>
  </w:docVars>
  <w:rsids>
    <w:rsidRoot w:val="00172A27"/>
    <w:rsid w:val="00000382"/>
    <w:rsid w:val="0000072A"/>
    <w:rsid w:val="00000C00"/>
    <w:rsid w:val="00000CA0"/>
    <w:rsid w:val="000013DC"/>
    <w:rsid w:val="00001C01"/>
    <w:rsid w:val="0000204D"/>
    <w:rsid w:val="0000269E"/>
    <w:rsid w:val="000036C4"/>
    <w:rsid w:val="0000383F"/>
    <w:rsid w:val="00003C7B"/>
    <w:rsid w:val="00004114"/>
    <w:rsid w:val="000042BB"/>
    <w:rsid w:val="00004DC2"/>
    <w:rsid w:val="00004EC5"/>
    <w:rsid w:val="000051EF"/>
    <w:rsid w:val="0000530F"/>
    <w:rsid w:val="00005377"/>
    <w:rsid w:val="00005B87"/>
    <w:rsid w:val="00005BFF"/>
    <w:rsid w:val="0000624C"/>
    <w:rsid w:val="00006D4D"/>
    <w:rsid w:val="00010121"/>
    <w:rsid w:val="00010323"/>
    <w:rsid w:val="00010F08"/>
    <w:rsid w:val="00011A9D"/>
    <w:rsid w:val="00011C22"/>
    <w:rsid w:val="00011FCC"/>
    <w:rsid w:val="000122FC"/>
    <w:rsid w:val="000124CA"/>
    <w:rsid w:val="00012809"/>
    <w:rsid w:val="00012AA5"/>
    <w:rsid w:val="00012BF5"/>
    <w:rsid w:val="0001310E"/>
    <w:rsid w:val="000137C0"/>
    <w:rsid w:val="00013C4B"/>
    <w:rsid w:val="00013C4C"/>
    <w:rsid w:val="0001438A"/>
    <w:rsid w:val="00014901"/>
    <w:rsid w:val="000149E3"/>
    <w:rsid w:val="0001566F"/>
    <w:rsid w:val="00015BC5"/>
    <w:rsid w:val="00015C58"/>
    <w:rsid w:val="00015EBC"/>
    <w:rsid w:val="00016693"/>
    <w:rsid w:val="00016860"/>
    <w:rsid w:val="00016D9E"/>
    <w:rsid w:val="00016F01"/>
    <w:rsid w:val="000178DC"/>
    <w:rsid w:val="00017CEE"/>
    <w:rsid w:val="0002017D"/>
    <w:rsid w:val="000201CF"/>
    <w:rsid w:val="0002023A"/>
    <w:rsid w:val="0002043F"/>
    <w:rsid w:val="00020D7D"/>
    <w:rsid w:val="0002256E"/>
    <w:rsid w:val="000226E7"/>
    <w:rsid w:val="00022915"/>
    <w:rsid w:val="00022A0F"/>
    <w:rsid w:val="00022C17"/>
    <w:rsid w:val="0002330C"/>
    <w:rsid w:val="00023B8A"/>
    <w:rsid w:val="0002408E"/>
    <w:rsid w:val="00024297"/>
    <w:rsid w:val="00024324"/>
    <w:rsid w:val="000244FF"/>
    <w:rsid w:val="00024C38"/>
    <w:rsid w:val="0002573E"/>
    <w:rsid w:val="0002603E"/>
    <w:rsid w:val="0002617E"/>
    <w:rsid w:val="0002667D"/>
    <w:rsid w:val="000266F6"/>
    <w:rsid w:val="000268C8"/>
    <w:rsid w:val="000277A4"/>
    <w:rsid w:val="00030A6E"/>
    <w:rsid w:val="000313E5"/>
    <w:rsid w:val="000314AD"/>
    <w:rsid w:val="000315C2"/>
    <w:rsid w:val="00031786"/>
    <w:rsid w:val="0003240C"/>
    <w:rsid w:val="0003394F"/>
    <w:rsid w:val="00033E31"/>
    <w:rsid w:val="0003400F"/>
    <w:rsid w:val="000348DA"/>
    <w:rsid w:val="00034BAA"/>
    <w:rsid w:val="00034D0B"/>
    <w:rsid w:val="00035293"/>
    <w:rsid w:val="00035800"/>
    <w:rsid w:val="000364EB"/>
    <w:rsid w:val="00036C81"/>
    <w:rsid w:val="000378EB"/>
    <w:rsid w:val="00037ED5"/>
    <w:rsid w:val="000406D3"/>
    <w:rsid w:val="000406F9"/>
    <w:rsid w:val="00040D6A"/>
    <w:rsid w:val="0004105B"/>
    <w:rsid w:val="0004161C"/>
    <w:rsid w:val="0004163F"/>
    <w:rsid w:val="0004184D"/>
    <w:rsid w:val="00041DF5"/>
    <w:rsid w:val="00042AB3"/>
    <w:rsid w:val="00042E00"/>
    <w:rsid w:val="0004325D"/>
    <w:rsid w:val="000432F6"/>
    <w:rsid w:val="00043665"/>
    <w:rsid w:val="000439FB"/>
    <w:rsid w:val="00043C34"/>
    <w:rsid w:val="00044155"/>
    <w:rsid w:val="000449CD"/>
    <w:rsid w:val="00044A27"/>
    <w:rsid w:val="0004501B"/>
    <w:rsid w:val="000452AA"/>
    <w:rsid w:val="00045563"/>
    <w:rsid w:val="00045DD6"/>
    <w:rsid w:val="00046275"/>
    <w:rsid w:val="000464D8"/>
    <w:rsid w:val="00046604"/>
    <w:rsid w:val="00046613"/>
    <w:rsid w:val="000478CE"/>
    <w:rsid w:val="00047E47"/>
    <w:rsid w:val="0005022C"/>
    <w:rsid w:val="000505F7"/>
    <w:rsid w:val="000508AB"/>
    <w:rsid w:val="000508F1"/>
    <w:rsid w:val="00050B8C"/>
    <w:rsid w:val="00050C69"/>
    <w:rsid w:val="00050E1E"/>
    <w:rsid w:val="00050FE6"/>
    <w:rsid w:val="0005141D"/>
    <w:rsid w:val="00051465"/>
    <w:rsid w:val="0005177C"/>
    <w:rsid w:val="000518CE"/>
    <w:rsid w:val="000518DF"/>
    <w:rsid w:val="00051DEA"/>
    <w:rsid w:val="00051E36"/>
    <w:rsid w:val="00051F84"/>
    <w:rsid w:val="00052586"/>
    <w:rsid w:val="000525DC"/>
    <w:rsid w:val="00053061"/>
    <w:rsid w:val="000536E8"/>
    <w:rsid w:val="000538DA"/>
    <w:rsid w:val="00053944"/>
    <w:rsid w:val="00054077"/>
    <w:rsid w:val="00054DE2"/>
    <w:rsid w:val="00055233"/>
    <w:rsid w:val="00055734"/>
    <w:rsid w:val="00055D36"/>
    <w:rsid w:val="00055E19"/>
    <w:rsid w:val="000561DD"/>
    <w:rsid w:val="00056376"/>
    <w:rsid w:val="000564FE"/>
    <w:rsid w:val="00056B91"/>
    <w:rsid w:val="00056CA8"/>
    <w:rsid w:val="00056E39"/>
    <w:rsid w:val="000570C5"/>
    <w:rsid w:val="00057D0A"/>
    <w:rsid w:val="00057E50"/>
    <w:rsid w:val="000606CC"/>
    <w:rsid w:val="000611B4"/>
    <w:rsid w:val="0006172D"/>
    <w:rsid w:val="0006190B"/>
    <w:rsid w:val="00062DF0"/>
    <w:rsid w:val="0006394D"/>
    <w:rsid w:val="00063984"/>
    <w:rsid w:val="000648A5"/>
    <w:rsid w:val="00064CB9"/>
    <w:rsid w:val="00064F8E"/>
    <w:rsid w:val="00065188"/>
    <w:rsid w:val="0006543A"/>
    <w:rsid w:val="000658DB"/>
    <w:rsid w:val="00065C27"/>
    <w:rsid w:val="00065E01"/>
    <w:rsid w:val="000661E0"/>
    <w:rsid w:val="000664EF"/>
    <w:rsid w:val="000677F0"/>
    <w:rsid w:val="00067AE0"/>
    <w:rsid w:val="00067C63"/>
    <w:rsid w:val="00070163"/>
    <w:rsid w:val="00070207"/>
    <w:rsid w:val="0007030F"/>
    <w:rsid w:val="00070343"/>
    <w:rsid w:val="000704E8"/>
    <w:rsid w:val="000706EF"/>
    <w:rsid w:val="00070AF4"/>
    <w:rsid w:val="00070E53"/>
    <w:rsid w:val="0007131F"/>
    <w:rsid w:val="0007143B"/>
    <w:rsid w:val="0007145F"/>
    <w:rsid w:val="00072194"/>
    <w:rsid w:val="000722D2"/>
    <w:rsid w:val="00072479"/>
    <w:rsid w:val="00072483"/>
    <w:rsid w:val="00072C08"/>
    <w:rsid w:val="00072D1B"/>
    <w:rsid w:val="00072EFA"/>
    <w:rsid w:val="00073032"/>
    <w:rsid w:val="00073402"/>
    <w:rsid w:val="00073718"/>
    <w:rsid w:val="00073D22"/>
    <w:rsid w:val="00074668"/>
    <w:rsid w:val="000751F7"/>
    <w:rsid w:val="00075333"/>
    <w:rsid w:val="00075444"/>
    <w:rsid w:val="000754A3"/>
    <w:rsid w:val="00075700"/>
    <w:rsid w:val="00075A02"/>
    <w:rsid w:val="00075D6D"/>
    <w:rsid w:val="00075EBF"/>
    <w:rsid w:val="0007621C"/>
    <w:rsid w:val="00076B88"/>
    <w:rsid w:val="000770F8"/>
    <w:rsid w:val="000777C9"/>
    <w:rsid w:val="00077B38"/>
    <w:rsid w:val="00077DA5"/>
    <w:rsid w:val="00077FBD"/>
    <w:rsid w:val="000803B9"/>
    <w:rsid w:val="000805E7"/>
    <w:rsid w:val="0008069F"/>
    <w:rsid w:val="00080901"/>
    <w:rsid w:val="00081F91"/>
    <w:rsid w:val="00082552"/>
    <w:rsid w:val="00082895"/>
    <w:rsid w:val="00082E55"/>
    <w:rsid w:val="000831BD"/>
    <w:rsid w:val="0008353A"/>
    <w:rsid w:val="00083678"/>
    <w:rsid w:val="000837A4"/>
    <w:rsid w:val="00083B67"/>
    <w:rsid w:val="000842DD"/>
    <w:rsid w:val="00084A44"/>
    <w:rsid w:val="00084BDF"/>
    <w:rsid w:val="00085FC2"/>
    <w:rsid w:val="000860AE"/>
    <w:rsid w:val="00086402"/>
    <w:rsid w:val="0008711F"/>
    <w:rsid w:val="0008774D"/>
    <w:rsid w:val="00087D95"/>
    <w:rsid w:val="000900DC"/>
    <w:rsid w:val="00090705"/>
    <w:rsid w:val="000911DD"/>
    <w:rsid w:val="000914A9"/>
    <w:rsid w:val="00091EDD"/>
    <w:rsid w:val="0009240A"/>
    <w:rsid w:val="0009251B"/>
    <w:rsid w:val="00092981"/>
    <w:rsid w:val="000937A7"/>
    <w:rsid w:val="00093978"/>
    <w:rsid w:val="0009435F"/>
    <w:rsid w:val="0009448C"/>
    <w:rsid w:val="000947AC"/>
    <w:rsid w:val="00094F49"/>
    <w:rsid w:val="00094F5C"/>
    <w:rsid w:val="000963B1"/>
    <w:rsid w:val="0009654D"/>
    <w:rsid w:val="00096A66"/>
    <w:rsid w:val="00096B4E"/>
    <w:rsid w:val="00097889"/>
    <w:rsid w:val="00097AFF"/>
    <w:rsid w:val="00097CBC"/>
    <w:rsid w:val="00097F0B"/>
    <w:rsid w:val="000A002F"/>
    <w:rsid w:val="000A0317"/>
    <w:rsid w:val="000A0B78"/>
    <w:rsid w:val="000A0BD1"/>
    <w:rsid w:val="000A22B6"/>
    <w:rsid w:val="000A2DB9"/>
    <w:rsid w:val="000A2DF8"/>
    <w:rsid w:val="000A2ED1"/>
    <w:rsid w:val="000A2EF6"/>
    <w:rsid w:val="000A306E"/>
    <w:rsid w:val="000A31CA"/>
    <w:rsid w:val="000A3393"/>
    <w:rsid w:val="000A3A6D"/>
    <w:rsid w:val="000A43AC"/>
    <w:rsid w:val="000A474D"/>
    <w:rsid w:val="000A5951"/>
    <w:rsid w:val="000A5A9B"/>
    <w:rsid w:val="000A5E98"/>
    <w:rsid w:val="000A6906"/>
    <w:rsid w:val="000A7327"/>
    <w:rsid w:val="000A73F0"/>
    <w:rsid w:val="000A74A5"/>
    <w:rsid w:val="000A74C8"/>
    <w:rsid w:val="000B015D"/>
    <w:rsid w:val="000B0BE5"/>
    <w:rsid w:val="000B0C27"/>
    <w:rsid w:val="000B0D64"/>
    <w:rsid w:val="000B105C"/>
    <w:rsid w:val="000B10A8"/>
    <w:rsid w:val="000B10D9"/>
    <w:rsid w:val="000B119C"/>
    <w:rsid w:val="000B14AA"/>
    <w:rsid w:val="000B166E"/>
    <w:rsid w:val="000B171F"/>
    <w:rsid w:val="000B181F"/>
    <w:rsid w:val="000B1889"/>
    <w:rsid w:val="000B1FA8"/>
    <w:rsid w:val="000B282E"/>
    <w:rsid w:val="000B28CD"/>
    <w:rsid w:val="000B290F"/>
    <w:rsid w:val="000B2962"/>
    <w:rsid w:val="000B2BCC"/>
    <w:rsid w:val="000B2CE4"/>
    <w:rsid w:val="000B35A0"/>
    <w:rsid w:val="000B4433"/>
    <w:rsid w:val="000B462D"/>
    <w:rsid w:val="000B47E5"/>
    <w:rsid w:val="000B4960"/>
    <w:rsid w:val="000B4E7C"/>
    <w:rsid w:val="000B5274"/>
    <w:rsid w:val="000B5382"/>
    <w:rsid w:val="000B5A30"/>
    <w:rsid w:val="000B6747"/>
    <w:rsid w:val="000B67F3"/>
    <w:rsid w:val="000B6880"/>
    <w:rsid w:val="000B6A0F"/>
    <w:rsid w:val="000B6E4C"/>
    <w:rsid w:val="000B769F"/>
    <w:rsid w:val="000B7821"/>
    <w:rsid w:val="000B7AA3"/>
    <w:rsid w:val="000C0EDA"/>
    <w:rsid w:val="000C1002"/>
    <w:rsid w:val="000C108E"/>
    <w:rsid w:val="000C10EB"/>
    <w:rsid w:val="000C2043"/>
    <w:rsid w:val="000C2208"/>
    <w:rsid w:val="000C227C"/>
    <w:rsid w:val="000C23BB"/>
    <w:rsid w:val="000C26D1"/>
    <w:rsid w:val="000C27A0"/>
    <w:rsid w:val="000C2C51"/>
    <w:rsid w:val="000C38A5"/>
    <w:rsid w:val="000C44E5"/>
    <w:rsid w:val="000C490C"/>
    <w:rsid w:val="000C5856"/>
    <w:rsid w:val="000C58CE"/>
    <w:rsid w:val="000C5A59"/>
    <w:rsid w:val="000C5D8E"/>
    <w:rsid w:val="000C6261"/>
    <w:rsid w:val="000C67E0"/>
    <w:rsid w:val="000C6A55"/>
    <w:rsid w:val="000C6ABF"/>
    <w:rsid w:val="000C72E3"/>
    <w:rsid w:val="000C79D9"/>
    <w:rsid w:val="000D005B"/>
    <w:rsid w:val="000D03DB"/>
    <w:rsid w:val="000D0AC3"/>
    <w:rsid w:val="000D1429"/>
    <w:rsid w:val="000D1491"/>
    <w:rsid w:val="000D16DE"/>
    <w:rsid w:val="000D1D91"/>
    <w:rsid w:val="000D2549"/>
    <w:rsid w:val="000D2C29"/>
    <w:rsid w:val="000D34EE"/>
    <w:rsid w:val="000D3523"/>
    <w:rsid w:val="000D3696"/>
    <w:rsid w:val="000D3B0D"/>
    <w:rsid w:val="000D3E56"/>
    <w:rsid w:val="000D3EB4"/>
    <w:rsid w:val="000D3F96"/>
    <w:rsid w:val="000D40F6"/>
    <w:rsid w:val="000D4425"/>
    <w:rsid w:val="000D481D"/>
    <w:rsid w:val="000D4956"/>
    <w:rsid w:val="000D5955"/>
    <w:rsid w:val="000D597A"/>
    <w:rsid w:val="000D5B43"/>
    <w:rsid w:val="000D5D71"/>
    <w:rsid w:val="000D6394"/>
    <w:rsid w:val="000D6744"/>
    <w:rsid w:val="000D67D9"/>
    <w:rsid w:val="000D68DD"/>
    <w:rsid w:val="000D69DE"/>
    <w:rsid w:val="000D78A9"/>
    <w:rsid w:val="000D791B"/>
    <w:rsid w:val="000D7F46"/>
    <w:rsid w:val="000E005F"/>
    <w:rsid w:val="000E094E"/>
    <w:rsid w:val="000E096E"/>
    <w:rsid w:val="000E09BC"/>
    <w:rsid w:val="000E09DF"/>
    <w:rsid w:val="000E0AD2"/>
    <w:rsid w:val="000E0FDF"/>
    <w:rsid w:val="000E12BB"/>
    <w:rsid w:val="000E1B57"/>
    <w:rsid w:val="000E1BA7"/>
    <w:rsid w:val="000E248E"/>
    <w:rsid w:val="000E257F"/>
    <w:rsid w:val="000E261D"/>
    <w:rsid w:val="000E2718"/>
    <w:rsid w:val="000E2C53"/>
    <w:rsid w:val="000E2FB5"/>
    <w:rsid w:val="000E35A4"/>
    <w:rsid w:val="000E3FD9"/>
    <w:rsid w:val="000E4280"/>
    <w:rsid w:val="000E4344"/>
    <w:rsid w:val="000E46FE"/>
    <w:rsid w:val="000E4A38"/>
    <w:rsid w:val="000E4C01"/>
    <w:rsid w:val="000E4CAA"/>
    <w:rsid w:val="000E52D2"/>
    <w:rsid w:val="000E5885"/>
    <w:rsid w:val="000E58B9"/>
    <w:rsid w:val="000E5A0E"/>
    <w:rsid w:val="000E6937"/>
    <w:rsid w:val="000E69FE"/>
    <w:rsid w:val="000E6D74"/>
    <w:rsid w:val="000E6DB6"/>
    <w:rsid w:val="000E752D"/>
    <w:rsid w:val="000E7CDE"/>
    <w:rsid w:val="000E7D15"/>
    <w:rsid w:val="000F018E"/>
    <w:rsid w:val="000F027C"/>
    <w:rsid w:val="000F0327"/>
    <w:rsid w:val="000F04EC"/>
    <w:rsid w:val="000F05EF"/>
    <w:rsid w:val="000F07CF"/>
    <w:rsid w:val="000F0B38"/>
    <w:rsid w:val="000F1327"/>
    <w:rsid w:val="000F2EA9"/>
    <w:rsid w:val="000F2EFA"/>
    <w:rsid w:val="000F32E0"/>
    <w:rsid w:val="000F3980"/>
    <w:rsid w:val="000F41BD"/>
    <w:rsid w:val="000F433C"/>
    <w:rsid w:val="000F4486"/>
    <w:rsid w:val="000F46AB"/>
    <w:rsid w:val="000F46B7"/>
    <w:rsid w:val="000F4D07"/>
    <w:rsid w:val="000F5908"/>
    <w:rsid w:val="000F5CC8"/>
    <w:rsid w:val="000F610B"/>
    <w:rsid w:val="000F612E"/>
    <w:rsid w:val="000F6864"/>
    <w:rsid w:val="000F6A80"/>
    <w:rsid w:val="000F6F65"/>
    <w:rsid w:val="000F74FA"/>
    <w:rsid w:val="000F7644"/>
    <w:rsid w:val="000F7F3F"/>
    <w:rsid w:val="00100033"/>
    <w:rsid w:val="00100A3C"/>
    <w:rsid w:val="00100A44"/>
    <w:rsid w:val="00100A6A"/>
    <w:rsid w:val="00100EEA"/>
    <w:rsid w:val="001014FD"/>
    <w:rsid w:val="00101BF0"/>
    <w:rsid w:val="00101CA7"/>
    <w:rsid w:val="00102205"/>
    <w:rsid w:val="00102EC6"/>
    <w:rsid w:val="00103259"/>
    <w:rsid w:val="00103684"/>
    <w:rsid w:val="00103C08"/>
    <w:rsid w:val="001042CC"/>
    <w:rsid w:val="0010449E"/>
    <w:rsid w:val="001044B2"/>
    <w:rsid w:val="001045E8"/>
    <w:rsid w:val="001056D3"/>
    <w:rsid w:val="0010575A"/>
    <w:rsid w:val="001058A1"/>
    <w:rsid w:val="0010604C"/>
    <w:rsid w:val="001067A4"/>
    <w:rsid w:val="0010696F"/>
    <w:rsid w:val="00106AFF"/>
    <w:rsid w:val="00106C76"/>
    <w:rsid w:val="001075A9"/>
    <w:rsid w:val="00107653"/>
    <w:rsid w:val="00107A2C"/>
    <w:rsid w:val="00107A50"/>
    <w:rsid w:val="00107B95"/>
    <w:rsid w:val="00107C79"/>
    <w:rsid w:val="00107F4A"/>
    <w:rsid w:val="00107F56"/>
    <w:rsid w:val="00110379"/>
    <w:rsid w:val="00110DD2"/>
    <w:rsid w:val="00110F05"/>
    <w:rsid w:val="001111E7"/>
    <w:rsid w:val="00111814"/>
    <w:rsid w:val="0011199E"/>
    <w:rsid w:val="00111C04"/>
    <w:rsid w:val="00111D6D"/>
    <w:rsid w:val="0011207B"/>
    <w:rsid w:val="0011226D"/>
    <w:rsid w:val="00112323"/>
    <w:rsid w:val="00112546"/>
    <w:rsid w:val="00112B06"/>
    <w:rsid w:val="0011352F"/>
    <w:rsid w:val="001136DE"/>
    <w:rsid w:val="00113723"/>
    <w:rsid w:val="00113B3A"/>
    <w:rsid w:val="001142D6"/>
    <w:rsid w:val="0011455D"/>
    <w:rsid w:val="0011493F"/>
    <w:rsid w:val="00114D70"/>
    <w:rsid w:val="00115AEC"/>
    <w:rsid w:val="00115E13"/>
    <w:rsid w:val="00115F90"/>
    <w:rsid w:val="00116055"/>
    <w:rsid w:val="00116526"/>
    <w:rsid w:val="00116A1C"/>
    <w:rsid w:val="00117593"/>
    <w:rsid w:val="00117B1F"/>
    <w:rsid w:val="001201A5"/>
    <w:rsid w:val="00120AF9"/>
    <w:rsid w:val="00120CFA"/>
    <w:rsid w:val="001210E3"/>
    <w:rsid w:val="00121615"/>
    <w:rsid w:val="001216C1"/>
    <w:rsid w:val="001217C9"/>
    <w:rsid w:val="00121D41"/>
    <w:rsid w:val="00122378"/>
    <w:rsid w:val="00122445"/>
    <w:rsid w:val="0012268A"/>
    <w:rsid w:val="001229E1"/>
    <w:rsid w:val="00122CC3"/>
    <w:rsid w:val="00124054"/>
    <w:rsid w:val="001243D8"/>
    <w:rsid w:val="00124811"/>
    <w:rsid w:val="00125160"/>
    <w:rsid w:val="001253BC"/>
    <w:rsid w:val="0012624D"/>
    <w:rsid w:val="001265D8"/>
    <w:rsid w:val="00126670"/>
    <w:rsid w:val="001267AA"/>
    <w:rsid w:val="00126C3C"/>
    <w:rsid w:val="00126F0E"/>
    <w:rsid w:val="00127395"/>
    <w:rsid w:val="00127632"/>
    <w:rsid w:val="001276CC"/>
    <w:rsid w:val="001278FC"/>
    <w:rsid w:val="00127A12"/>
    <w:rsid w:val="00127A44"/>
    <w:rsid w:val="00127F85"/>
    <w:rsid w:val="00130310"/>
    <w:rsid w:val="001311AA"/>
    <w:rsid w:val="0013168F"/>
    <w:rsid w:val="00131803"/>
    <w:rsid w:val="001319E1"/>
    <w:rsid w:val="00131AF9"/>
    <w:rsid w:val="00131D38"/>
    <w:rsid w:val="00131D64"/>
    <w:rsid w:val="0013233E"/>
    <w:rsid w:val="0013259B"/>
    <w:rsid w:val="0013269D"/>
    <w:rsid w:val="001326F8"/>
    <w:rsid w:val="00132A5C"/>
    <w:rsid w:val="00132D1C"/>
    <w:rsid w:val="00132EF6"/>
    <w:rsid w:val="00132F5D"/>
    <w:rsid w:val="00133401"/>
    <w:rsid w:val="00133876"/>
    <w:rsid w:val="00133966"/>
    <w:rsid w:val="00133AA8"/>
    <w:rsid w:val="00133DD9"/>
    <w:rsid w:val="00134990"/>
    <w:rsid w:val="001349BE"/>
    <w:rsid w:val="001349E8"/>
    <w:rsid w:val="00134FD2"/>
    <w:rsid w:val="00135E11"/>
    <w:rsid w:val="00136205"/>
    <w:rsid w:val="00136923"/>
    <w:rsid w:val="00136CA3"/>
    <w:rsid w:val="001375E8"/>
    <w:rsid w:val="00137EDE"/>
    <w:rsid w:val="0014079D"/>
    <w:rsid w:val="00140925"/>
    <w:rsid w:val="0014093A"/>
    <w:rsid w:val="0014200C"/>
    <w:rsid w:val="0014373D"/>
    <w:rsid w:val="00143902"/>
    <w:rsid w:val="00143A3C"/>
    <w:rsid w:val="00143EF7"/>
    <w:rsid w:val="00144085"/>
    <w:rsid w:val="001443D9"/>
    <w:rsid w:val="00144804"/>
    <w:rsid w:val="00144C19"/>
    <w:rsid w:val="00145B2E"/>
    <w:rsid w:val="00145E30"/>
    <w:rsid w:val="00146060"/>
    <w:rsid w:val="0014610F"/>
    <w:rsid w:val="00146236"/>
    <w:rsid w:val="00146805"/>
    <w:rsid w:val="001469EA"/>
    <w:rsid w:val="00146A16"/>
    <w:rsid w:val="0014708E"/>
    <w:rsid w:val="00147736"/>
    <w:rsid w:val="00150174"/>
    <w:rsid w:val="001501C2"/>
    <w:rsid w:val="001502D9"/>
    <w:rsid w:val="001506CC"/>
    <w:rsid w:val="00150790"/>
    <w:rsid w:val="00150C5C"/>
    <w:rsid w:val="001512E6"/>
    <w:rsid w:val="001522CC"/>
    <w:rsid w:val="001524BB"/>
    <w:rsid w:val="001526EC"/>
    <w:rsid w:val="00152891"/>
    <w:rsid w:val="0015330E"/>
    <w:rsid w:val="0015399E"/>
    <w:rsid w:val="00154001"/>
    <w:rsid w:val="00154381"/>
    <w:rsid w:val="0015470D"/>
    <w:rsid w:val="0015473B"/>
    <w:rsid w:val="00154F4B"/>
    <w:rsid w:val="00154FBE"/>
    <w:rsid w:val="00155116"/>
    <w:rsid w:val="00155267"/>
    <w:rsid w:val="0015588B"/>
    <w:rsid w:val="00155C67"/>
    <w:rsid w:val="0015643B"/>
    <w:rsid w:val="001565BA"/>
    <w:rsid w:val="001565DB"/>
    <w:rsid w:val="00156B8B"/>
    <w:rsid w:val="00156DB3"/>
    <w:rsid w:val="001570A6"/>
    <w:rsid w:val="0015780F"/>
    <w:rsid w:val="00160123"/>
    <w:rsid w:val="001613EC"/>
    <w:rsid w:val="0016143D"/>
    <w:rsid w:val="001618F0"/>
    <w:rsid w:val="00161CC4"/>
    <w:rsid w:val="00161F1A"/>
    <w:rsid w:val="00162470"/>
    <w:rsid w:val="00162490"/>
    <w:rsid w:val="00162790"/>
    <w:rsid w:val="00162EB9"/>
    <w:rsid w:val="00162FF5"/>
    <w:rsid w:val="001636D9"/>
    <w:rsid w:val="001639D8"/>
    <w:rsid w:val="00164E3A"/>
    <w:rsid w:val="00164FDA"/>
    <w:rsid w:val="001652C7"/>
    <w:rsid w:val="00165574"/>
    <w:rsid w:val="00165BD7"/>
    <w:rsid w:val="00166CFC"/>
    <w:rsid w:val="00167F6C"/>
    <w:rsid w:val="00170361"/>
    <w:rsid w:val="001703FA"/>
    <w:rsid w:val="0017042B"/>
    <w:rsid w:val="001704AD"/>
    <w:rsid w:val="001708BC"/>
    <w:rsid w:val="00171AC6"/>
    <w:rsid w:val="001720B4"/>
    <w:rsid w:val="0017213F"/>
    <w:rsid w:val="001723EF"/>
    <w:rsid w:val="001725EC"/>
    <w:rsid w:val="00172A63"/>
    <w:rsid w:val="00172E90"/>
    <w:rsid w:val="00173C32"/>
    <w:rsid w:val="00174455"/>
    <w:rsid w:val="00174AC2"/>
    <w:rsid w:val="00175841"/>
    <w:rsid w:val="00175CF5"/>
    <w:rsid w:val="001763B4"/>
    <w:rsid w:val="0017640E"/>
    <w:rsid w:val="00177132"/>
    <w:rsid w:val="0017751F"/>
    <w:rsid w:val="00177888"/>
    <w:rsid w:val="001778A6"/>
    <w:rsid w:val="00177C79"/>
    <w:rsid w:val="00177E16"/>
    <w:rsid w:val="00177F8B"/>
    <w:rsid w:val="00180EF8"/>
    <w:rsid w:val="00181D6E"/>
    <w:rsid w:val="00182944"/>
    <w:rsid w:val="00182D6E"/>
    <w:rsid w:val="00182E3B"/>
    <w:rsid w:val="00182F4C"/>
    <w:rsid w:val="001835CA"/>
    <w:rsid w:val="00183673"/>
    <w:rsid w:val="00183A12"/>
    <w:rsid w:val="00184066"/>
    <w:rsid w:val="001841CD"/>
    <w:rsid w:val="00184274"/>
    <w:rsid w:val="00184FB6"/>
    <w:rsid w:val="0018510B"/>
    <w:rsid w:val="00185642"/>
    <w:rsid w:val="001858FF"/>
    <w:rsid w:val="001860AC"/>
    <w:rsid w:val="001868B5"/>
    <w:rsid w:val="00186BAD"/>
    <w:rsid w:val="00186D25"/>
    <w:rsid w:val="00186F51"/>
    <w:rsid w:val="00186FE0"/>
    <w:rsid w:val="00187060"/>
    <w:rsid w:val="0018737F"/>
    <w:rsid w:val="00187449"/>
    <w:rsid w:val="001879D8"/>
    <w:rsid w:val="00187B08"/>
    <w:rsid w:val="00190304"/>
    <w:rsid w:val="00190B51"/>
    <w:rsid w:val="00191A8D"/>
    <w:rsid w:val="00192606"/>
    <w:rsid w:val="001929AE"/>
    <w:rsid w:val="001929F8"/>
    <w:rsid w:val="00192BA2"/>
    <w:rsid w:val="00193506"/>
    <w:rsid w:val="001936A1"/>
    <w:rsid w:val="00193B95"/>
    <w:rsid w:val="00193F24"/>
    <w:rsid w:val="001940D6"/>
    <w:rsid w:val="00194691"/>
    <w:rsid w:val="00194B6F"/>
    <w:rsid w:val="00195669"/>
    <w:rsid w:val="001957C6"/>
    <w:rsid w:val="00195A2C"/>
    <w:rsid w:val="00195DE4"/>
    <w:rsid w:val="001960AD"/>
    <w:rsid w:val="0019671B"/>
    <w:rsid w:val="00196CDD"/>
    <w:rsid w:val="00196D55"/>
    <w:rsid w:val="001A052C"/>
    <w:rsid w:val="001A0554"/>
    <w:rsid w:val="001A055A"/>
    <w:rsid w:val="001A06E0"/>
    <w:rsid w:val="001A096C"/>
    <w:rsid w:val="001A09F1"/>
    <w:rsid w:val="001A1744"/>
    <w:rsid w:val="001A18E6"/>
    <w:rsid w:val="001A1905"/>
    <w:rsid w:val="001A1906"/>
    <w:rsid w:val="001A1962"/>
    <w:rsid w:val="001A21D1"/>
    <w:rsid w:val="001A250D"/>
    <w:rsid w:val="001A2524"/>
    <w:rsid w:val="001A26B2"/>
    <w:rsid w:val="001A2742"/>
    <w:rsid w:val="001A2FEE"/>
    <w:rsid w:val="001A328A"/>
    <w:rsid w:val="001A32CF"/>
    <w:rsid w:val="001A4238"/>
    <w:rsid w:val="001A47FA"/>
    <w:rsid w:val="001A4E89"/>
    <w:rsid w:val="001A5457"/>
    <w:rsid w:val="001A558F"/>
    <w:rsid w:val="001A56AC"/>
    <w:rsid w:val="001A5A47"/>
    <w:rsid w:val="001A5F90"/>
    <w:rsid w:val="001A623B"/>
    <w:rsid w:val="001A625D"/>
    <w:rsid w:val="001A6740"/>
    <w:rsid w:val="001A6744"/>
    <w:rsid w:val="001A7098"/>
    <w:rsid w:val="001A72A0"/>
    <w:rsid w:val="001A7860"/>
    <w:rsid w:val="001A7ACB"/>
    <w:rsid w:val="001A7D42"/>
    <w:rsid w:val="001B03EF"/>
    <w:rsid w:val="001B0F14"/>
    <w:rsid w:val="001B1388"/>
    <w:rsid w:val="001B139A"/>
    <w:rsid w:val="001B16EF"/>
    <w:rsid w:val="001B1B58"/>
    <w:rsid w:val="001B281A"/>
    <w:rsid w:val="001B2B7F"/>
    <w:rsid w:val="001B2F53"/>
    <w:rsid w:val="001B3187"/>
    <w:rsid w:val="001B3311"/>
    <w:rsid w:val="001B366B"/>
    <w:rsid w:val="001B3765"/>
    <w:rsid w:val="001B3A3E"/>
    <w:rsid w:val="001B3EBC"/>
    <w:rsid w:val="001B409E"/>
    <w:rsid w:val="001B439D"/>
    <w:rsid w:val="001B4516"/>
    <w:rsid w:val="001B4642"/>
    <w:rsid w:val="001B4649"/>
    <w:rsid w:val="001B4728"/>
    <w:rsid w:val="001B49E4"/>
    <w:rsid w:val="001B4BAD"/>
    <w:rsid w:val="001B4EE3"/>
    <w:rsid w:val="001B4EE6"/>
    <w:rsid w:val="001B4F9F"/>
    <w:rsid w:val="001B5079"/>
    <w:rsid w:val="001B5260"/>
    <w:rsid w:val="001B5AF8"/>
    <w:rsid w:val="001B5BA3"/>
    <w:rsid w:val="001B5CF2"/>
    <w:rsid w:val="001B63AD"/>
    <w:rsid w:val="001B6463"/>
    <w:rsid w:val="001B673E"/>
    <w:rsid w:val="001B67B6"/>
    <w:rsid w:val="001B6A6F"/>
    <w:rsid w:val="001B6BD5"/>
    <w:rsid w:val="001B6C73"/>
    <w:rsid w:val="001B79BD"/>
    <w:rsid w:val="001B7D66"/>
    <w:rsid w:val="001B7F3A"/>
    <w:rsid w:val="001C000A"/>
    <w:rsid w:val="001C042D"/>
    <w:rsid w:val="001C0B9B"/>
    <w:rsid w:val="001C0CA6"/>
    <w:rsid w:val="001C0F92"/>
    <w:rsid w:val="001C1230"/>
    <w:rsid w:val="001C1456"/>
    <w:rsid w:val="001C1D50"/>
    <w:rsid w:val="001C1DB4"/>
    <w:rsid w:val="001C1E5E"/>
    <w:rsid w:val="001C23B3"/>
    <w:rsid w:val="001C2546"/>
    <w:rsid w:val="001C2705"/>
    <w:rsid w:val="001C2885"/>
    <w:rsid w:val="001C2A80"/>
    <w:rsid w:val="001C2F66"/>
    <w:rsid w:val="001C2FFB"/>
    <w:rsid w:val="001C3316"/>
    <w:rsid w:val="001C354D"/>
    <w:rsid w:val="001C3BF0"/>
    <w:rsid w:val="001C3C1A"/>
    <w:rsid w:val="001C3ED3"/>
    <w:rsid w:val="001C4297"/>
    <w:rsid w:val="001C5306"/>
    <w:rsid w:val="001C54C9"/>
    <w:rsid w:val="001C5827"/>
    <w:rsid w:val="001C6235"/>
    <w:rsid w:val="001C6910"/>
    <w:rsid w:val="001C6970"/>
    <w:rsid w:val="001C6D20"/>
    <w:rsid w:val="001D0012"/>
    <w:rsid w:val="001D0157"/>
    <w:rsid w:val="001D056C"/>
    <w:rsid w:val="001D0872"/>
    <w:rsid w:val="001D0AA5"/>
    <w:rsid w:val="001D0AF5"/>
    <w:rsid w:val="001D182A"/>
    <w:rsid w:val="001D1EF6"/>
    <w:rsid w:val="001D2092"/>
    <w:rsid w:val="001D2418"/>
    <w:rsid w:val="001D26FD"/>
    <w:rsid w:val="001D26FF"/>
    <w:rsid w:val="001D297C"/>
    <w:rsid w:val="001D2F87"/>
    <w:rsid w:val="001D3152"/>
    <w:rsid w:val="001D325A"/>
    <w:rsid w:val="001D3BBF"/>
    <w:rsid w:val="001D3D7B"/>
    <w:rsid w:val="001D4457"/>
    <w:rsid w:val="001D4A26"/>
    <w:rsid w:val="001D4E33"/>
    <w:rsid w:val="001D53FB"/>
    <w:rsid w:val="001D58C9"/>
    <w:rsid w:val="001D5B54"/>
    <w:rsid w:val="001D6E61"/>
    <w:rsid w:val="001D7550"/>
    <w:rsid w:val="001D78A5"/>
    <w:rsid w:val="001D7F37"/>
    <w:rsid w:val="001D7FF1"/>
    <w:rsid w:val="001E05B9"/>
    <w:rsid w:val="001E0A14"/>
    <w:rsid w:val="001E0FEA"/>
    <w:rsid w:val="001E134E"/>
    <w:rsid w:val="001E14C2"/>
    <w:rsid w:val="001E181D"/>
    <w:rsid w:val="001E19F7"/>
    <w:rsid w:val="001E236C"/>
    <w:rsid w:val="001E275C"/>
    <w:rsid w:val="001E2DC1"/>
    <w:rsid w:val="001E30BB"/>
    <w:rsid w:val="001E330D"/>
    <w:rsid w:val="001E3410"/>
    <w:rsid w:val="001E38E0"/>
    <w:rsid w:val="001E3CC3"/>
    <w:rsid w:val="001E4373"/>
    <w:rsid w:val="001E4C8A"/>
    <w:rsid w:val="001E4D57"/>
    <w:rsid w:val="001E4F3E"/>
    <w:rsid w:val="001E56AC"/>
    <w:rsid w:val="001E5F9E"/>
    <w:rsid w:val="001E6328"/>
    <w:rsid w:val="001E6649"/>
    <w:rsid w:val="001E6D85"/>
    <w:rsid w:val="001E6FD5"/>
    <w:rsid w:val="001E7211"/>
    <w:rsid w:val="001E7380"/>
    <w:rsid w:val="001E73DD"/>
    <w:rsid w:val="001E79C6"/>
    <w:rsid w:val="001E7A8F"/>
    <w:rsid w:val="001E7BB2"/>
    <w:rsid w:val="001E7C7F"/>
    <w:rsid w:val="001F0016"/>
    <w:rsid w:val="001F0703"/>
    <w:rsid w:val="001F0F0E"/>
    <w:rsid w:val="001F1DBA"/>
    <w:rsid w:val="001F2D9D"/>
    <w:rsid w:val="001F317E"/>
    <w:rsid w:val="001F3785"/>
    <w:rsid w:val="001F3FB9"/>
    <w:rsid w:val="001F40DD"/>
    <w:rsid w:val="001F4283"/>
    <w:rsid w:val="001F44E9"/>
    <w:rsid w:val="001F4507"/>
    <w:rsid w:val="001F46F8"/>
    <w:rsid w:val="001F4820"/>
    <w:rsid w:val="001F51A8"/>
    <w:rsid w:val="001F5D72"/>
    <w:rsid w:val="001F641B"/>
    <w:rsid w:val="001F74F6"/>
    <w:rsid w:val="001F7D0C"/>
    <w:rsid w:val="001F7F7E"/>
    <w:rsid w:val="001F7FB2"/>
    <w:rsid w:val="00200350"/>
    <w:rsid w:val="00200677"/>
    <w:rsid w:val="00200ACD"/>
    <w:rsid w:val="00201AE3"/>
    <w:rsid w:val="00201BCA"/>
    <w:rsid w:val="00201F7B"/>
    <w:rsid w:val="00202A2A"/>
    <w:rsid w:val="00202F40"/>
    <w:rsid w:val="0020303D"/>
    <w:rsid w:val="00203257"/>
    <w:rsid w:val="0020392F"/>
    <w:rsid w:val="00203C8D"/>
    <w:rsid w:val="00203DE5"/>
    <w:rsid w:val="0020409F"/>
    <w:rsid w:val="0020411D"/>
    <w:rsid w:val="002041C8"/>
    <w:rsid w:val="002047A8"/>
    <w:rsid w:val="0020511B"/>
    <w:rsid w:val="0020533C"/>
    <w:rsid w:val="00205C6F"/>
    <w:rsid w:val="002060DD"/>
    <w:rsid w:val="00206775"/>
    <w:rsid w:val="002069CB"/>
    <w:rsid w:val="00206AEA"/>
    <w:rsid w:val="0020729E"/>
    <w:rsid w:val="002074EA"/>
    <w:rsid w:val="002079B2"/>
    <w:rsid w:val="002079CF"/>
    <w:rsid w:val="002104F0"/>
    <w:rsid w:val="0021060F"/>
    <w:rsid w:val="00210823"/>
    <w:rsid w:val="002108DB"/>
    <w:rsid w:val="00210AC3"/>
    <w:rsid w:val="002111B7"/>
    <w:rsid w:val="002116A2"/>
    <w:rsid w:val="0021190D"/>
    <w:rsid w:val="002121F5"/>
    <w:rsid w:val="00212216"/>
    <w:rsid w:val="00212827"/>
    <w:rsid w:val="002129B0"/>
    <w:rsid w:val="00212F03"/>
    <w:rsid w:val="0021328C"/>
    <w:rsid w:val="002138F1"/>
    <w:rsid w:val="00213EAC"/>
    <w:rsid w:val="00214EBD"/>
    <w:rsid w:val="002153A3"/>
    <w:rsid w:val="0021564E"/>
    <w:rsid w:val="0021683D"/>
    <w:rsid w:val="00216AB8"/>
    <w:rsid w:val="00216B44"/>
    <w:rsid w:val="00220374"/>
    <w:rsid w:val="00220867"/>
    <w:rsid w:val="00220FE0"/>
    <w:rsid w:val="0022116A"/>
    <w:rsid w:val="002211B0"/>
    <w:rsid w:val="00221445"/>
    <w:rsid w:val="00221846"/>
    <w:rsid w:val="00221879"/>
    <w:rsid w:val="002221CD"/>
    <w:rsid w:val="00222A85"/>
    <w:rsid w:val="00224499"/>
    <w:rsid w:val="00224837"/>
    <w:rsid w:val="00225A3A"/>
    <w:rsid w:val="00225BE0"/>
    <w:rsid w:val="00225F9A"/>
    <w:rsid w:val="002261ED"/>
    <w:rsid w:val="002264C6"/>
    <w:rsid w:val="002266B2"/>
    <w:rsid w:val="00227666"/>
    <w:rsid w:val="00227B05"/>
    <w:rsid w:val="00227D7A"/>
    <w:rsid w:val="0023059A"/>
    <w:rsid w:val="002307B0"/>
    <w:rsid w:val="002308A6"/>
    <w:rsid w:val="0023096F"/>
    <w:rsid w:val="00231441"/>
    <w:rsid w:val="002314D0"/>
    <w:rsid w:val="002318EE"/>
    <w:rsid w:val="0023235E"/>
    <w:rsid w:val="00232572"/>
    <w:rsid w:val="00232EE7"/>
    <w:rsid w:val="002330F8"/>
    <w:rsid w:val="00233413"/>
    <w:rsid w:val="00233829"/>
    <w:rsid w:val="00234519"/>
    <w:rsid w:val="0023542C"/>
    <w:rsid w:val="00235B16"/>
    <w:rsid w:val="00236006"/>
    <w:rsid w:val="0023604A"/>
    <w:rsid w:val="00236259"/>
    <w:rsid w:val="002367BC"/>
    <w:rsid w:val="002369ED"/>
    <w:rsid w:val="00236A05"/>
    <w:rsid w:val="00237400"/>
    <w:rsid w:val="0023745E"/>
    <w:rsid w:val="00237663"/>
    <w:rsid w:val="00237B1C"/>
    <w:rsid w:val="0024062B"/>
    <w:rsid w:val="00240F2C"/>
    <w:rsid w:val="0024102A"/>
    <w:rsid w:val="002412F0"/>
    <w:rsid w:val="00241B43"/>
    <w:rsid w:val="00241E6B"/>
    <w:rsid w:val="00241F6F"/>
    <w:rsid w:val="002426B2"/>
    <w:rsid w:val="002431D5"/>
    <w:rsid w:val="00243236"/>
    <w:rsid w:val="00243785"/>
    <w:rsid w:val="00244142"/>
    <w:rsid w:val="00244238"/>
    <w:rsid w:val="00244D22"/>
    <w:rsid w:val="002459EB"/>
    <w:rsid w:val="00245AEA"/>
    <w:rsid w:val="00245B61"/>
    <w:rsid w:val="00245D85"/>
    <w:rsid w:val="00246171"/>
    <w:rsid w:val="00247408"/>
    <w:rsid w:val="002478EC"/>
    <w:rsid w:val="00250588"/>
    <w:rsid w:val="00250E2B"/>
    <w:rsid w:val="002512DB"/>
    <w:rsid w:val="00251335"/>
    <w:rsid w:val="00251432"/>
    <w:rsid w:val="0025149F"/>
    <w:rsid w:val="00251534"/>
    <w:rsid w:val="00251B57"/>
    <w:rsid w:val="00251FF6"/>
    <w:rsid w:val="0025211A"/>
    <w:rsid w:val="00252295"/>
    <w:rsid w:val="0025267D"/>
    <w:rsid w:val="002529E0"/>
    <w:rsid w:val="00252A15"/>
    <w:rsid w:val="00252BA3"/>
    <w:rsid w:val="00252DCD"/>
    <w:rsid w:val="00253376"/>
    <w:rsid w:val="00253524"/>
    <w:rsid w:val="002536AD"/>
    <w:rsid w:val="002538B4"/>
    <w:rsid w:val="00253CAB"/>
    <w:rsid w:val="00253D7C"/>
    <w:rsid w:val="00253E0B"/>
    <w:rsid w:val="00253EAD"/>
    <w:rsid w:val="00254D7C"/>
    <w:rsid w:val="00254FE8"/>
    <w:rsid w:val="0025566C"/>
    <w:rsid w:val="002556C1"/>
    <w:rsid w:val="002559D8"/>
    <w:rsid w:val="00255B2C"/>
    <w:rsid w:val="00255B61"/>
    <w:rsid w:val="00255F3C"/>
    <w:rsid w:val="00256127"/>
    <w:rsid w:val="00256295"/>
    <w:rsid w:val="002564C8"/>
    <w:rsid w:val="00256FCA"/>
    <w:rsid w:val="00256FE6"/>
    <w:rsid w:val="00257183"/>
    <w:rsid w:val="002575DA"/>
    <w:rsid w:val="0025791A"/>
    <w:rsid w:val="00257CAA"/>
    <w:rsid w:val="002605C0"/>
    <w:rsid w:val="00260BFF"/>
    <w:rsid w:val="0026116E"/>
    <w:rsid w:val="0026219A"/>
    <w:rsid w:val="002623EC"/>
    <w:rsid w:val="002627EA"/>
    <w:rsid w:val="00262DCD"/>
    <w:rsid w:val="0026325C"/>
    <w:rsid w:val="002632B5"/>
    <w:rsid w:val="00263A5C"/>
    <w:rsid w:val="00263DC6"/>
    <w:rsid w:val="00264059"/>
    <w:rsid w:val="002640F1"/>
    <w:rsid w:val="00264758"/>
    <w:rsid w:val="00264B5B"/>
    <w:rsid w:val="00264D17"/>
    <w:rsid w:val="00264F44"/>
    <w:rsid w:val="0026579B"/>
    <w:rsid w:val="00265D3A"/>
    <w:rsid w:val="00266287"/>
    <w:rsid w:val="00266341"/>
    <w:rsid w:val="002665E8"/>
    <w:rsid w:val="00266DFB"/>
    <w:rsid w:val="00267272"/>
    <w:rsid w:val="00267446"/>
    <w:rsid w:val="0026752A"/>
    <w:rsid w:val="002679EC"/>
    <w:rsid w:val="00267DA2"/>
    <w:rsid w:val="0027063B"/>
    <w:rsid w:val="00270779"/>
    <w:rsid w:val="00270F61"/>
    <w:rsid w:val="002711ED"/>
    <w:rsid w:val="00271877"/>
    <w:rsid w:val="00271F40"/>
    <w:rsid w:val="00271F68"/>
    <w:rsid w:val="002723C6"/>
    <w:rsid w:val="00272679"/>
    <w:rsid w:val="0027283F"/>
    <w:rsid w:val="002729A8"/>
    <w:rsid w:val="00272BB2"/>
    <w:rsid w:val="00272E34"/>
    <w:rsid w:val="00272FCA"/>
    <w:rsid w:val="002736FD"/>
    <w:rsid w:val="002738C4"/>
    <w:rsid w:val="00273F81"/>
    <w:rsid w:val="00274749"/>
    <w:rsid w:val="00274860"/>
    <w:rsid w:val="00274912"/>
    <w:rsid w:val="00274A05"/>
    <w:rsid w:val="00274B8B"/>
    <w:rsid w:val="00274C66"/>
    <w:rsid w:val="00275333"/>
    <w:rsid w:val="00275B1B"/>
    <w:rsid w:val="00275CBE"/>
    <w:rsid w:val="0027604A"/>
    <w:rsid w:val="00276B9B"/>
    <w:rsid w:val="00276BA2"/>
    <w:rsid w:val="00276BFD"/>
    <w:rsid w:val="00276DE8"/>
    <w:rsid w:val="0027715C"/>
    <w:rsid w:val="002773BA"/>
    <w:rsid w:val="0027782C"/>
    <w:rsid w:val="00277D6A"/>
    <w:rsid w:val="00277DE4"/>
    <w:rsid w:val="00277DFF"/>
    <w:rsid w:val="0028008C"/>
    <w:rsid w:val="002808F2"/>
    <w:rsid w:val="00280971"/>
    <w:rsid w:val="002814F3"/>
    <w:rsid w:val="00281717"/>
    <w:rsid w:val="00281E89"/>
    <w:rsid w:val="0028227E"/>
    <w:rsid w:val="00282898"/>
    <w:rsid w:val="002828B0"/>
    <w:rsid w:val="00282A3C"/>
    <w:rsid w:val="00282DAA"/>
    <w:rsid w:val="00282FC8"/>
    <w:rsid w:val="00283460"/>
    <w:rsid w:val="002840F7"/>
    <w:rsid w:val="00284B42"/>
    <w:rsid w:val="00284D4F"/>
    <w:rsid w:val="002858E2"/>
    <w:rsid w:val="002861B0"/>
    <w:rsid w:val="0028632D"/>
    <w:rsid w:val="002869B3"/>
    <w:rsid w:val="00286A02"/>
    <w:rsid w:val="00287392"/>
    <w:rsid w:val="002876E2"/>
    <w:rsid w:val="00287B67"/>
    <w:rsid w:val="00287BB7"/>
    <w:rsid w:val="00287C4F"/>
    <w:rsid w:val="00290408"/>
    <w:rsid w:val="00290886"/>
    <w:rsid w:val="00290DAB"/>
    <w:rsid w:val="00290E77"/>
    <w:rsid w:val="0029209A"/>
    <w:rsid w:val="0029267F"/>
    <w:rsid w:val="0029283D"/>
    <w:rsid w:val="00293CC6"/>
    <w:rsid w:val="00293CE2"/>
    <w:rsid w:val="0029409E"/>
    <w:rsid w:val="00294419"/>
    <w:rsid w:val="002948B6"/>
    <w:rsid w:val="00294A17"/>
    <w:rsid w:val="00294A48"/>
    <w:rsid w:val="00294FEB"/>
    <w:rsid w:val="00296695"/>
    <w:rsid w:val="00296E8A"/>
    <w:rsid w:val="002970E1"/>
    <w:rsid w:val="002A005D"/>
    <w:rsid w:val="002A0412"/>
    <w:rsid w:val="002A0A7E"/>
    <w:rsid w:val="002A0B19"/>
    <w:rsid w:val="002A0CD2"/>
    <w:rsid w:val="002A0E04"/>
    <w:rsid w:val="002A13A6"/>
    <w:rsid w:val="002A149F"/>
    <w:rsid w:val="002A14E2"/>
    <w:rsid w:val="002A1DF1"/>
    <w:rsid w:val="002A21B9"/>
    <w:rsid w:val="002A2F33"/>
    <w:rsid w:val="002A3473"/>
    <w:rsid w:val="002A3716"/>
    <w:rsid w:val="002A3A11"/>
    <w:rsid w:val="002A3A78"/>
    <w:rsid w:val="002A3C3F"/>
    <w:rsid w:val="002A4354"/>
    <w:rsid w:val="002A4904"/>
    <w:rsid w:val="002A4B4B"/>
    <w:rsid w:val="002A5044"/>
    <w:rsid w:val="002A5C11"/>
    <w:rsid w:val="002A5D00"/>
    <w:rsid w:val="002A5D8D"/>
    <w:rsid w:val="002A5FAC"/>
    <w:rsid w:val="002A6314"/>
    <w:rsid w:val="002A6502"/>
    <w:rsid w:val="002A6530"/>
    <w:rsid w:val="002A67EA"/>
    <w:rsid w:val="002A7966"/>
    <w:rsid w:val="002B00E9"/>
    <w:rsid w:val="002B0208"/>
    <w:rsid w:val="002B0274"/>
    <w:rsid w:val="002B041C"/>
    <w:rsid w:val="002B0533"/>
    <w:rsid w:val="002B0743"/>
    <w:rsid w:val="002B08BC"/>
    <w:rsid w:val="002B0947"/>
    <w:rsid w:val="002B0A8D"/>
    <w:rsid w:val="002B13BC"/>
    <w:rsid w:val="002B151C"/>
    <w:rsid w:val="002B1B89"/>
    <w:rsid w:val="002B1BB8"/>
    <w:rsid w:val="002B1C34"/>
    <w:rsid w:val="002B1FFF"/>
    <w:rsid w:val="002B2734"/>
    <w:rsid w:val="002B27B1"/>
    <w:rsid w:val="002B2C5E"/>
    <w:rsid w:val="002B2D41"/>
    <w:rsid w:val="002B2F83"/>
    <w:rsid w:val="002B3557"/>
    <w:rsid w:val="002B44AB"/>
    <w:rsid w:val="002B4B64"/>
    <w:rsid w:val="002B4D0B"/>
    <w:rsid w:val="002B4DDF"/>
    <w:rsid w:val="002B4E9F"/>
    <w:rsid w:val="002B5404"/>
    <w:rsid w:val="002B61CF"/>
    <w:rsid w:val="002B6811"/>
    <w:rsid w:val="002B73FA"/>
    <w:rsid w:val="002B767D"/>
    <w:rsid w:val="002B7CE5"/>
    <w:rsid w:val="002B7F5E"/>
    <w:rsid w:val="002C1A04"/>
    <w:rsid w:val="002C1DCA"/>
    <w:rsid w:val="002C2147"/>
    <w:rsid w:val="002C225C"/>
    <w:rsid w:val="002C33FE"/>
    <w:rsid w:val="002C36EB"/>
    <w:rsid w:val="002C4127"/>
    <w:rsid w:val="002C41BA"/>
    <w:rsid w:val="002C4201"/>
    <w:rsid w:val="002C478C"/>
    <w:rsid w:val="002C4A21"/>
    <w:rsid w:val="002C502E"/>
    <w:rsid w:val="002C53FA"/>
    <w:rsid w:val="002C5465"/>
    <w:rsid w:val="002C6AF2"/>
    <w:rsid w:val="002C7E21"/>
    <w:rsid w:val="002D0296"/>
    <w:rsid w:val="002D191D"/>
    <w:rsid w:val="002D19C3"/>
    <w:rsid w:val="002D1A64"/>
    <w:rsid w:val="002D248B"/>
    <w:rsid w:val="002D26FC"/>
    <w:rsid w:val="002D28BD"/>
    <w:rsid w:val="002D33BD"/>
    <w:rsid w:val="002D37A7"/>
    <w:rsid w:val="002D3807"/>
    <w:rsid w:val="002D3CAF"/>
    <w:rsid w:val="002D4117"/>
    <w:rsid w:val="002D4537"/>
    <w:rsid w:val="002D516A"/>
    <w:rsid w:val="002D6107"/>
    <w:rsid w:val="002D641D"/>
    <w:rsid w:val="002D64E5"/>
    <w:rsid w:val="002D6AAA"/>
    <w:rsid w:val="002D758E"/>
    <w:rsid w:val="002D7A67"/>
    <w:rsid w:val="002D7D4F"/>
    <w:rsid w:val="002D7E24"/>
    <w:rsid w:val="002E0D52"/>
    <w:rsid w:val="002E0D58"/>
    <w:rsid w:val="002E1493"/>
    <w:rsid w:val="002E184C"/>
    <w:rsid w:val="002E18DC"/>
    <w:rsid w:val="002E2477"/>
    <w:rsid w:val="002E2A4D"/>
    <w:rsid w:val="002E2E9F"/>
    <w:rsid w:val="002E36E9"/>
    <w:rsid w:val="002E4725"/>
    <w:rsid w:val="002E4A33"/>
    <w:rsid w:val="002E4B1A"/>
    <w:rsid w:val="002E4BA4"/>
    <w:rsid w:val="002E4EA5"/>
    <w:rsid w:val="002E51E6"/>
    <w:rsid w:val="002E521A"/>
    <w:rsid w:val="002E547D"/>
    <w:rsid w:val="002E55D4"/>
    <w:rsid w:val="002E579E"/>
    <w:rsid w:val="002E5A35"/>
    <w:rsid w:val="002E60D9"/>
    <w:rsid w:val="002E64D9"/>
    <w:rsid w:val="002E6B43"/>
    <w:rsid w:val="002E6C78"/>
    <w:rsid w:val="002E6EDC"/>
    <w:rsid w:val="002E7210"/>
    <w:rsid w:val="002E72C3"/>
    <w:rsid w:val="002E7A5D"/>
    <w:rsid w:val="002F0B96"/>
    <w:rsid w:val="002F0ED6"/>
    <w:rsid w:val="002F181A"/>
    <w:rsid w:val="002F1C22"/>
    <w:rsid w:val="002F2014"/>
    <w:rsid w:val="002F312E"/>
    <w:rsid w:val="002F33AE"/>
    <w:rsid w:val="002F3797"/>
    <w:rsid w:val="002F3DA6"/>
    <w:rsid w:val="002F4791"/>
    <w:rsid w:val="002F4F49"/>
    <w:rsid w:val="002F5535"/>
    <w:rsid w:val="002F657D"/>
    <w:rsid w:val="002F6791"/>
    <w:rsid w:val="002F686B"/>
    <w:rsid w:val="002F73F9"/>
    <w:rsid w:val="002F74A8"/>
    <w:rsid w:val="002F76BF"/>
    <w:rsid w:val="002F7A22"/>
    <w:rsid w:val="002F7DE7"/>
    <w:rsid w:val="0030002C"/>
    <w:rsid w:val="003005EA"/>
    <w:rsid w:val="003005FF"/>
    <w:rsid w:val="00300CE5"/>
    <w:rsid w:val="00300ED1"/>
    <w:rsid w:val="0030120C"/>
    <w:rsid w:val="003013A8"/>
    <w:rsid w:val="0030141C"/>
    <w:rsid w:val="00301D72"/>
    <w:rsid w:val="003023F8"/>
    <w:rsid w:val="00302DA4"/>
    <w:rsid w:val="00302F3C"/>
    <w:rsid w:val="00302F82"/>
    <w:rsid w:val="003031E3"/>
    <w:rsid w:val="00303905"/>
    <w:rsid w:val="00303CFF"/>
    <w:rsid w:val="00303E3C"/>
    <w:rsid w:val="00303F8A"/>
    <w:rsid w:val="003042F1"/>
    <w:rsid w:val="00304610"/>
    <w:rsid w:val="0030465E"/>
    <w:rsid w:val="00304702"/>
    <w:rsid w:val="00304B93"/>
    <w:rsid w:val="00304CCA"/>
    <w:rsid w:val="00304DEF"/>
    <w:rsid w:val="0030502E"/>
    <w:rsid w:val="00305051"/>
    <w:rsid w:val="00305133"/>
    <w:rsid w:val="0030540A"/>
    <w:rsid w:val="00305853"/>
    <w:rsid w:val="0030600B"/>
    <w:rsid w:val="00306135"/>
    <w:rsid w:val="003061CD"/>
    <w:rsid w:val="00306806"/>
    <w:rsid w:val="003070B8"/>
    <w:rsid w:val="0030734B"/>
    <w:rsid w:val="00307BED"/>
    <w:rsid w:val="00310965"/>
    <w:rsid w:val="00310F1E"/>
    <w:rsid w:val="003110A1"/>
    <w:rsid w:val="00311502"/>
    <w:rsid w:val="00311AD5"/>
    <w:rsid w:val="00311F68"/>
    <w:rsid w:val="0031231B"/>
    <w:rsid w:val="00313059"/>
    <w:rsid w:val="00313199"/>
    <w:rsid w:val="00313781"/>
    <w:rsid w:val="0031378F"/>
    <w:rsid w:val="00313A20"/>
    <w:rsid w:val="00313BC5"/>
    <w:rsid w:val="00313C2C"/>
    <w:rsid w:val="00313E30"/>
    <w:rsid w:val="0031418E"/>
    <w:rsid w:val="00314CC8"/>
    <w:rsid w:val="00314CF6"/>
    <w:rsid w:val="00314EE7"/>
    <w:rsid w:val="00315283"/>
    <w:rsid w:val="003155E0"/>
    <w:rsid w:val="003158E2"/>
    <w:rsid w:val="00315E8C"/>
    <w:rsid w:val="00316607"/>
    <w:rsid w:val="0031663F"/>
    <w:rsid w:val="00316AFE"/>
    <w:rsid w:val="003171FA"/>
    <w:rsid w:val="00317474"/>
    <w:rsid w:val="003176A6"/>
    <w:rsid w:val="00317FBF"/>
    <w:rsid w:val="00320473"/>
    <w:rsid w:val="003208B7"/>
    <w:rsid w:val="00320B01"/>
    <w:rsid w:val="003211FC"/>
    <w:rsid w:val="00322976"/>
    <w:rsid w:val="0032329B"/>
    <w:rsid w:val="00323412"/>
    <w:rsid w:val="003247E3"/>
    <w:rsid w:val="00324853"/>
    <w:rsid w:val="00324A7D"/>
    <w:rsid w:val="00324AB5"/>
    <w:rsid w:val="00324BBE"/>
    <w:rsid w:val="003251CB"/>
    <w:rsid w:val="00325493"/>
    <w:rsid w:val="00325939"/>
    <w:rsid w:val="0032594F"/>
    <w:rsid w:val="00325A6B"/>
    <w:rsid w:val="0032657E"/>
    <w:rsid w:val="00326710"/>
    <w:rsid w:val="00326B3C"/>
    <w:rsid w:val="00327179"/>
    <w:rsid w:val="003279D0"/>
    <w:rsid w:val="0033002C"/>
    <w:rsid w:val="003308CD"/>
    <w:rsid w:val="00331004"/>
    <w:rsid w:val="003314C7"/>
    <w:rsid w:val="00331BCD"/>
    <w:rsid w:val="00331FBB"/>
    <w:rsid w:val="0033215B"/>
    <w:rsid w:val="00332366"/>
    <w:rsid w:val="00332677"/>
    <w:rsid w:val="00332F29"/>
    <w:rsid w:val="0033329A"/>
    <w:rsid w:val="0033384A"/>
    <w:rsid w:val="00333CD3"/>
    <w:rsid w:val="00334337"/>
    <w:rsid w:val="003349B8"/>
    <w:rsid w:val="00334F09"/>
    <w:rsid w:val="00334FCD"/>
    <w:rsid w:val="00336531"/>
    <w:rsid w:val="003369E9"/>
    <w:rsid w:val="00336B1B"/>
    <w:rsid w:val="00336F20"/>
    <w:rsid w:val="00336FA0"/>
    <w:rsid w:val="003375DF"/>
    <w:rsid w:val="00337784"/>
    <w:rsid w:val="00337A89"/>
    <w:rsid w:val="00337CB1"/>
    <w:rsid w:val="0034049C"/>
    <w:rsid w:val="0034098E"/>
    <w:rsid w:val="003412F5"/>
    <w:rsid w:val="00341851"/>
    <w:rsid w:val="00341E69"/>
    <w:rsid w:val="0034230E"/>
    <w:rsid w:val="003428E2"/>
    <w:rsid w:val="00342AFF"/>
    <w:rsid w:val="003431FD"/>
    <w:rsid w:val="00343731"/>
    <w:rsid w:val="00343D50"/>
    <w:rsid w:val="0034402D"/>
    <w:rsid w:val="003440B9"/>
    <w:rsid w:val="003442BD"/>
    <w:rsid w:val="003445A4"/>
    <w:rsid w:val="00344CCB"/>
    <w:rsid w:val="00345757"/>
    <w:rsid w:val="00345B14"/>
    <w:rsid w:val="00345FF4"/>
    <w:rsid w:val="003464F2"/>
    <w:rsid w:val="00346578"/>
    <w:rsid w:val="00346A45"/>
    <w:rsid w:val="003472C1"/>
    <w:rsid w:val="00347A94"/>
    <w:rsid w:val="00347B2A"/>
    <w:rsid w:val="00350F79"/>
    <w:rsid w:val="003511A3"/>
    <w:rsid w:val="00351238"/>
    <w:rsid w:val="00351479"/>
    <w:rsid w:val="00351B4E"/>
    <w:rsid w:val="003520EC"/>
    <w:rsid w:val="00352C0F"/>
    <w:rsid w:val="003532A7"/>
    <w:rsid w:val="0035479D"/>
    <w:rsid w:val="003549C0"/>
    <w:rsid w:val="00354F30"/>
    <w:rsid w:val="003558EB"/>
    <w:rsid w:val="00355CA5"/>
    <w:rsid w:val="0035633F"/>
    <w:rsid w:val="00356CEA"/>
    <w:rsid w:val="00357208"/>
    <w:rsid w:val="0035727D"/>
    <w:rsid w:val="003606A9"/>
    <w:rsid w:val="00360B5C"/>
    <w:rsid w:val="00360CAA"/>
    <w:rsid w:val="00360F2A"/>
    <w:rsid w:val="003614FE"/>
    <w:rsid w:val="00361709"/>
    <w:rsid w:val="0036192C"/>
    <w:rsid w:val="003622A3"/>
    <w:rsid w:val="00362411"/>
    <w:rsid w:val="003624B6"/>
    <w:rsid w:val="00362836"/>
    <w:rsid w:val="00362E9D"/>
    <w:rsid w:val="003638D2"/>
    <w:rsid w:val="00363A7A"/>
    <w:rsid w:val="00363D8A"/>
    <w:rsid w:val="003645EC"/>
    <w:rsid w:val="00364909"/>
    <w:rsid w:val="00365AAE"/>
    <w:rsid w:val="00365D63"/>
    <w:rsid w:val="00365ECF"/>
    <w:rsid w:val="003669F1"/>
    <w:rsid w:val="00366DC4"/>
    <w:rsid w:val="00366F05"/>
    <w:rsid w:val="00366FD7"/>
    <w:rsid w:val="00366FD8"/>
    <w:rsid w:val="0036757A"/>
    <w:rsid w:val="00367974"/>
    <w:rsid w:val="00367A3C"/>
    <w:rsid w:val="00367F73"/>
    <w:rsid w:val="00370041"/>
    <w:rsid w:val="003702F7"/>
    <w:rsid w:val="00370316"/>
    <w:rsid w:val="0037053F"/>
    <w:rsid w:val="00370BED"/>
    <w:rsid w:val="003715B1"/>
    <w:rsid w:val="00371B38"/>
    <w:rsid w:val="003722E7"/>
    <w:rsid w:val="00373048"/>
    <w:rsid w:val="003735B5"/>
    <w:rsid w:val="00373C15"/>
    <w:rsid w:val="00373CF5"/>
    <w:rsid w:val="00373EF6"/>
    <w:rsid w:val="0037420B"/>
    <w:rsid w:val="00374529"/>
    <w:rsid w:val="0037493A"/>
    <w:rsid w:val="00374B2C"/>
    <w:rsid w:val="00374B44"/>
    <w:rsid w:val="00374F39"/>
    <w:rsid w:val="00374F9B"/>
    <w:rsid w:val="003756A9"/>
    <w:rsid w:val="00375977"/>
    <w:rsid w:val="0037613E"/>
    <w:rsid w:val="00376486"/>
    <w:rsid w:val="00376C0C"/>
    <w:rsid w:val="00376CF9"/>
    <w:rsid w:val="00376D05"/>
    <w:rsid w:val="003770D8"/>
    <w:rsid w:val="003770FF"/>
    <w:rsid w:val="003773D9"/>
    <w:rsid w:val="00377811"/>
    <w:rsid w:val="00377E5D"/>
    <w:rsid w:val="00380772"/>
    <w:rsid w:val="00380A07"/>
    <w:rsid w:val="00380AC7"/>
    <w:rsid w:val="00380BCF"/>
    <w:rsid w:val="00380C97"/>
    <w:rsid w:val="00380FA3"/>
    <w:rsid w:val="00381033"/>
    <w:rsid w:val="00381B4F"/>
    <w:rsid w:val="003820B5"/>
    <w:rsid w:val="00382173"/>
    <w:rsid w:val="003825B3"/>
    <w:rsid w:val="0038271E"/>
    <w:rsid w:val="00382C16"/>
    <w:rsid w:val="00382F2C"/>
    <w:rsid w:val="00383675"/>
    <w:rsid w:val="0038373F"/>
    <w:rsid w:val="00383A23"/>
    <w:rsid w:val="00383EC4"/>
    <w:rsid w:val="00384614"/>
    <w:rsid w:val="00384918"/>
    <w:rsid w:val="0038509A"/>
    <w:rsid w:val="003851FC"/>
    <w:rsid w:val="0038531D"/>
    <w:rsid w:val="00385376"/>
    <w:rsid w:val="003853C2"/>
    <w:rsid w:val="00385854"/>
    <w:rsid w:val="0038650E"/>
    <w:rsid w:val="003875F4"/>
    <w:rsid w:val="00387FE4"/>
    <w:rsid w:val="003900F9"/>
    <w:rsid w:val="00390806"/>
    <w:rsid w:val="00390B51"/>
    <w:rsid w:val="003911D7"/>
    <w:rsid w:val="00391478"/>
    <w:rsid w:val="00391DC1"/>
    <w:rsid w:val="00391F63"/>
    <w:rsid w:val="00392365"/>
    <w:rsid w:val="00392B4A"/>
    <w:rsid w:val="0039310A"/>
    <w:rsid w:val="003933CC"/>
    <w:rsid w:val="0039384B"/>
    <w:rsid w:val="0039384F"/>
    <w:rsid w:val="0039395D"/>
    <w:rsid w:val="00393C6D"/>
    <w:rsid w:val="00393C74"/>
    <w:rsid w:val="00393DA6"/>
    <w:rsid w:val="00394092"/>
    <w:rsid w:val="003941C6"/>
    <w:rsid w:val="0039427C"/>
    <w:rsid w:val="00394345"/>
    <w:rsid w:val="003944A0"/>
    <w:rsid w:val="003945F9"/>
    <w:rsid w:val="00394765"/>
    <w:rsid w:val="0039505B"/>
    <w:rsid w:val="003962C3"/>
    <w:rsid w:val="003962E2"/>
    <w:rsid w:val="00396465"/>
    <w:rsid w:val="003965B7"/>
    <w:rsid w:val="0039662E"/>
    <w:rsid w:val="00396E1B"/>
    <w:rsid w:val="00396F14"/>
    <w:rsid w:val="00397F1D"/>
    <w:rsid w:val="003A010C"/>
    <w:rsid w:val="003A10F1"/>
    <w:rsid w:val="003A176B"/>
    <w:rsid w:val="003A1C67"/>
    <w:rsid w:val="003A2024"/>
    <w:rsid w:val="003A20C3"/>
    <w:rsid w:val="003A21C1"/>
    <w:rsid w:val="003A24BE"/>
    <w:rsid w:val="003A2BF5"/>
    <w:rsid w:val="003A30CD"/>
    <w:rsid w:val="003A3810"/>
    <w:rsid w:val="003A3BCC"/>
    <w:rsid w:val="003A433A"/>
    <w:rsid w:val="003A4983"/>
    <w:rsid w:val="003A4C19"/>
    <w:rsid w:val="003A4CBB"/>
    <w:rsid w:val="003A4FA2"/>
    <w:rsid w:val="003A503F"/>
    <w:rsid w:val="003A545A"/>
    <w:rsid w:val="003A5DFA"/>
    <w:rsid w:val="003A63D1"/>
    <w:rsid w:val="003A67CF"/>
    <w:rsid w:val="003A6B37"/>
    <w:rsid w:val="003A6C20"/>
    <w:rsid w:val="003A6C68"/>
    <w:rsid w:val="003A6F3B"/>
    <w:rsid w:val="003A73C7"/>
    <w:rsid w:val="003A7460"/>
    <w:rsid w:val="003A7779"/>
    <w:rsid w:val="003A7803"/>
    <w:rsid w:val="003A7861"/>
    <w:rsid w:val="003A78CF"/>
    <w:rsid w:val="003B12D2"/>
    <w:rsid w:val="003B14AA"/>
    <w:rsid w:val="003B166F"/>
    <w:rsid w:val="003B1720"/>
    <w:rsid w:val="003B1D5D"/>
    <w:rsid w:val="003B301A"/>
    <w:rsid w:val="003B36CB"/>
    <w:rsid w:val="003B3920"/>
    <w:rsid w:val="003B3AD1"/>
    <w:rsid w:val="003B443C"/>
    <w:rsid w:val="003B4C13"/>
    <w:rsid w:val="003B4C9B"/>
    <w:rsid w:val="003B566A"/>
    <w:rsid w:val="003B59CC"/>
    <w:rsid w:val="003B59F5"/>
    <w:rsid w:val="003B6A41"/>
    <w:rsid w:val="003B6E6B"/>
    <w:rsid w:val="003B6FFA"/>
    <w:rsid w:val="003B71F0"/>
    <w:rsid w:val="003B78C1"/>
    <w:rsid w:val="003B794F"/>
    <w:rsid w:val="003C04D9"/>
    <w:rsid w:val="003C0868"/>
    <w:rsid w:val="003C0C00"/>
    <w:rsid w:val="003C10BD"/>
    <w:rsid w:val="003C1172"/>
    <w:rsid w:val="003C228F"/>
    <w:rsid w:val="003C229E"/>
    <w:rsid w:val="003C246C"/>
    <w:rsid w:val="003C2FEA"/>
    <w:rsid w:val="003C30B3"/>
    <w:rsid w:val="003C3737"/>
    <w:rsid w:val="003C403D"/>
    <w:rsid w:val="003C4C8D"/>
    <w:rsid w:val="003C51F8"/>
    <w:rsid w:val="003C56A8"/>
    <w:rsid w:val="003C5BCF"/>
    <w:rsid w:val="003C5CE6"/>
    <w:rsid w:val="003C688F"/>
    <w:rsid w:val="003C7370"/>
    <w:rsid w:val="003C7864"/>
    <w:rsid w:val="003C7D48"/>
    <w:rsid w:val="003D0648"/>
    <w:rsid w:val="003D0A48"/>
    <w:rsid w:val="003D0DB4"/>
    <w:rsid w:val="003D118D"/>
    <w:rsid w:val="003D1319"/>
    <w:rsid w:val="003D1684"/>
    <w:rsid w:val="003D2F89"/>
    <w:rsid w:val="003D2FEC"/>
    <w:rsid w:val="003D3123"/>
    <w:rsid w:val="003D3632"/>
    <w:rsid w:val="003D3906"/>
    <w:rsid w:val="003D3DB6"/>
    <w:rsid w:val="003D43E4"/>
    <w:rsid w:val="003D4476"/>
    <w:rsid w:val="003D4A42"/>
    <w:rsid w:val="003D4B2E"/>
    <w:rsid w:val="003D4EE0"/>
    <w:rsid w:val="003D5500"/>
    <w:rsid w:val="003D5619"/>
    <w:rsid w:val="003D56C1"/>
    <w:rsid w:val="003D5E24"/>
    <w:rsid w:val="003D5EC1"/>
    <w:rsid w:val="003D5FD4"/>
    <w:rsid w:val="003D665C"/>
    <w:rsid w:val="003D6A93"/>
    <w:rsid w:val="003D71BD"/>
    <w:rsid w:val="003D7203"/>
    <w:rsid w:val="003D7A87"/>
    <w:rsid w:val="003E0335"/>
    <w:rsid w:val="003E068C"/>
    <w:rsid w:val="003E079E"/>
    <w:rsid w:val="003E0BD3"/>
    <w:rsid w:val="003E139F"/>
    <w:rsid w:val="003E1582"/>
    <w:rsid w:val="003E1B54"/>
    <w:rsid w:val="003E1C1F"/>
    <w:rsid w:val="003E1CE2"/>
    <w:rsid w:val="003E237F"/>
    <w:rsid w:val="003E295E"/>
    <w:rsid w:val="003E32BF"/>
    <w:rsid w:val="003E33F4"/>
    <w:rsid w:val="003E37B6"/>
    <w:rsid w:val="003E3FBE"/>
    <w:rsid w:val="003E43F1"/>
    <w:rsid w:val="003E4CBD"/>
    <w:rsid w:val="003E5904"/>
    <w:rsid w:val="003E6248"/>
    <w:rsid w:val="003E645E"/>
    <w:rsid w:val="003E6687"/>
    <w:rsid w:val="003E66D4"/>
    <w:rsid w:val="003E6998"/>
    <w:rsid w:val="003E6F75"/>
    <w:rsid w:val="003E7073"/>
    <w:rsid w:val="003E71A3"/>
    <w:rsid w:val="003E7C89"/>
    <w:rsid w:val="003E7D8D"/>
    <w:rsid w:val="003E7F59"/>
    <w:rsid w:val="003F062D"/>
    <w:rsid w:val="003F0AA1"/>
    <w:rsid w:val="003F0DFD"/>
    <w:rsid w:val="003F1084"/>
    <w:rsid w:val="003F1222"/>
    <w:rsid w:val="003F151F"/>
    <w:rsid w:val="003F17C2"/>
    <w:rsid w:val="003F1B8B"/>
    <w:rsid w:val="003F1D56"/>
    <w:rsid w:val="003F2128"/>
    <w:rsid w:val="003F2661"/>
    <w:rsid w:val="003F28A8"/>
    <w:rsid w:val="003F2A72"/>
    <w:rsid w:val="003F42BC"/>
    <w:rsid w:val="003F4B4B"/>
    <w:rsid w:val="003F50F4"/>
    <w:rsid w:val="003F55D2"/>
    <w:rsid w:val="003F597C"/>
    <w:rsid w:val="003F5D15"/>
    <w:rsid w:val="003F5E2C"/>
    <w:rsid w:val="003F5E38"/>
    <w:rsid w:val="003F655C"/>
    <w:rsid w:val="003F6A31"/>
    <w:rsid w:val="003F6B27"/>
    <w:rsid w:val="003F6F4B"/>
    <w:rsid w:val="003F72CC"/>
    <w:rsid w:val="003F7328"/>
    <w:rsid w:val="003F7681"/>
    <w:rsid w:val="00400162"/>
    <w:rsid w:val="00400E8C"/>
    <w:rsid w:val="004013A4"/>
    <w:rsid w:val="00401428"/>
    <w:rsid w:val="00401864"/>
    <w:rsid w:val="00401E6B"/>
    <w:rsid w:val="004021F3"/>
    <w:rsid w:val="004029CB"/>
    <w:rsid w:val="00402A3B"/>
    <w:rsid w:val="00402C47"/>
    <w:rsid w:val="00402E83"/>
    <w:rsid w:val="004033FE"/>
    <w:rsid w:val="00403FA5"/>
    <w:rsid w:val="00405508"/>
    <w:rsid w:val="004055D9"/>
    <w:rsid w:val="00405D64"/>
    <w:rsid w:val="004061C5"/>
    <w:rsid w:val="004062BD"/>
    <w:rsid w:val="004063FB"/>
    <w:rsid w:val="00406E73"/>
    <w:rsid w:val="00407BD7"/>
    <w:rsid w:val="00410A1D"/>
    <w:rsid w:val="00410AC9"/>
    <w:rsid w:val="0041170E"/>
    <w:rsid w:val="00411B79"/>
    <w:rsid w:val="00411F14"/>
    <w:rsid w:val="004121A3"/>
    <w:rsid w:val="00412436"/>
    <w:rsid w:val="0041350B"/>
    <w:rsid w:val="00413DCA"/>
    <w:rsid w:val="004145F5"/>
    <w:rsid w:val="00415162"/>
    <w:rsid w:val="0041518E"/>
    <w:rsid w:val="0041570E"/>
    <w:rsid w:val="00415DBC"/>
    <w:rsid w:val="00416384"/>
    <w:rsid w:val="00417CBC"/>
    <w:rsid w:val="00417F41"/>
    <w:rsid w:val="00420AA1"/>
    <w:rsid w:val="00420DB6"/>
    <w:rsid w:val="00420FB4"/>
    <w:rsid w:val="00421B13"/>
    <w:rsid w:val="00421E49"/>
    <w:rsid w:val="00421EFD"/>
    <w:rsid w:val="00422597"/>
    <w:rsid w:val="0042295A"/>
    <w:rsid w:val="0042315F"/>
    <w:rsid w:val="00423732"/>
    <w:rsid w:val="00423D25"/>
    <w:rsid w:val="0042453F"/>
    <w:rsid w:val="004247BF"/>
    <w:rsid w:val="0042492A"/>
    <w:rsid w:val="00424B37"/>
    <w:rsid w:val="00424C6A"/>
    <w:rsid w:val="00424FAB"/>
    <w:rsid w:val="00425112"/>
    <w:rsid w:val="00425213"/>
    <w:rsid w:val="004257BB"/>
    <w:rsid w:val="0042609C"/>
    <w:rsid w:val="00426386"/>
    <w:rsid w:val="004268DD"/>
    <w:rsid w:val="00426A34"/>
    <w:rsid w:val="00426A91"/>
    <w:rsid w:val="00426AA5"/>
    <w:rsid w:val="00427536"/>
    <w:rsid w:val="00427E47"/>
    <w:rsid w:val="004302C9"/>
    <w:rsid w:val="0043096B"/>
    <w:rsid w:val="00431DDC"/>
    <w:rsid w:val="0043285D"/>
    <w:rsid w:val="00433908"/>
    <w:rsid w:val="00433AB4"/>
    <w:rsid w:val="00434B1F"/>
    <w:rsid w:val="00434B42"/>
    <w:rsid w:val="004352A1"/>
    <w:rsid w:val="00435DA1"/>
    <w:rsid w:val="00435E69"/>
    <w:rsid w:val="00436162"/>
    <w:rsid w:val="0043680C"/>
    <w:rsid w:val="00436BF3"/>
    <w:rsid w:val="0043790D"/>
    <w:rsid w:val="00437933"/>
    <w:rsid w:val="00437EAC"/>
    <w:rsid w:val="004400ED"/>
    <w:rsid w:val="004405D1"/>
    <w:rsid w:val="004409FD"/>
    <w:rsid w:val="00441A27"/>
    <w:rsid w:val="00441F12"/>
    <w:rsid w:val="00442121"/>
    <w:rsid w:val="00442964"/>
    <w:rsid w:val="00442DA7"/>
    <w:rsid w:val="004437D2"/>
    <w:rsid w:val="004437FA"/>
    <w:rsid w:val="0044482F"/>
    <w:rsid w:val="00445384"/>
    <w:rsid w:val="00445D98"/>
    <w:rsid w:val="00445DF3"/>
    <w:rsid w:val="00446008"/>
    <w:rsid w:val="004502B3"/>
    <w:rsid w:val="0045081C"/>
    <w:rsid w:val="00450985"/>
    <w:rsid w:val="00450C6F"/>
    <w:rsid w:val="00450FCE"/>
    <w:rsid w:val="0045108E"/>
    <w:rsid w:val="00451801"/>
    <w:rsid w:val="0045180D"/>
    <w:rsid w:val="00451D45"/>
    <w:rsid w:val="00451EFF"/>
    <w:rsid w:val="0045230B"/>
    <w:rsid w:val="00452846"/>
    <w:rsid w:val="00453338"/>
    <w:rsid w:val="00453818"/>
    <w:rsid w:val="00453A9E"/>
    <w:rsid w:val="0045426F"/>
    <w:rsid w:val="00454B2F"/>
    <w:rsid w:val="00454C8A"/>
    <w:rsid w:val="00454DB1"/>
    <w:rsid w:val="00454FAC"/>
    <w:rsid w:val="00455142"/>
    <w:rsid w:val="004553C4"/>
    <w:rsid w:val="004554F5"/>
    <w:rsid w:val="00455C0A"/>
    <w:rsid w:val="00456389"/>
    <w:rsid w:val="004564D4"/>
    <w:rsid w:val="00456618"/>
    <w:rsid w:val="00456733"/>
    <w:rsid w:val="00456751"/>
    <w:rsid w:val="0045692C"/>
    <w:rsid w:val="00456A45"/>
    <w:rsid w:val="00457A73"/>
    <w:rsid w:val="004600C7"/>
    <w:rsid w:val="00460437"/>
    <w:rsid w:val="00460517"/>
    <w:rsid w:val="00460993"/>
    <w:rsid w:val="00460D28"/>
    <w:rsid w:val="00460E1F"/>
    <w:rsid w:val="00461593"/>
    <w:rsid w:val="00461A8E"/>
    <w:rsid w:val="00461EC0"/>
    <w:rsid w:val="00462032"/>
    <w:rsid w:val="00462113"/>
    <w:rsid w:val="00462245"/>
    <w:rsid w:val="0046248F"/>
    <w:rsid w:val="004625C6"/>
    <w:rsid w:val="0046261C"/>
    <w:rsid w:val="00462BDC"/>
    <w:rsid w:val="00462F91"/>
    <w:rsid w:val="004631CD"/>
    <w:rsid w:val="00463202"/>
    <w:rsid w:val="004638C3"/>
    <w:rsid w:val="00463D51"/>
    <w:rsid w:val="00463D62"/>
    <w:rsid w:val="00463E32"/>
    <w:rsid w:val="00463F5D"/>
    <w:rsid w:val="00464DE4"/>
    <w:rsid w:val="00465690"/>
    <w:rsid w:val="004656E0"/>
    <w:rsid w:val="00465BA5"/>
    <w:rsid w:val="004664F0"/>
    <w:rsid w:val="0046682C"/>
    <w:rsid w:val="00466940"/>
    <w:rsid w:val="00466A16"/>
    <w:rsid w:val="00467411"/>
    <w:rsid w:val="004674C7"/>
    <w:rsid w:val="00467C9F"/>
    <w:rsid w:val="004707B3"/>
    <w:rsid w:val="004713D0"/>
    <w:rsid w:val="00471622"/>
    <w:rsid w:val="00471626"/>
    <w:rsid w:val="004716F9"/>
    <w:rsid w:val="00471EA5"/>
    <w:rsid w:val="00472000"/>
    <w:rsid w:val="004722F0"/>
    <w:rsid w:val="004728AB"/>
    <w:rsid w:val="00472D23"/>
    <w:rsid w:val="004734F4"/>
    <w:rsid w:val="004738D3"/>
    <w:rsid w:val="0047417A"/>
    <w:rsid w:val="004741D2"/>
    <w:rsid w:val="004747B0"/>
    <w:rsid w:val="00474B4C"/>
    <w:rsid w:val="00474FC3"/>
    <w:rsid w:val="00475061"/>
    <w:rsid w:val="004756E5"/>
    <w:rsid w:val="00475F37"/>
    <w:rsid w:val="00475F8A"/>
    <w:rsid w:val="0047611C"/>
    <w:rsid w:val="00476B63"/>
    <w:rsid w:val="00477190"/>
    <w:rsid w:val="004779E5"/>
    <w:rsid w:val="00477E49"/>
    <w:rsid w:val="00477F42"/>
    <w:rsid w:val="004801BC"/>
    <w:rsid w:val="00480260"/>
    <w:rsid w:val="004804A5"/>
    <w:rsid w:val="0048070C"/>
    <w:rsid w:val="00480DC3"/>
    <w:rsid w:val="00480F33"/>
    <w:rsid w:val="004812F8"/>
    <w:rsid w:val="0048140C"/>
    <w:rsid w:val="00481413"/>
    <w:rsid w:val="00481F79"/>
    <w:rsid w:val="004829BD"/>
    <w:rsid w:val="00482C63"/>
    <w:rsid w:val="00482DD7"/>
    <w:rsid w:val="004830EF"/>
    <w:rsid w:val="00483244"/>
    <w:rsid w:val="004834C0"/>
    <w:rsid w:val="0048381B"/>
    <w:rsid w:val="00483C54"/>
    <w:rsid w:val="0048552C"/>
    <w:rsid w:val="004857D6"/>
    <w:rsid w:val="0048653F"/>
    <w:rsid w:val="00486A19"/>
    <w:rsid w:val="00487EE6"/>
    <w:rsid w:val="004906C5"/>
    <w:rsid w:val="00490DBB"/>
    <w:rsid w:val="004913F9"/>
    <w:rsid w:val="00491CE6"/>
    <w:rsid w:val="00492431"/>
    <w:rsid w:val="00492A43"/>
    <w:rsid w:val="00492AD6"/>
    <w:rsid w:val="00493792"/>
    <w:rsid w:val="004937D6"/>
    <w:rsid w:val="004939FF"/>
    <w:rsid w:val="00493C3D"/>
    <w:rsid w:val="0049424F"/>
    <w:rsid w:val="00494CD2"/>
    <w:rsid w:val="00494CF6"/>
    <w:rsid w:val="0049506C"/>
    <w:rsid w:val="00495A12"/>
    <w:rsid w:val="00495C14"/>
    <w:rsid w:val="004960E0"/>
    <w:rsid w:val="00496365"/>
    <w:rsid w:val="00496450"/>
    <w:rsid w:val="004964B9"/>
    <w:rsid w:val="0049679F"/>
    <w:rsid w:val="004970F6"/>
    <w:rsid w:val="0049791C"/>
    <w:rsid w:val="00497E27"/>
    <w:rsid w:val="00497F5C"/>
    <w:rsid w:val="004A0CA1"/>
    <w:rsid w:val="004A0D6D"/>
    <w:rsid w:val="004A103A"/>
    <w:rsid w:val="004A11BA"/>
    <w:rsid w:val="004A1A7B"/>
    <w:rsid w:val="004A1D86"/>
    <w:rsid w:val="004A1EB1"/>
    <w:rsid w:val="004A2471"/>
    <w:rsid w:val="004A330F"/>
    <w:rsid w:val="004A3837"/>
    <w:rsid w:val="004A38EF"/>
    <w:rsid w:val="004A4C4D"/>
    <w:rsid w:val="004A4C6D"/>
    <w:rsid w:val="004A4E12"/>
    <w:rsid w:val="004A4FD1"/>
    <w:rsid w:val="004A5401"/>
    <w:rsid w:val="004A55A9"/>
    <w:rsid w:val="004A593B"/>
    <w:rsid w:val="004A5D34"/>
    <w:rsid w:val="004A5D62"/>
    <w:rsid w:val="004A60D7"/>
    <w:rsid w:val="004A6429"/>
    <w:rsid w:val="004A656A"/>
    <w:rsid w:val="004A6938"/>
    <w:rsid w:val="004A7B39"/>
    <w:rsid w:val="004A7E21"/>
    <w:rsid w:val="004B0357"/>
    <w:rsid w:val="004B069A"/>
    <w:rsid w:val="004B079B"/>
    <w:rsid w:val="004B08E9"/>
    <w:rsid w:val="004B0BC8"/>
    <w:rsid w:val="004B1005"/>
    <w:rsid w:val="004B1063"/>
    <w:rsid w:val="004B1580"/>
    <w:rsid w:val="004B1EBE"/>
    <w:rsid w:val="004B1ECE"/>
    <w:rsid w:val="004B223E"/>
    <w:rsid w:val="004B2442"/>
    <w:rsid w:val="004B24F6"/>
    <w:rsid w:val="004B2554"/>
    <w:rsid w:val="004B2896"/>
    <w:rsid w:val="004B2A07"/>
    <w:rsid w:val="004B2A46"/>
    <w:rsid w:val="004B2A74"/>
    <w:rsid w:val="004B3386"/>
    <w:rsid w:val="004B39C8"/>
    <w:rsid w:val="004B4054"/>
    <w:rsid w:val="004B5286"/>
    <w:rsid w:val="004B54D4"/>
    <w:rsid w:val="004B5E9B"/>
    <w:rsid w:val="004B617A"/>
    <w:rsid w:val="004B6A79"/>
    <w:rsid w:val="004B6F78"/>
    <w:rsid w:val="004B6FB8"/>
    <w:rsid w:val="004B754A"/>
    <w:rsid w:val="004B765F"/>
    <w:rsid w:val="004C039C"/>
    <w:rsid w:val="004C04A5"/>
    <w:rsid w:val="004C04E5"/>
    <w:rsid w:val="004C0B62"/>
    <w:rsid w:val="004C0D80"/>
    <w:rsid w:val="004C0E40"/>
    <w:rsid w:val="004C108C"/>
    <w:rsid w:val="004C2538"/>
    <w:rsid w:val="004C27DC"/>
    <w:rsid w:val="004C2A39"/>
    <w:rsid w:val="004C2B6D"/>
    <w:rsid w:val="004C2C08"/>
    <w:rsid w:val="004C2F4E"/>
    <w:rsid w:val="004C34D8"/>
    <w:rsid w:val="004C367A"/>
    <w:rsid w:val="004C3933"/>
    <w:rsid w:val="004C3E02"/>
    <w:rsid w:val="004C40C5"/>
    <w:rsid w:val="004C4255"/>
    <w:rsid w:val="004C4688"/>
    <w:rsid w:val="004C4E32"/>
    <w:rsid w:val="004C4EC6"/>
    <w:rsid w:val="004C5397"/>
    <w:rsid w:val="004C5DE7"/>
    <w:rsid w:val="004C64B8"/>
    <w:rsid w:val="004C6AE2"/>
    <w:rsid w:val="004C738B"/>
    <w:rsid w:val="004C73F7"/>
    <w:rsid w:val="004C742F"/>
    <w:rsid w:val="004C784E"/>
    <w:rsid w:val="004C7D78"/>
    <w:rsid w:val="004C7F33"/>
    <w:rsid w:val="004D05E5"/>
    <w:rsid w:val="004D0852"/>
    <w:rsid w:val="004D08E6"/>
    <w:rsid w:val="004D0B7B"/>
    <w:rsid w:val="004D16E6"/>
    <w:rsid w:val="004D17FD"/>
    <w:rsid w:val="004D1EFA"/>
    <w:rsid w:val="004D2219"/>
    <w:rsid w:val="004D24B0"/>
    <w:rsid w:val="004D2B4D"/>
    <w:rsid w:val="004D2BA2"/>
    <w:rsid w:val="004D33E6"/>
    <w:rsid w:val="004D3BBD"/>
    <w:rsid w:val="004D3CC7"/>
    <w:rsid w:val="004D431F"/>
    <w:rsid w:val="004D4632"/>
    <w:rsid w:val="004D4CBE"/>
    <w:rsid w:val="004D4CFD"/>
    <w:rsid w:val="004D4D28"/>
    <w:rsid w:val="004D539F"/>
    <w:rsid w:val="004D580C"/>
    <w:rsid w:val="004D59C2"/>
    <w:rsid w:val="004D6487"/>
    <w:rsid w:val="004D683A"/>
    <w:rsid w:val="004D690C"/>
    <w:rsid w:val="004D6BCA"/>
    <w:rsid w:val="004D6BDA"/>
    <w:rsid w:val="004D7BE7"/>
    <w:rsid w:val="004E0210"/>
    <w:rsid w:val="004E0471"/>
    <w:rsid w:val="004E0BE6"/>
    <w:rsid w:val="004E0F66"/>
    <w:rsid w:val="004E132A"/>
    <w:rsid w:val="004E14BE"/>
    <w:rsid w:val="004E19F6"/>
    <w:rsid w:val="004E1CEC"/>
    <w:rsid w:val="004E1F21"/>
    <w:rsid w:val="004E2304"/>
    <w:rsid w:val="004E23F0"/>
    <w:rsid w:val="004E26DF"/>
    <w:rsid w:val="004E2C05"/>
    <w:rsid w:val="004E34C1"/>
    <w:rsid w:val="004E34F7"/>
    <w:rsid w:val="004E3748"/>
    <w:rsid w:val="004E391B"/>
    <w:rsid w:val="004E394A"/>
    <w:rsid w:val="004E3CC7"/>
    <w:rsid w:val="004E3F04"/>
    <w:rsid w:val="004E41A3"/>
    <w:rsid w:val="004E4556"/>
    <w:rsid w:val="004E4614"/>
    <w:rsid w:val="004E47C2"/>
    <w:rsid w:val="004E4921"/>
    <w:rsid w:val="004E4A7A"/>
    <w:rsid w:val="004E5BE2"/>
    <w:rsid w:val="004E5D35"/>
    <w:rsid w:val="004E5F9E"/>
    <w:rsid w:val="004E6309"/>
    <w:rsid w:val="004E64B0"/>
    <w:rsid w:val="004E6B65"/>
    <w:rsid w:val="004E7FF0"/>
    <w:rsid w:val="004F0132"/>
    <w:rsid w:val="004F03D9"/>
    <w:rsid w:val="004F115E"/>
    <w:rsid w:val="004F12B7"/>
    <w:rsid w:val="004F147E"/>
    <w:rsid w:val="004F14D8"/>
    <w:rsid w:val="004F17EF"/>
    <w:rsid w:val="004F17F3"/>
    <w:rsid w:val="004F1ED1"/>
    <w:rsid w:val="004F2147"/>
    <w:rsid w:val="004F30E7"/>
    <w:rsid w:val="004F30EE"/>
    <w:rsid w:val="004F332A"/>
    <w:rsid w:val="004F3995"/>
    <w:rsid w:val="004F3E1D"/>
    <w:rsid w:val="004F3EE9"/>
    <w:rsid w:val="004F4725"/>
    <w:rsid w:val="004F5002"/>
    <w:rsid w:val="004F5E16"/>
    <w:rsid w:val="004F6097"/>
    <w:rsid w:val="004F67F0"/>
    <w:rsid w:val="004F7319"/>
    <w:rsid w:val="004F791E"/>
    <w:rsid w:val="004F79EF"/>
    <w:rsid w:val="004F7C7A"/>
    <w:rsid w:val="00501124"/>
    <w:rsid w:val="005017BA"/>
    <w:rsid w:val="00501D97"/>
    <w:rsid w:val="00501DDC"/>
    <w:rsid w:val="00501E84"/>
    <w:rsid w:val="00501F63"/>
    <w:rsid w:val="005021F5"/>
    <w:rsid w:val="00502815"/>
    <w:rsid w:val="00502B8B"/>
    <w:rsid w:val="00502CF7"/>
    <w:rsid w:val="005030C6"/>
    <w:rsid w:val="00504F2A"/>
    <w:rsid w:val="0050513E"/>
    <w:rsid w:val="00505D93"/>
    <w:rsid w:val="00506195"/>
    <w:rsid w:val="00506B2E"/>
    <w:rsid w:val="00507100"/>
    <w:rsid w:val="00507244"/>
    <w:rsid w:val="00507503"/>
    <w:rsid w:val="00507C30"/>
    <w:rsid w:val="0051054E"/>
    <w:rsid w:val="00510583"/>
    <w:rsid w:val="005105D8"/>
    <w:rsid w:val="00511149"/>
    <w:rsid w:val="00511579"/>
    <w:rsid w:val="00512152"/>
    <w:rsid w:val="0051266B"/>
    <w:rsid w:val="005126C2"/>
    <w:rsid w:val="00512C94"/>
    <w:rsid w:val="0051329E"/>
    <w:rsid w:val="0051394D"/>
    <w:rsid w:val="00513BE9"/>
    <w:rsid w:val="005140E3"/>
    <w:rsid w:val="005146C2"/>
    <w:rsid w:val="00514824"/>
    <w:rsid w:val="0051502E"/>
    <w:rsid w:val="005159A8"/>
    <w:rsid w:val="00515FEB"/>
    <w:rsid w:val="00515FFC"/>
    <w:rsid w:val="00516694"/>
    <w:rsid w:val="00516803"/>
    <w:rsid w:val="00516BB5"/>
    <w:rsid w:val="00516C6C"/>
    <w:rsid w:val="005170C5"/>
    <w:rsid w:val="005202F3"/>
    <w:rsid w:val="00520587"/>
    <w:rsid w:val="00520A93"/>
    <w:rsid w:val="00521C76"/>
    <w:rsid w:val="00522D67"/>
    <w:rsid w:val="005235A6"/>
    <w:rsid w:val="005236C7"/>
    <w:rsid w:val="005239C0"/>
    <w:rsid w:val="005246A6"/>
    <w:rsid w:val="0052472F"/>
    <w:rsid w:val="005250AC"/>
    <w:rsid w:val="00525287"/>
    <w:rsid w:val="00525ACE"/>
    <w:rsid w:val="0052605A"/>
    <w:rsid w:val="0052668A"/>
    <w:rsid w:val="00526905"/>
    <w:rsid w:val="00526E44"/>
    <w:rsid w:val="005271B7"/>
    <w:rsid w:val="0052741A"/>
    <w:rsid w:val="0053011B"/>
    <w:rsid w:val="00530B60"/>
    <w:rsid w:val="00530D52"/>
    <w:rsid w:val="00530F1E"/>
    <w:rsid w:val="00531003"/>
    <w:rsid w:val="005313B6"/>
    <w:rsid w:val="005315A0"/>
    <w:rsid w:val="005315F7"/>
    <w:rsid w:val="00532390"/>
    <w:rsid w:val="00532AE3"/>
    <w:rsid w:val="00532EBD"/>
    <w:rsid w:val="00532F0C"/>
    <w:rsid w:val="00533EA4"/>
    <w:rsid w:val="00535840"/>
    <w:rsid w:val="005358E0"/>
    <w:rsid w:val="00535A72"/>
    <w:rsid w:val="00535F6A"/>
    <w:rsid w:val="00536330"/>
    <w:rsid w:val="00536A6D"/>
    <w:rsid w:val="00536A89"/>
    <w:rsid w:val="00536BE4"/>
    <w:rsid w:val="00537066"/>
    <w:rsid w:val="00537071"/>
    <w:rsid w:val="00537612"/>
    <w:rsid w:val="00540801"/>
    <w:rsid w:val="00540982"/>
    <w:rsid w:val="005409E6"/>
    <w:rsid w:val="0054191A"/>
    <w:rsid w:val="00541A5E"/>
    <w:rsid w:val="005423D0"/>
    <w:rsid w:val="005426F4"/>
    <w:rsid w:val="00542936"/>
    <w:rsid w:val="005429B6"/>
    <w:rsid w:val="00542DD7"/>
    <w:rsid w:val="00543021"/>
    <w:rsid w:val="005438BD"/>
    <w:rsid w:val="00544608"/>
    <w:rsid w:val="00544688"/>
    <w:rsid w:val="005447FD"/>
    <w:rsid w:val="005448F0"/>
    <w:rsid w:val="00544C84"/>
    <w:rsid w:val="00545966"/>
    <w:rsid w:val="00546245"/>
    <w:rsid w:val="00546550"/>
    <w:rsid w:val="005468E1"/>
    <w:rsid w:val="005469A9"/>
    <w:rsid w:val="00546B8E"/>
    <w:rsid w:val="00547172"/>
    <w:rsid w:val="005500B9"/>
    <w:rsid w:val="00550831"/>
    <w:rsid w:val="00550A66"/>
    <w:rsid w:val="00550C83"/>
    <w:rsid w:val="005527B9"/>
    <w:rsid w:val="00552D40"/>
    <w:rsid w:val="00553493"/>
    <w:rsid w:val="00553AD0"/>
    <w:rsid w:val="00553C13"/>
    <w:rsid w:val="00554EA0"/>
    <w:rsid w:val="005556C8"/>
    <w:rsid w:val="005559AC"/>
    <w:rsid w:val="005569C4"/>
    <w:rsid w:val="00556BF7"/>
    <w:rsid w:val="00557442"/>
    <w:rsid w:val="0055791B"/>
    <w:rsid w:val="00557C1D"/>
    <w:rsid w:val="00560105"/>
    <w:rsid w:val="00561932"/>
    <w:rsid w:val="00562283"/>
    <w:rsid w:val="00562305"/>
    <w:rsid w:val="0056238E"/>
    <w:rsid w:val="005633C4"/>
    <w:rsid w:val="005642D7"/>
    <w:rsid w:val="005643E6"/>
    <w:rsid w:val="00564462"/>
    <w:rsid w:val="00564CC4"/>
    <w:rsid w:val="00564FD7"/>
    <w:rsid w:val="00565F32"/>
    <w:rsid w:val="00565F54"/>
    <w:rsid w:val="00566121"/>
    <w:rsid w:val="00566285"/>
    <w:rsid w:val="005662E9"/>
    <w:rsid w:val="0056725A"/>
    <w:rsid w:val="00567335"/>
    <w:rsid w:val="005677FD"/>
    <w:rsid w:val="00570418"/>
    <w:rsid w:val="00570E14"/>
    <w:rsid w:val="00570E2E"/>
    <w:rsid w:val="005716F4"/>
    <w:rsid w:val="005717BB"/>
    <w:rsid w:val="00571D99"/>
    <w:rsid w:val="00571E1B"/>
    <w:rsid w:val="0057223C"/>
    <w:rsid w:val="00572369"/>
    <w:rsid w:val="00572896"/>
    <w:rsid w:val="00572AD3"/>
    <w:rsid w:val="0057337D"/>
    <w:rsid w:val="0057339A"/>
    <w:rsid w:val="005734E3"/>
    <w:rsid w:val="005735BD"/>
    <w:rsid w:val="0057370A"/>
    <w:rsid w:val="005741C7"/>
    <w:rsid w:val="005742A0"/>
    <w:rsid w:val="00574634"/>
    <w:rsid w:val="00574C10"/>
    <w:rsid w:val="00574C76"/>
    <w:rsid w:val="00574CF3"/>
    <w:rsid w:val="00575133"/>
    <w:rsid w:val="00575238"/>
    <w:rsid w:val="005754F2"/>
    <w:rsid w:val="00575971"/>
    <w:rsid w:val="00575AE5"/>
    <w:rsid w:val="00575D99"/>
    <w:rsid w:val="005762D4"/>
    <w:rsid w:val="00576890"/>
    <w:rsid w:val="00576B3E"/>
    <w:rsid w:val="00576D30"/>
    <w:rsid w:val="00576DEA"/>
    <w:rsid w:val="0057722C"/>
    <w:rsid w:val="00577466"/>
    <w:rsid w:val="00577469"/>
    <w:rsid w:val="00580043"/>
    <w:rsid w:val="00580D60"/>
    <w:rsid w:val="005812CE"/>
    <w:rsid w:val="0058194A"/>
    <w:rsid w:val="00581978"/>
    <w:rsid w:val="00581F94"/>
    <w:rsid w:val="00582D0F"/>
    <w:rsid w:val="005839BF"/>
    <w:rsid w:val="00583CE6"/>
    <w:rsid w:val="00583D5D"/>
    <w:rsid w:val="00583EE3"/>
    <w:rsid w:val="0058406A"/>
    <w:rsid w:val="00584E9B"/>
    <w:rsid w:val="0058508B"/>
    <w:rsid w:val="005859F6"/>
    <w:rsid w:val="00585ACA"/>
    <w:rsid w:val="00585D3D"/>
    <w:rsid w:val="00586157"/>
    <w:rsid w:val="00586F48"/>
    <w:rsid w:val="00587074"/>
    <w:rsid w:val="0058708C"/>
    <w:rsid w:val="00587391"/>
    <w:rsid w:val="00587532"/>
    <w:rsid w:val="0058757D"/>
    <w:rsid w:val="005876BD"/>
    <w:rsid w:val="0059163C"/>
    <w:rsid w:val="005916A3"/>
    <w:rsid w:val="00591D01"/>
    <w:rsid w:val="00592016"/>
    <w:rsid w:val="00592095"/>
    <w:rsid w:val="00592248"/>
    <w:rsid w:val="00592C04"/>
    <w:rsid w:val="00592C2B"/>
    <w:rsid w:val="00593587"/>
    <w:rsid w:val="005936C3"/>
    <w:rsid w:val="00593926"/>
    <w:rsid w:val="00593E07"/>
    <w:rsid w:val="005945E2"/>
    <w:rsid w:val="00594F4E"/>
    <w:rsid w:val="005952CB"/>
    <w:rsid w:val="00595376"/>
    <w:rsid w:val="00595562"/>
    <w:rsid w:val="005956F0"/>
    <w:rsid w:val="00595716"/>
    <w:rsid w:val="00595731"/>
    <w:rsid w:val="0059581D"/>
    <w:rsid w:val="00595B17"/>
    <w:rsid w:val="00595D65"/>
    <w:rsid w:val="005960E0"/>
    <w:rsid w:val="00596710"/>
    <w:rsid w:val="00596A40"/>
    <w:rsid w:val="0059710B"/>
    <w:rsid w:val="005974C0"/>
    <w:rsid w:val="00597ABE"/>
    <w:rsid w:val="00597AC5"/>
    <w:rsid w:val="00597B0C"/>
    <w:rsid w:val="00597C9B"/>
    <w:rsid w:val="005A08E7"/>
    <w:rsid w:val="005A126E"/>
    <w:rsid w:val="005A139E"/>
    <w:rsid w:val="005A1FC7"/>
    <w:rsid w:val="005A2630"/>
    <w:rsid w:val="005A289A"/>
    <w:rsid w:val="005A2A5C"/>
    <w:rsid w:val="005A345F"/>
    <w:rsid w:val="005A38E0"/>
    <w:rsid w:val="005A3D9B"/>
    <w:rsid w:val="005A40DC"/>
    <w:rsid w:val="005A4C7F"/>
    <w:rsid w:val="005A4CB9"/>
    <w:rsid w:val="005A4EA1"/>
    <w:rsid w:val="005A4FA0"/>
    <w:rsid w:val="005A5804"/>
    <w:rsid w:val="005A5AE2"/>
    <w:rsid w:val="005A5C47"/>
    <w:rsid w:val="005A5E4B"/>
    <w:rsid w:val="005A6500"/>
    <w:rsid w:val="005A66EA"/>
    <w:rsid w:val="005A71B6"/>
    <w:rsid w:val="005A734B"/>
    <w:rsid w:val="005A7382"/>
    <w:rsid w:val="005A7793"/>
    <w:rsid w:val="005A789D"/>
    <w:rsid w:val="005B0194"/>
    <w:rsid w:val="005B06A8"/>
    <w:rsid w:val="005B1A7B"/>
    <w:rsid w:val="005B1BDC"/>
    <w:rsid w:val="005B25CB"/>
    <w:rsid w:val="005B2834"/>
    <w:rsid w:val="005B28D0"/>
    <w:rsid w:val="005B3BBD"/>
    <w:rsid w:val="005B3D10"/>
    <w:rsid w:val="005B3FA8"/>
    <w:rsid w:val="005B4014"/>
    <w:rsid w:val="005B40A3"/>
    <w:rsid w:val="005B4156"/>
    <w:rsid w:val="005B4250"/>
    <w:rsid w:val="005B4695"/>
    <w:rsid w:val="005B51DC"/>
    <w:rsid w:val="005B520F"/>
    <w:rsid w:val="005B5565"/>
    <w:rsid w:val="005B57FB"/>
    <w:rsid w:val="005B5F94"/>
    <w:rsid w:val="005B678E"/>
    <w:rsid w:val="005B6AB8"/>
    <w:rsid w:val="005B6AD5"/>
    <w:rsid w:val="005B7101"/>
    <w:rsid w:val="005B72EA"/>
    <w:rsid w:val="005B7F3E"/>
    <w:rsid w:val="005C02AA"/>
    <w:rsid w:val="005C02E0"/>
    <w:rsid w:val="005C08EA"/>
    <w:rsid w:val="005C0B7F"/>
    <w:rsid w:val="005C0DD3"/>
    <w:rsid w:val="005C1267"/>
    <w:rsid w:val="005C2A70"/>
    <w:rsid w:val="005C2EBB"/>
    <w:rsid w:val="005C2FFA"/>
    <w:rsid w:val="005C3527"/>
    <w:rsid w:val="005C399C"/>
    <w:rsid w:val="005C47FF"/>
    <w:rsid w:val="005C49AF"/>
    <w:rsid w:val="005C49C5"/>
    <w:rsid w:val="005C5D2F"/>
    <w:rsid w:val="005C5FF7"/>
    <w:rsid w:val="005C68D0"/>
    <w:rsid w:val="005C7922"/>
    <w:rsid w:val="005D01E7"/>
    <w:rsid w:val="005D0283"/>
    <w:rsid w:val="005D064C"/>
    <w:rsid w:val="005D0870"/>
    <w:rsid w:val="005D1463"/>
    <w:rsid w:val="005D16A2"/>
    <w:rsid w:val="005D1EDF"/>
    <w:rsid w:val="005D2059"/>
    <w:rsid w:val="005D23B2"/>
    <w:rsid w:val="005D28D6"/>
    <w:rsid w:val="005D2F68"/>
    <w:rsid w:val="005D3067"/>
    <w:rsid w:val="005D319C"/>
    <w:rsid w:val="005D3410"/>
    <w:rsid w:val="005D3511"/>
    <w:rsid w:val="005D3B29"/>
    <w:rsid w:val="005D3C67"/>
    <w:rsid w:val="005D3CC9"/>
    <w:rsid w:val="005D47CF"/>
    <w:rsid w:val="005D4B90"/>
    <w:rsid w:val="005D4C74"/>
    <w:rsid w:val="005D5119"/>
    <w:rsid w:val="005D543E"/>
    <w:rsid w:val="005D54E9"/>
    <w:rsid w:val="005D55E1"/>
    <w:rsid w:val="005D5778"/>
    <w:rsid w:val="005D636C"/>
    <w:rsid w:val="005D664F"/>
    <w:rsid w:val="005D6C4A"/>
    <w:rsid w:val="005D6DF7"/>
    <w:rsid w:val="005D7C69"/>
    <w:rsid w:val="005D7CEE"/>
    <w:rsid w:val="005E0509"/>
    <w:rsid w:val="005E0C53"/>
    <w:rsid w:val="005E0E41"/>
    <w:rsid w:val="005E1CEE"/>
    <w:rsid w:val="005E1E83"/>
    <w:rsid w:val="005E234E"/>
    <w:rsid w:val="005E38C0"/>
    <w:rsid w:val="005E3EC1"/>
    <w:rsid w:val="005E3FF9"/>
    <w:rsid w:val="005E4522"/>
    <w:rsid w:val="005E46E3"/>
    <w:rsid w:val="005E4A3D"/>
    <w:rsid w:val="005E4D32"/>
    <w:rsid w:val="005E4ECA"/>
    <w:rsid w:val="005E5488"/>
    <w:rsid w:val="005E5C14"/>
    <w:rsid w:val="005E5D26"/>
    <w:rsid w:val="005E6168"/>
    <w:rsid w:val="005E6BAA"/>
    <w:rsid w:val="005E6FC3"/>
    <w:rsid w:val="005E7599"/>
    <w:rsid w:val="005E7791"/>
    <w:rsid w:val="005F0B98"/>
    <w:rsid w:val="005F0C8C"/>
    <w:rsid w:val="005F134F"/>
    <w:rsid w:val="005F1709"/>
    <w:rsid w:val="005F1BAA"/>
    <w:rsid w:val="005F210F"/>
    <w:rsid w:val="005F2171"/>
    <w:rsid w:val="005F2622"/>
    <w:rsid w:val="005F2899"/>
    <w:rsid w:val="005F2C33"/>
    <w:rsid w:val="005F3A27"/>
    <w:rsid w:val="005F3A7A"/>
    <w:rsid w:val="005F3B90"/>
    <w:rsid w:val="005F4064"/>
    <w:rsid w:val="005F43E7"/>
    <w:rsid w:val="005F4853"/>
    <w:rsid w:val="005F4C26"/>
    <w:rsid w:val="005F4E15"/>
    <w:rsid w:val="005F4EA0"/>
    <w:rsid w:val="005F503C"/>
    <w:rsid w:val="005F50FD"/>
    <w:rsid w:val="005F58EC"/>
    <w:rsid w:val="005F5D99"/>
    <w:rsid w:val="005F5F21"/>
    <w:rsid w:val="005F6255"/>
    <w:rsid w:val="005F63E5"/>
    <w:rsid w:val="005F65C1"/>
    <w:rsid w:val="005F66B2"/>
    <w:rsid w:val="005F6935"/>
    <w:rsid w:val="005F69D0"/>
    <w:rsid w:val="005F6E46"/>
    <w:rsid w:val="005F706E"/>
    <w:rsid w:val="005F70C9"/>
    <w:rsid w:val="005F70CB"/>
    <w:rsid w:val="005F7AD5"/>
    <w:rsid w:val="005F7D59"/>
    <w:rsid w:val="006000F0"/>
    <w:rsid w:val="0060020B"/>
    <w:rsid w:val="006003DF"/>
    <w:rsid w:val="00600B4E"/>
    <w:rsid w:val="006014A4"/>
    <w:rsid w:val="006016AD"/>
    <w:rsid w:val="006017A6"/>
    <w:rsid w:val="00601BD6"/>
    <w:rsid w:val="006020D3"/>
    <w:rsid w:val="006028B5"/>
    <w:rsid w:val="00602DC0"/>
    <w:rsid w:val="006031A5"/>
    <w:rsid w:val="006037E5"/>
    <w:rsid w:val="006039B4"/>
    <w:rsid w:val="00604318"/>
    <w:rsid w:val="00604898"/>
    <w:rsid w:val="00604C0A"/>
    <w:rsid w:val="00604E93"/>
    <w:rsid w:val="00605081"/>
    <w:rsid w:val="00605399"/>
    <w:rsid w:val="00606B47"/>
    <w:rsid w:val="00607893"/>
    <w:rsid w:val="00607BD4"/>
    <w:rsid w:val="00607C83"/>
    <w:rsid w:val="00607E32"/>
    <w:rsid w:val="00610114"/>
    <w:rsid w:val="00610545"/>
    <w:rsid w:val="00610D9B"/>
    <w:rsid w:val="00611818"/>
    <w:rsid w:val="00611D6D"/>
    <w:rsid w:val="00611DEE"/>
    <w:rsid w:val="00612D1C"/>
    <w:rsid w:val="00613022"/>
    <w:rsid w:val="0061320B"/>
    <w:rsid w:val="006134FC"/>
    <w:rsid w:val="006139D7"/>
    <w:rsid w:val="00613AE8"/>
    <w:rsid w:val="00613C09"/>
    <w:rsid w:val="00613F3C"/>
    <w:rsid w:val="00614408"/>
    <w:rsid w:val="00614B9E"/>
    <w:rsid w:val="00614DB6"/>
    <w:rsid w:val="00615658"/>
    <w:rsid w:val="00615777"/>
    <w:rsid w:val="00615D74"/>
    <w:rsid w:val="0061604A"/>
    <w:rsid w:val="00616088"/>
    <w:rsid w:val="006160DC"/>
    <w:rsid w:val="006161AD"/>
    <w:rsid w:val="0061674F"/>
    <w:rsid w:val="00616868"/>
    <w:rsid w:val="00616DAE"/>
    <w:rsid w:val="0061709A"/>
    <w:rsid w:val="006170DA"/>
    <w:rsid w:val="00617222"/>
    <w:rsid w:val="00617752"/>
    <w:rsid w:val="006179D5"/>
    <w:rsid w:val="006201A0"/>
    <w:rsid w:val="006207DE"/>
    <w:rsid w:val="006208F8"/>
    <w:rsid w:val="00620914"/>
    <w:rsid w:val="00620DF4"/>
    <w:rsid w:val="00621545"/>
    <w:rsid w:val="00621882"/>
    <w:rsid w:val="006219DE"/>
    <w:rsid w:val="00621EFD"/>
    <w:rsid w:val="0062281E"/>
    <w:rsid w:val="00622DC6"/>
    <w:rsid w:val="00623407"/>
    <w:rsid w:val="006241F8"/>
    <w:rsid w:val="00624DFA"/>
    <w:rsid w:val="00624EC8"/>
    <w:rsid w:val="0062542A"/>
    <w:rsid w:val="006255DB"/>
    <w:rsid w:val="00625644"/>
    <w:rsid w:val="006257FE"/>
    <w:rsid w:val="00625BB1"/>
    <w:rsid w:val="00625C06"/>
    <w:rsid w:val="00626E3C"/>
    <w:rsid w:val="00627298"/>
    <w:rsid w:val="00627384"/>
    <w:rsid w:val="00627C74"/>
    <w:rsid w:val="00627D25"/>
    <w:rsid w:val="00627F79"/>
    <w:rsid w:val="0063015C"/>
    <w:rsid w:val="006302C9"/>
    <w:rsid w:val="00630547"/>
    <w:rsid w:val="00630708"/>
    <w:rsid w:val="00630AFF"/>
    <w:rsid w:val="00630F00"/>
    <w:rsid w:val="00630FF0"/>
    <w:rsid w:val="00631353"/>
    <w:rsid w:val="00631509"/>
    <w:rsid w:val="0063199D"/>
    <w:rsid w:val="00631A3C"/>
    <w:rsid w:val="006322B7"/>
    <w:rsid w:val="006327FF"/>
    <w:rsid w:val="006329FD"/>
    <w:rsid w:val="00632B74"/>
    <w:rsid w:val="0063329F"/>
    <w:rsid w:val="006333E4"/>
    <w:rsid w:val="00633D77"/>
    <w:rsid w:val="00633E11"/>
    <w:rsid w:val="00634AF9"/>
    <w:rsid w:val="00635870"/>
    <w:rsid w:val="006358DE"/>
    <w:rsid w:val="00635A7D"/>
    <w:rsid w:val="00635DB3"/>
    <w:rsid w:val="00635FDB"/>
    <w:rsid w:val="00635FE1"/>
    <w:rsid w:val="00636164"/>
    <w:rsid w:val="00636837"/>
    <w:rsid w:val="00636C05"/>
    <w:rsid w:val="0063737E"/>
    <w:rsid w:val="00637688"/>
    <w:rsid w:val="00637875"/>
    <w:rsid w:val="006378E0"/>
    <w:rsid w:val="00637E8D"/>
    <w:rsid w:val="00640373"/>
    <w:rsid w:val="00640709"/>
    <w:rsid w:val="00640A1A"/>
    <w:rsid w:val="00640B98"/>
    <w:rsid w:val="00640F89"/>
    <w:rsid w:val="00640F8E"/>
    <w:rsid w:val="006422BF"/>
    <w:rsid w:val="006425CA"/>
    <w:rsid w:val="00642CF0"/>
    <w:rsid w:val="00642EDD"/>
    <w:rsid w:val="00643448"/>
    <w:rsid w:val="006434D6"/>
    <w:rsid w:val="006439D6"/>
    <w:rsid w:val="00643D35"/>
    <w:rsid w:val="006443D2"/>
    <w:rsid w:val="00644504"/>
    <w:rsid w:val="006447CE"/>
    <w:rsid w:val="00644A4F"/>
    <w:rsid w:val="00644C92"/>
    <w:rsid w:val="00644D35"/>
    <w:rsid w:val="00645060"/>
    <w:rsid w:val="00645706"/>
    <w:rsid w:val="00645771"/>
    <w:rsid w:val="0064625E"/>
    <w:rsid w:val="006467F0"/>
    <w:rsid w:val="00646981"/>
    <w:rsid w:val="006469AC"/>
    <w:rsid w:val="00646FFE"/>
    <w:rsid w:val="006473BD"/>
    <w:rsid w:val="006477B0"/>
    <w:rsid w:val="00647947"/>
    <w:rsid w:val="00647BF4"/>
    <w:rsid w:val="006502CC"/>
    <w:rsid w:val="00650662"/>
    <w:rsid w:val="00650CA6"/>
    <w:rsid w:val="00651338"/>
    <w:rsid w:val="00651386"/>
    <w:rsid w:val="00651CE4"/>
    <w:rsid w:val="00651F16"/>
    <w:rsid w:val="006527ED"/>
    <w:rsid w:val="00652977"/>
    <w:rsid w:val="00652B2C"/>
    <w:rsid w:val="00652CFB"/>
    <w:rsid w:val="00652E5A"/>
    <w:rsid w:val="00653184"/>
    <w:rsid w:val="00653449"/>
    <w:rsid w:val="0065359C"/>
    <w:rsid w:val="00653649"/>
    <w:rsid w:val="0065429B"/>
    <w:rsid w:val="00654552"/>
    <w:rsid w:val="0065460E"/>
    <w:rsid w:val="0065461A"/>
    <w:rsid w:val="0065474D"/>
    <w:rsid w:val="006554C2"/>
    <w:rsid w:val="006554E5"/>
    <w:rsid w:val="00655760"/>
    <w:rsid w:val="00655AF0"/>
    <w:rsid w:val="00655C68"/>
    <w:rsid w:val="0065609F"/>
    <w:rsid w:val="00656102"/>
    <w:rsid w:val="006566B7"/>
    <w:rsid w:val="006567D2"/>
    <w:rsid w:val="00656EF9"/>
    <w:rsid w:val="006573BC"/>
    <w:rsid w:val="006578BE"/>
    <w:rsid w:val="00657992"/>
    <w:rsid w:val="00660349"/>
    <w:rsid w:val="00660470"/>
    <w:rsid w:val="00660982"/>
    <w:rsid w:val="00660E56"/>
    <w:rsid w:val="00661A5C"/>
    <w:rsid w:val="00661DAD"/>
    <w:rsid w:val="006620A1"/>
    <w:rsid w:val="00662136"/>
    <w:rsid w:val="006624FF"/>
    <w:rsid w:val="006628C2"/>
    <w:rsid w:val="00662A36"/>
    <w:rsid w:val="00662D88"/>
    <w:rsid w:val="00662F3D"/>
    <w:rsid w:val="0066346E"/>
    <w:rsid w:val="006635BD"/>
    <w:rsid w:val="006638B6"/>
    <w:rsid w:val="00663CB4"/>
    <w:rsid w:val="00663F89"/>
    <w:rsid w:val="00664242"/>
    <w:rsid w:val="00664394"/>
    <w:rsid w:val="006649C8"/>
    <w:rsid w:val="00664FD6"/>
    <w:rsid w:val="006654D6"/>
    <w:rsid w:val="006657C0"/>
    <w:rsid w:val="00665968"/>
    <w:rsid w:val="00665C23"/>
    <w:rsid w:val="00665D5B"/>
    <w:rsid w:val="00665F13"/>
    <w:rsid w:val="006663CA"/>
    <w:rsid w:val="00666D5E"/>
    <w:rsid w:val="0066713B"/>
    <w:rsid w:val="006671C6"/>
    <w:rsid w:val="0066723E"/>
    <w:rsid w:val="0066744C"/>
    <w:rsid w:val="00667846"/>
    <w:rsid w:val="006700D6"/>
    <w:rsid w:val="006705C4"/>
    <w:rsid w:val="00671306"/>
    <w:rsid w:val="0067134E"/>
    <w:rsid w:val="0067162B"/>
    <w:rsid w:val="006719A1"/>
    <w:rsid w:val="00671E34"/>
    <w:rsid w:val="00671FE6"/>
    <w:rsid w:val="006726CE"/>
    <w:rsid w:val="00672711"/>
    <w:rsid w:val="00673224"/>
    <w:rsid w:val="006734E3"/>
    <w:rsid w:val="00673A2C"/>
    <w:rsid w:val="00673EBF"/>
    <w:rsid w:val="00674138"/>
    <w:rsid w:val="00674809"/>
    <w:rsid w:val="006752F5"/>
    <w:rsid w:val="0067531E"/>
    <w:rsid w:val="006754F5"/>
    <w:rsid w:val="00676194"/>
    <w:rsid w:val="00676E32"/>
    <w:rsid w:val="00677023"/>
    <w:rsid w:val="006771A2"/>
    <w:rsid w:val="0067789A"/>
    <w:rsid w:val="00677F94"/>
    <w:rsid w:val="006803F3"/>
    <w:rsid w:val="0068076A"/>
    <w:rsid w:val="00680CB9"/>
    <w:rsid w:val="00680EF1"/>
    <w:rsid w:val="00681351"/>
    <w:rsid w:val="0068157C"/>
    <w:rsid w:val="00681E7C"/>
    <w:rsid w:val="006825A5"/>
    <w:rsid w:val="00682D60"/>
    <w:rsid w:val="00682ED2"/>
    <w:rsid w:val="006835F9"/>
    <w:rsid w:val="006836E4"/>
    <w:rsid w:val="00683B26"/>
    <w:rsid w:val="00683D78"/>
    <w:rsid w:val="0068455B"/>
    <w:rsid w:val="0068488A"/>
    <w:rsid w:val="0068491F"/>
    <w:rsid w:val="00686382"/>
    <w:rsid w:val="006866A1"/>
    <w:rsid w:val="00686B49"/>
    <w:rsid w:val="006872F8"/>
    <w:rsid w:val="0068736E"/>
    <w:rsid w:val="00687532"/>
    <w:rsid w:val="00687597"/>
    <w:rsid w:val="00690846"/>
    <w:rsid w:val="00690A35"/>
    <w:rsid w:val="0069117C"/>
    <w:rsid w:val="0069155D"/>
    <w:rsid w:val="0069185F"/>
    <w:rsid w:val="00692C43"/>
    <w:rsid w:val="006933D2"/>
    <w:rsid w:val="00694352"/>
    <w:rsid w:val="0069449A"/>
    <w:rsid w:val="00694543"/>
    <w:rsid w:val="0069468A"/>
    <w:rsid w:val="006946F1"/>
    <w:rsid w:val="006949EB"/>
    <w:rsid w:val="0069553B"/>
    <w:rsid w:val="00696007"/>
    <w:rsid w:val="00696BEB"/>
    <w:rsid w:val="00696D29"/>
    <w:rsid w:val="0069714D"/>
    <w:rsid w:val="00697539"/>
    <w:rsid w:val="006975C2"/>
    <w:rsid w:val="00697CFB"/>
    <w:rsid w:val="006A0123"/>
    <w:rsid w:val="006A0A09"/>
    <w:rsid w:val="006A0BE0"/>
    <w:rsid w:val="006A0C88"/>
    <w:rsid w:val="006A0FC2"/>
    <w:rsid w:val="006A1BC2"/>
    <w:rsid w:val="006A24F6"/>
    <w:rsid w:val="006A2647"/>
    <w:rsid w:val="006A2953"/>
    <w:rsid w:val="006A2B9B"/>
    <w:rsid w:val="006A2C74"/>
    <w:rsid w:val="006A40E1"/>
    <w:rsid w:val="006A4603"/>
    <w:rsid w:val="006A50F2"/>
    <w:rsid w:val="006A53E4"/>
    <w:rsid w:val="006A560E"/>
    <w:rsid w:val="006A5BAB"/>
    <w:rsid w:val="006A622F"/>
    <w:rsid w:val="006A654B"/>
    <w:rsid w:val="006A665D"/>
    <w:rsid w:val="006A6F1C"/>
    <w:rsid w:val="006A72AE"/>
    <w:rsid w:val="006A737C"/>
    <w:rsid w:val="006A7B87"/>
    <w:rsid w:val="006B03EB"/>
    <w:rsid w:val="006B085E"/>
    <w:rsid w:val="006B0A8C"/>
    <w:rsid w:val="006B0B6B"/>
    <w:rsid w:val="006B0C01"/>
    <w:rsid w:val="006B11DD"/>
    <w:rsid w:val="006B26F5"/>
    <w:rsid w:val="006B2997"/>
    <w:rsid w:val="006B2A2D"/>
    <w:rsid w:val="006B30F1"/>
    <w:rsid w:val="006B34B5"/>
    <w:rsid w:val="006B35CD"/>
    <w:rsid w:val="006B3F63"/>
    <w:rsid w:val="006B540B"/>
    <w:rsid w:val="006B58DE"/>
    <w:rsid w:val="006B62DE"/>
    <w:rsid w:val="006B66AA"/>
    <w:rsid w:val="006B6B69"/>
    <w:rsid w:val="006B703E"/>
    <w:rsid w:val="006B7173"/>
    <w:rsid w:val="006B77A8"/>
    <w:rsid w:val="006B787F"/>
    <w:rsid w:val="006B7BCE"/>
    <w:rsid w:val="006B7FE4"/>
    <w:rsid w:val="006C032B"/>
    <w:rsid w:val="006C04F7"/>
    <w:rsid w:val="006C0A02"/>
    <w:rsid w:val="006C131C"/>
    <w:rsid w:val="006C21BE"/>
    <w:rsid w:val="006C2BC5"/>
    <w:rsid w:val="006C3A97"/>
    <w:rsid w:val="006C4087"/>
    <w:rsid w:val="006C45CC"/>
    <w:rsid w:val="006C4DE5"/>
    <w:rsid w:val="006C5C2B"/>
    <w:rsid w:val="006C6271"/>
    <w:rsid w:val="006C6A86"/>
    <w:rsid w:val="006C6E2B"/>
    <w:rsid w:val="006C6E2C"/>
    <w:rsid w:val="006C6EE5"/>
    <w:rsid w:val="006C7F16"/>
    <w:rsid w:val="006C7F76"/>
    <w:rsid w:val="006D0669"/>
    <w:rsid w:val="006D0AA5"/>
    <w:rsid w:val="006D13C4"/>
    <w:rsid w:val="006D1A89"/>
    <w:rsid w:val="006D27E3"/>
    <w:rsid w:val="006D2BCE"/>
    <w:rsid w:val="006D375F"/>
    <w:rsid w:val="006D380B"/>
    <w:rsid w:val="006D3E3C"/>
    <w:rsid w:val="006D401F"/>
    <w:rsid w:val="006D4B13"/>
    <w:rsid w:val="006D5019"/>
    <w:rsid w:val="006D54FF"/>
    <w:rsid w:val="006D554E"/>
    <w:rsid w:val="006D563C"/>
    <w:rsid w:val="006D59D7"/>
    <w:rsid w:val="006D5B87"/>
    <w:rsid w:val="006D66AD"/>
    <w:rsid w:val="006D6CEF"/>
    <w:rsid w:val="006D7353"/>
    <w:rsid w:val="006D7520"/>
    <w:rsid w:val="006D7F01"/>
    <w:rsid w:val="006E0420"/>
    <w:rsid w:val="006E1113"/>
    <w:rsid w:val="006E16C7"/>
    <w:rsid w:val="006E17F3"/>
    <w:rsid w:val="006E1C05"/>
    <w:rsid w:val="006E2045"/>
    <w:rsid w:val="006E2A8C"/>
    <w:rsid w:val="006E2CF2"/>
    <w:rsid w:val="006E30CF"/>
    <w:rsid w:val="006E33E1"/>
    <w:rsid w:val="006E3893"/>
    <w:rsid w:val="006E3BC0"/>
    <w:rsid w:val="006E3BE0"/>
    <w:rsid w:val="006E3CDE"/>
    <w:rsid w:val="006E4B16"/>
    <w:rsid w:val="006E4DE3"/>
    <w:rsid w:val="006E54A1"/>
    <w:rsid w:val="006E552A"/>
    <w:rsid w:val="006E67D6"/>
    <w:rsid w:val="006E6A8A"/>
    <w:rsid w:val="006E6B58"/>
    <w:rsid w:val="006E7A88"/>
    <w:rsid w:val="006F0424"/>
    <w:rsid w:val="006F0964"/>
    <w:rsid w:val="006F13FC"/>
    <w:rsid w:val="006F18E2"/>
    <w:rsid w:val="006F36BD"/>
    <w:rsid w:val="006F376F"/>
    <w:rsid w:val="006F3931"/>
    <w:rsid w:val="006F3ADF"/>
    <w:rsid w:val="006F4206"/>
    <w:rsid w:val="006F47CE"/>
    <w:rsid w:val="006F4E59"/>
    <w:rsid w:val="006F4FF5"/>
    <w:rsid w:val="006F50DB"/>
    <w:rsid w:val="006F5E28"/>
    <w:rsid w:val="006F5F6B"/>
    <w:rsid w:val="006F6612"/>
    <w:rsid w:val="006F777D"/>
    <w:rsid w:val="00700073"/>
    <w:rsid w:val="007000BB"/>
    <w:rsid w:val="00700461"/>
    <w:rsid w:val="007007DA"/>
    <w:rsid w:val="00700893"/>
    <w:rsid w:val="00700CF0"/>
    <w:rsid w:val="00701079"/>
    <w:rsid w:val="007011CB"/>
    <w:rsid w:val="00701B32"/>
    <w:rsid w:val="00702F8D"/>
    <w:rsid w:val="0070309B"/>
    <w:rsid w:val="007032E8"/>
    <w:rsid w:val="007035DD"/>
    <w:rsid w:val="007037B1"/>
    <w:rsid w:val="00703BC9"/>
    <w:rsid w:val="007040C5"/>
    <w:rsid w:val="00704780"/>
    <w:rsid w:val="00704806"/>
    <w:rsid w:val="00704C84"/>
    <w:rsid w:val="00705169"/>
    <w:rsid w:val="007058A3"/>
    <w:rsid w:val="00706D5F"/>
    <w:rsid w:val="00706D77"/>
    <w:rsid w:val="00706D86"/>
    <w:rsid w:val="00707142"/>
    <w:rsid w:val="00707623"/>
    <w:rsid w:val="00710710"/>
    <w:rsid w:val="00710726"/>
    <w:rsid w:val="00710A79"/>
    <w:rsid w:val="00710AFC"/>
    <w:rsid w:val="00711063"/>
    <w:rsid w:val="007120E3"/>
    <w:rsid w:val="00712378"/>
    <w:rsid w:val="007123D5"/>
    <w:rsid w:val="00713509"/>
    <w:rsid w:val="00713827"/>
    <w:rsid w:val="007139C7"/>
    <w:rsid w:val="007139E5"/>
    <w:rsid w:val="00713A06"/>
    <w:rsid w:val="007142F4"/>
    <w:rsid w:val="00714E70"/>
    <w:rsid w:val="00714F3C"/>
    <w:rsid w:val="00715308"/>
    <w:rsid w:val="007153A7"/>
    <w:rsid w:val="00716089"/>
    <w:rsid w:val="00716E4F"/>
    <w:rsid w:val="007171F2"/>
    <w:rsid w:val="0071740B"/>
    <w:rsid w:val="00717B5F"/>
    <w:rsid w:val="00717CCE"/>
    <w:rsid w:val="00720C70"/>
    <w:rsid w:val="00720FA0"/>
    <w:rsid w:val="00721F26"/>
    <w:rsid w:val="007225C5"/>
    <w:rsid w:val="007230B8"/>
    <w:rsid w:val="00723A2E"/>
    <w:rsid w:val="00723AD7"/>
    <w:rsid w:val="00724827"/>
    <w:rsid w:val="00725774"/>
    <w:rsid w:val="00725FB4"/>
    <w:rsid w:val="00727722"/>
    <w:rsid w:val="00727A86"/>
    <w:rsid w:val="00727C62"/>
    <w:rsid w:val="007300FB"/>
    <w:rsid w:val="0073026F"/>
    <w:rsid w:val="007303D1"/>
    <w:rsid w:val="0073045C"/>
    <w:rsid w:val="007315BA"/>
    <w:rsid w:val="00731621"/>
    <w:rsid w:val="00732521"/>
    <w:rsid w:val="00732FDA"/>
    <w:rsid w:val="0073307D"/>
    <w:rsid w:val="00733176"/>
    <w:rsid w:val="00733482"/>
    <w:rsid w:val="00733AED"/>
    <w:rsid w:val="00733B4E"/>
    <w:rsid w:val="0073418A"/>
    <w:rsid w:val="00734273"/>
    <w:rsid w:val="007344BD"/>
    <w:rsid w:val="00735569"/>
    <w:rsid w:val="0073559F"/>
    <w:rsid w:val="00735967"/>
    <w:rsid w:val="00735A25"/>
    <w:rsid w:val="00736203"/>
    <w:rsid w:val="007363D3"/>
    <w:rsid w:val="007363DB"/>
    <w:rsid w:val="00736679"/>
    <w:rsid w:val="00736967"/>
    <w:rsid w:val="00736BA5"/>
    <w:rsid w:val="00736FD1"/>
    <w:rsid w:val="00737870"/>
    <w:rsid w:val="007378E6"/>
    <w:rsid w:val="00737A48"/>
    <w:rsid w:val="0074060B"/>
    <w:rsid w:val="0074076E"/>
    <w:rsid w:val="00741295"/>
    <w:rsid w:val="007413D1"/>
    <w:rsid w:val="0074154C"/>
    <w:rsid w:val="0074261C"/>
    <w:rsid w:val="007428C5"/>
    <w:rsid w:val="00742BAD"/>
    <w:rsid w:val="00742CD2"/>
    <w:rsid w:val="00742E59"/>
    <w:rsid w:val="00742F03"/>
    <w:rsid w:val="00743367"/>
    <w:rsid w:val="00743DB3"/>
    <w:rsid w:val="00743FCE"/>
    <w:rsid w:val="0074403A"/>
    <w:rsid w:val="007442EA"/>
    <w:rsid w:val="00744584"/>
    <w:rsid w:val="007445A0"/>
    <w:rsid w:val="007445A5"/>
    <w:rsid w:val="007449BB"/>
    <w:rsid w:val="00744D7E"/>
    <w:rsid w:val="00744EC5"/>
    <w:rsid w:val="0074507E"/>
    <w:rsid w:val="00745222"/>
    <w:rsid w:val="0074567E"/>
    <w:rsid w:val="007457B4"/>
    <w:rsid w:val="007459E2"/>
    <w:rsid w:val="00745C95"/>
    <w:rsid w:val="007460EF"/>
    <w:rsid w:val="007461CC"/>
    <w:rsid w:val="0074641F"/>
    <w:rsid w:val="00746BD8"/>
    <w:rsid w:val="007470D4"/>
    <w:rsid w:val="00747559"/>
    <w:rsid w:val="00747572"/>
    <w:rsid w:val="007475C9"/>
    <w:rsid w:val="00747764"/>
    <w:rsid w:val="00747E51"/>
    <w:rsid w:val="00750509"/>
    <w:rsid w:val="00750EFA"/>
    <w:rsid w:val="00751270"/>
    <w:rsid w:val="00751867"/>
    <w:rsid w:val="007519E4"/>
    <w:rsid w:val="00752031"/>
    <w:rsid w:val="007521BE"/>
    <w:rsid w:val="00752A1F"/>
    <w:rsid w:val="00753055"/>
    <w:rsid w:val="0075311B"/>
    <w:rsid w:val="00753362"/>
    <w:rsid w:val="00753EAB"/>
    <w:rsid w:val="007543C6"/>
    <w:rsid w:val="0075490A"/>
    <w:rsid w:val="00755840"/>
    <w:rsid w:val="00755883"/>
    <w:rsid w:val="00755885"/>
    <w:rsid w:val="0075596D"/>
    <w:rsid w:val="00755970"/>
    <w:rsid w:val="00755A4B"/>
    <w:rsid w:val="00755A64"/>
    <w:rsid w:val="00755C20"/>
    <w:rsid w:val="007561B3"/>
    <w:rsid w:val="0075634F"/>
    <w:rsid w:val="0075647E"/>
    <w:rsid w:val="00756F23"/>
    <w:rsid w:val="0075721E"/>
    <w:rsid w:val="007572C8"/>
    <w:rsid w:val="00757810"/>
    <w:rsid w:val="00757E5D"/>
    <w:rsid w:val="00757FCD"/>
    <w:rsid w:val="00760024"/>
    <w:rsid w:val="00760196"/>
    <w:rsid w:val="007601E4"/>
    <w:rsid w:val="00760614"/>
    <w:rsid w:val="00760825"/>
    <w:rsid w:val="00760A22"/>
    <w:rsid w:val="00760FF7"/>
    <w:rsid w:val="00761400"/>
    <w:rsid w:val="00761684"/>
    <w:rsid w:val="00761A2E"/>
    <w:rsid w:val="00761DF0"/>
    <w:rsid w:val="00762D6B"/>
    <w:rsid w:val="007631E5"/>
    <w:rsid w:val="00763A56"/>
    <w:rsid w:val="00763D95"/>
    <w:rsid w:val="00764D0E"/>
    <w:rsid w:val="00764E44"/>
    <w:rsid w:val="007651B8"/>
    <w:rsid w:val="007656A0"/>
    <w:rsid w:val="00765A85"/>
    <w:rsid w:val="00765DDB"/>
    <w:rsid w:val="0076639C"/>
    <w:rsid w:val="007666EA"/>
    <w:rsid w:val="0076699A"/>
    <w:rsid w:val="00766A07"/>
    <w:rsid w:val="00766F70"/>
    <w:rsid w:val="00767097"/>
    <w:rsid w:val="00767826"/>
    <w:rsid w:val="00767A03"/>
    <w:rsid w:val="00770085"/>
    <w:rsid w:val="007702D3"/>
    <w:rsid w:val="00770340"/>
    <w:rsid w:val="00770765"/>
    <w:rsid w:val="00770B09"/>
    <w:rsid w:val="00771570"/>
    <w:rsid w:val="00771B68"/>
    <w:rsid w:val="00771D8E"/>
    <w:rsid w:val="00772C50"/>
    <w:rsid w:val="00772F1D"/>
    <w:rsid w:val="00773440"/>
    <w:rsid w:val="00773854"/>
    <w:rsid w:val="00773908"/>
    <w:rsid w:val="00773D4E"/>
    <w:rsid w:val="00774234"/>
    <w:rsid w:val="00774992"/>
    <w:rsid w:val="00774A92"/>
    <w:rsid w:val="0077561A"/>
    <w:rsid w:val="00775DE8"/>
    <w:rsid w:val="00775F54"/>
    <w:rsid w:val="007762A5"/>
    <w:rsid w:val="007763B4"/>
    <w:rsid w:val="0077671D"/>
    <w:rsid w:val="0077687F"/>
    <w:rsid w:val="00776AA6"/>
    <w:rsid w:val="00776C0F"/>
    <w:rsid w:val="00776DD9"/>
    <w:rsid w:val="0077703A"/>
    <w:rsid w:val="00777068"/>
    <w:rsid w:val="0077717E"/>
    <w:rsid w:val="0077792F"/>
    <w:rsid w:val="00777BEF"/>
    <w:rsid w:val="00777D4D"/>
    <w:rsid w:val="00780310"/>
    <w:rsid w:val="007808E4"/>
    <w:rsid w:val="00780924"/>
    <w:rsid w:val="00780DA3"/>
    <w:rsid w:val="00781175"/>
    <w:rsid w:val="0078125E"/>
    <w:rsid w:val="00781426"/>
    <w:rsid w:val="007815C6"/>
    <w:rsid w:val="00781B63"/>
    <w:rsid w:val="00782201"/>
    <w:rsid w:val="0078244D"/>
    <w:rsid w:val="0078286A"/>
    <w:rsid w:val="0078297B"/>
    <w:rsid w:val="00782A57"/>
    <w:rsid w:val="0078302E"/>
    <w:rsid w:val="00783202"/>
    <w:rsid w:val="00783D70"/>
    <w:rsid w:val="00783F9D"/>
    <w:rsid w:val="007842DF"/>
    <w:rsid w:val="00784642"/>
    <w:rsid w:val="00784F78"/>
    <w:rsid w:val="00784F88"/>
    <w:rsid w:val="00784FA1"/>
    <w:rsid w:val="00785323"/>
    <w:rsid w:val="00785778"/>
    <w:rsid w:val="007857E3"/>
    <w:rsid w:val="00785958"/>
    <w:rsid w:val="007867A8"/>
    <w:rsid w:val="00787414"/>
    <w:rsid w:val="0078769F"/>
    <w:rsid w:val="00787BCE"/>
    <w:rsid w:val="0079016D"/>
    <w:rsid w:val="00790E2C"/>
    <w:rsid w:val="00790EC7"/>
    <w:rsid w:val="00791BFB"/>
    <w:rsid w:val="00792558"/>
    <w:rsid w:val="0079274A"/>
    <w:rsid w:val="0079287E"/>
    <w:rsid w:val="00792D33"/>
    <w:rsid w:val="00792F57"/>
    <w:rsid w:val="007934D4"/>
    <w:rsid w:val="007938A9"/>
    <w:rsid w:val="00793B1F"/>
    <w:rsid w:val="00793B80"/>
    <w:rsid w:val="00793D75"/>
    <w:rsid w:val="007944F9"/>
    <w:rsid w:val="00794775"/>
    <w:rsid w:val="0079576E"/>
    <w:rsid w:val="007958FB"/>
    <w:rsid w:val="0079590D"/>
    <w:rsid w:val="00796166"/>
    <w:rsid w:val="007963F1"/>
    <w:rsid w:val="0079657E"/>
    <w:rsid w:val="0079693F"/>
    <w:rsid w:val="00796975"/>
    <w:rsid w:val="00796F42"/>
    <w:rsid w:val="00796F93"/>
    <w:rsid w:val="007978F3"/>
    <w:rsid w:val="00797E06"/>
    <w:rsid w:val="00797E88"/>
    <w:rsid w:val="007A0144"/>
    <w:rsid w:val="007A0C35"/>
    <w:rsid w:val="007A0FD7"/>
    <w:rsid w:val="007A1A25"/>
    <w:rsid w:val="007A2879"/>
    <w:rsid w:val="007A2EA4"/>
    <w:rsid w:val="007A30E2"/>
    <w:rsid w:val="007A3146"/>
    <w:rsid w:val="007A334B"/>
    <w:rsid w:val="007A3496"/>
    <w:rsid w:val="007A3F61"/>
    <w:rsid w:val="007A3F7E"/>
    <w:rsid w:val="007A404A"/>
    <w:rsid w:val="007A40F4"/>
    <w:rsid w:val="007A44EE"/>
    <w:rsid w:val="007A4558"/>
    <w:rsid w:val="007A4CC7"/>
    <w:rsid w:val="007A5274"/>
    <w:rsid w:val="007A57A3"/>
    <w:rsid w:val="007A57D8"/>
    <w:rsid w:val="007A5BD4"/>
    <w:rsid w:val="007A5C93"/>
    <w:rsid w:val="007A6183"/>
    <w:rsid w:val="007A6954"/>
    <w:rsid w:val="007A70FB"/>
    <w:rsid w:val="007A786D"/>
    <w:rsid w:val="007A7A5A"/>
    <w:rsid w:val="007B0173"/>
    <w:rsid w:val="007B0933"/>
    <w:rsid w:val="007B0A09"/>
    <w:rsid w:val="007B3064"/>
    <w:rsid w:val="007B3833"/>
    <w:rsid w:val="007B4188"/>
    <w:rsid w:val="007B4A53"/>
    <w:rsid w:val="007B4B61"/>
    <w:rsid w:val="007B4E68"/>
    <w:rsid w:val="007B57EA"/>
    <w:rsid w:val="007B591F"/>
    <w:rsid w:val="007B5B9F"/>
    <w:rsid w:val="007B5F42"/>
    <w:rsid w:val="007B6799"/>
    <w:rsid w:val="007B6848"/>
    <w:rsid w:val="007B6FE6"/>
    <w:rsid w:val="007B7594"/>
    <w:rsid w:val="007B774E"/>
    <w:rsid w:val="007B7CDF"/>
    <w:rsid w:val="007B7ECB"/>
    <w:rsid w:val="007C0E24"/>
    <w:rsid w:val="007C141C"/>
    <w:rsid w:val="007C16E6"/>
    <w:rsid w:val="007C1973"/>
    <w:rsid w:val="007C2B5E"/>
    <w:rsid w:val="007C2BF5"/>
    <w:rsid w:val="007C2FBA"/>
    <w:rsid w:val="007C3327"/>
    <w:rsid w:val="007C36F3"/>
    <w:rsid w:val="007C3F9A"/>
    <w:rsid w:val="007C41BC"/>
    <w:rsid w:val="007C4631"/>
    <w:rsid w:val="007C567F"/>
    <w:rsid w:val="007C5BED"/>
    <w:rsid w:val="007C5C7B"/>
    <w:rsid w:val="007C5D8F"/>
    <w:rsid w:val="007C5FF4"/>
    <w:rsid w:val="007C66A4"/>
    <w:rsid w:val="007C6A04"/>
    <w:rsid w:val="007C6BFD"/>
    <w:rsid w:val="007C6CB2"/>
    <w:rsid w:val="007C6D54"/>
    <w:rsid w:val="007C7006"/>
    <w:rsid w:val="007C7107"/>
    <w:rsid w:val="007C72B4"/>
    <w:rsid w:val="007C7B29"/>
    <w:rsid w:val="007C7CD0"/>
    <w:rsid w:val="007D21EE"/>
    <w:rsid w:val="007D2ED7"/>
    <w:rsid w:val="007D2F6F"/>
    <w:rsid w:val="007D3160"/>
    <w:rsid w:val="007D3793"/>
    <w:rsid w:val="007D37DD"/>
    <w:rsid w:val="007D4753"/>
    <w:rsid w:val="007D507B"/>
    <w:rsid w:val="007D519F"/>
    <w:rsid w:val="007D585C"/>
    <w:rsid w:val="007D5A4B"/>
    <w:rsid w:val="007D609B"/>
    <w:rsid w:val="007D6327"/>
    <w:rsid w:val="007D65F6"/>
    <w:rsid w:val="007D6A52"/>
    <w:rsid w:val="007D6C02"/>
    <w:rsid w:val="007E034D"/>
    <w:rsid w:val="007E05CB"/>
    <w:rsid w:val="007E192A"/>
    <w:rsid w:val="007E1AD2"/>
    <w:rsid w:val="007E1D3F"/>
    <w:rsid w:val="007E1FAB"/>
    <w:rsid w:val="007E2115"/>
    <w:rsid w:val="007E2332"/>
    <w:rsid w:val="007E2F6B"/>
    <w:rsid w:val="007E332C"/>
    <w:rsid w:val="007E3742"/>
    <w:rsid w:val="007E3BD2"/>
    <w:rsid w:val="007E41E7"/>
    <w:rsid w:val="007E4CA3"/>
    <w:rsid w:val="007E50D9"/>
    <w:rsid w:val="007E5642"/>
    <w:rsid w:val="007E5D98"/>
    <w:rsid w:val="007E7041"/>
    <w:rsid w:val="007F00D3"/>
    <w:rsid w:val="007F00F4"/>
    <w:rsid w:val="007F02FF"/>
    <w:rsid w:val="007F0CAD"/>
    <w:rsid w:val="007F1B83"/>
    <w:rsid w:val="007F1BBA"/>
    <w:rsid w:val="007F24A5"/>
    <w:rsid w:val="007F27CB"/>
    <w:rsid w:val="007F2AB6"/>
    <w:rsid w:val="007F2B16"/>
    <w:rsid w:val="007F2D1E"/>
    <w:rsid w:val="007F3082"/>
    <w:rsid w:val="007F39CC"/>
    <w:rsid w:val="007F3ED2"/>
    <w:rsid w:val="007F477B"/>
    <w:rsid w:val="007F47E5"/>
    <w:rsid w:val="007F5065"/>
    <w:rsid w:val="007F5743"/>
    <w:rsid w:val="007F578F"/>
    <w:rsid w:val="007F5BB3"/>
    <w:rsid w:val="007F5EB0"/>
    <w:rsid w:val="007F61AB"/>
    <w:rsid w:val="007F64BE"/>
    <w:rsid w:val="007F6577"/>
    <w:rsid w:val="007F665E"/>
    <w:rsid w:val="007F6D1F"/>
    <w:rsid w:val="007F6D37"/>
    <w:rsid w:val="007F6E4C"/>
    <w:rsid w:val="007F7064"/>
    <w:rsid w:val="007F70A2"/>
    <w:rsid w:val="007F77C8"/>
    <w:rsid w:val="007F7F79"/>
    <w:rsid w:val="008001F5"/>
    <w:rsid w:val="00800237"/>
    <w:rsid w:val="00800AA4"/>
    <w:rsid w:val="0080106E"/>
    <w:rsid w:val="008011BE"/>
    <w:rsid w:val="008015A5"/>
    <w:rsid w:val="00802CA2"/>
    <w:rsid w:val="008034A3"/>
    <w:rsid w:val="008034B5"/>
    <w:rsid w:val="008035A5"/>
    <w:rsid w:val="0080396B"/>
    <w:rsid w:val="00803C70"/>
    <w:rsid w:val="00803FD0"/>
    <w:rsid w:val="008040D5"/>
    <w:rsid w:val="008042DC"/>
    <w:rsid w:val="00804763"/>
    <w:rsid w:val="008048A8"/>
    <w:rsid w:val="00804DFF"/>
    <w:rsid w:val="0080529F"/>
    <w:rsid w:val="00805643"/>
    <w:rsid w:val="00805E93"/>
    <w:rsid w:val="00805FF3"/>
    <w:rsid w:val="0080603C"/>
    <w:rsid w:val="00806283"/>
    <w:rsid w:val="008064F7"/>
    <w:rsid w:val="00806501"/>
    <w:rsid w:val="00806594"/>
    <w:rsid w:val="00806EB0"/>
    <w:rsid w:val="0081056F"/>
    <w:rsid w:val="008109BF"/>
    <w:rsid w:val="00810A16"/>
    <w:rsid w:val="00810AB5"/>
    <w:rsid w:val="00810DF4"/>
    <w:rsid w:val="00810EF3"/>
    <w:rsid w:val="008111F4"/>
    <w:rsid w:val="008113B0"/>
    <w:rsid w:val="00811759"/>
    <w:rsid w:val="00812B9C"/>
    <w:rsid w:val="008137A2"/>
    <w:rsid w:val="00813DBA"/>
    <w:rsid w:val="00813FEB"/>
    <w:rsid w:val="00814C79"/>
    <w:rsid w:val="00814CA6"/>
    <w:rsid w:val="00814CAE"/>
    <w:rsid w:val="00814DF3"/>
    <w:rsid w:val="0081565F"/>
    <w:rsid w:val="008157EC"/>
    <w:rsid w:val="00815AD0"/>
    <w:rsid w:val="008163A0"/>
    <w:rsid w:val="008165BB"/>
    <w:rsid w:val="008169B4"/>
    <w:rsid w:val="00816B25"/>
    <w:rsid w:val="008170E1"/>
    <w:rsid w:val="008176B7"/>
    <w:rsid w:val="008177A5"/>
    <w:rsid w:val="0082007B"/>
    <w:rsid w:val="008203DC"/>
    <w:rsid w:val="0082099E"/>
    <w:rsid w:val="00820E07"/>
    <w:rsid w:val="0082155F"/>
    <w:rsid w:val="008216C9"/>
    <w:rsid w:val="00821843"/>
    <w:rsid w:val="00821850"/>
    <w:rsid w:val="008221C6"/>
    <w:rsid w:val="008221DF"/>
    <w:rsid w:val="00822473"/>
    <w:rsid w:val="0082266C"/>
    <w:rsid w:val="008226BF"/>
    <w:rsid w:val="00823171"/>
    <w:rsid w:val="008233FE"/>
    <w:rsid w:val="008234B6"/>
    <w:rsid w:val="00823B35"/>
    <w:rsid w:val="00823EC4"/>
    <w:rsid w:val="00823F5F"/>
    <w:rsid w:val="008242A6"/>
    <w:rsid w:val="008243DB"/>
    <w:rsid w:val="008245EB"/>
    <w:rsid w:val="00825692"/>
    <w:rsid w:val="008256E4"/>
    <w:rsid w:val="00825A3D"/>
    <w:rsid w:val="00825A52"/>
    <w:rsid w:val="00825D65"/>
    <w:rsid w:val="00826518"/>
    <w:rsid w:val="0083014B"/>
    <w:rsid w:val="00830900"/>
    <w:rsid w:val="00830AAD"/>
    <w:rsid w:val="008310C5"/>
    <w:rsid w:val="0083133A"/>
    <w:rsid w:val="0083137D"/>
    <w:rsid w:val="00831396"/>
    <w:rsid w:val="00831986"/>
    <w:rsid w:val="00833107"/>
    <w:rsid w:val="008333C2"/>
    <w:rsid w:val="0083350A"/>
    <w:rsid w:val="00834A51"/>
    <w:rsid w:val="00834B06"/>
    <w:rsid w:val="00834CCD"/>
    <w:rsid w:val="00835D84"/>
    <w:rsid w:val="00835DE5"/>
    <w:rsid w:val="008363B7"/>
    <w:rsid w:val="0083671E"/>
    <w:rsid w:val="00836DCC"/>
    <w:rsid w:val="00837860"/>
    <w:rsid w:val="008416E5"/>
    <w:rsid w:val="00841ED4"/>
    <w:rsid w:val="00842181"/>
    <w:rsid w:val="008421F8"/>
    <w:rsid w:val="008425E3"/>
    <w:rsid w:val="00842A93"/>
    <w:rsid w:val="00842D2B"/>
    <w:rsid w:val="00845122"/>
    <w:rsid w:val="008451D1"/>
    <w:rsid w:val="008452A1"/>
    <w:rsid w:val="008461F5"/>
    <w:rsid w:val="00846318"/>
    <w:rsid w:val="008470E9"/>
    <w:rsid w:val="00847392"/>
    <w:rsid w:val="00847C39"/>
    <w:rsid w:val="00847F7B"/>
    <w:rsid w:val="00850128"/>
    <w:rsid w:val="00850428"/>
    <w:rsid w:val="00850C7D"/>
    <w:rsid w:val="00850DF3"/>
    <w:rsid w:val="0085263E"/>
    <w:rsid w:val="00852A4E"/>
    <w:rsid w:val="00852C20"/>
    <w:rsid w:val="00853144"/>
    <w:rsid w:val="008533A0"/>
    <w:rsid w:val="00853AB0"/>
    <w:rsid w:val="008540ED"/>
    <w:rsid w:val="008541EB"/>
    <w:rsid w:val="008547EB"/>
    <w:rsid w:val="00854B1B"/>
    <w:rsid w:val="00854D86"/>
    <w:rsid w:val="00855172"/>
    <w:rsid w:val="008557D8"/>
    <w:rsid w:val="00855BAF"/>
    <w:rsid w:val="00855FCC"/>
    <w:rsid w:val="008568AF"/>
    <w:rsid w:val="00856FBC"/>
    <w:rsid w:val="00857127"/>
    <w:rsid w:val="00857541"/>
    <w:rsid w:val="008576FC"/>
    <w:rsid w:val="0085776F"/>
    <w:rsid w:val="008577EC"/>
    <w:rsid w:val="00857961"/>
    <w:rsid w:val="008601AB"/>
    <w:rsid w:val="008602EC"/>
    <w:rsid w:val="00860AC9"/>
    <w:rsid w:val="00861BC8"/>
    <w:rsid w:val="00861CB0"/>
    <w:rsid w:val="00862400"/>
    <w:rsid w:val="00862B0B"/>
    <w:rsid w:val="00862C18"/>
    <w:rsid w:val="00862DAB"/>
    <w:rsid w:val="0086336F"/>
    <w:rsid w:val="008633DD"/>
    <w:rsid w:val="00863B77"/>
    <w:rsid w:val="0086463C"/>
    <w:rsid w:val="00864A35"/>
    <w:rsid w:val="008666B0"/>
    <w:rsid w:val="00867153"/>
    <w:rsid w:val="008672A5"/>
    <w:rsid w:val="00867EAC"/>
    <w:rsid w:val="00870253"/>
    <w:rsid w:val="00871628"/>
    <w:rsid w:val="008727D2"/>
    <w:rsid w:val="0087306A"/>
    <w:rsid w:val="00873839"/>
    <w:rsid w:val="00873899"/>
    <w:rsid w:val="008738C5"/>
    <w:rsid w:val="00873B14"/>
    <w:rsid w:val="00873CC3"/>
    <w:rsid w:val="0087461F"/>
    <w:rsid w:val="00874665"/>
    <w:rsid w:val="00874D7A"/>
    <w:rsid w:val="00875027"/>
    <w:rsid w:val="008753E0"/>
    <w:rsid w:val="00875426"/>
    <w:rsid w:val="00877202"/>
    <w:rsid w:val="00877759"/>
    <w:rsid w:val="00880449"/>
    <w:rsid w:val="00880CE2"/>
    <w:rsid w:val="00881E0E"/>
    <w:rsid w:val="008825DA"/>
    <w:rsid w:val="0088267B"/>
    <w:rsid w:val="00882754"/>
    <w:rsid w:val="00882AF0"/>
    <w:rsid w:val="00882B5B"/>
    <w:rsid w:val="00883134"/>
    <w:rsid w:val="008831DA"/>
    <w:rsid w:val="0088339B"/>
    <w:rsid w:val="00884E13"/>
    <w:rsid w:val="0088508C"/>
    <w:rsid w:val="0088544A"/>
    <w:rsid w:val="00885D4F"/>
    <w:rsid w:val="00885EE2"/>
    <w:rsid w:val="0088603B"/>
    <w:rsid w:val="008864FA"/>
    <w:rsid w:val="00886846"/>
    <w:rsid w:val="0088690F"/>
    <w:rsid w:val="00886C85"/>
    <w:rsid w:val="00886E4A"/>
    <w:rsid w:val="0088760E"/>
    <w:rsid w:val="00887788"/>
    <w:rsid w:val="00887A70"/>
    <w:rsid w:val="00887E58"/>
    <w:rsid w:val="00887FBE"/>
    <w:rsid w:val="008909B6"/>
    <w:rsid w:val="008911C6"/>
    <w:rsid w:val="008911CF"/>
    <w:rsid w:val="00891325"/>
    <w:rsid w:val="008915F2"/>
    <w:rsid w:val="00891693"/>
    <w:rsid w:val="008922AE"/>
    <w:rsid w:val="00892E6E"/>
    <w:rsid w:val="00893BC0"/>
    <w:rsid w:val="0089411B"/>
    <w:rsid w:val="0089441C"/>
    <w:rsid w:val="00894A8B"/>
    <w:rsid w:val="00894D8C"/>
    <w:rsid w:val="00894F06"/>
    <w:rsid w:val="0089511D"/>
    <w:rsid w:val="008953AC"/>
    <w:rsid w:val="0089550E"/>
    <w:rsid w:val="00895E7E"/>
    <w:rsid w:val="0089620D"/>
    <w:rsid w:val="00896278"/>
    <w:rsid w:val="0089627D"/>
    <w:rsid w:val="00896856"/>
    <w:rsid w:val="0089685B"/>
    <w:rsid w:val="008972E0"/>
    <w:rsid w:val="008973E5"/>
    <w:rsid w:val="008976E9"/>
    <w:rsid w:val="00897ED2"/>
    <w:rsid w:val="008A06B1"/>
    <w:rsid w:val="008A08F3"/>
    <w:rsid w:val="008A0F3A"/>
    <w:rsid w:val="008A1EC5"/>
    <w:rsid w:val="008A2C9D"/>
    <w:rsid w:val="008A2CF2"/>
    <w:rsid w:val="008A2D92"/>
    <w:rsid w:val="008A3590"/>
    <w:rsid w:val="008A36A9"/>
    <w:rsid w:val="008A3834"/>
    <w:rsid w:val="008A3C6F"/>
    <w:rsid w:val="008A3F18"/>
    <w:rsid w:val="008A41D0"/>
    <w:rsid w:val="008A4514"/>
    <w:rsid w:val="008A484A"/>
    <w:rsid w:val="008A5C13"/>
    <w:rsid w:val="008A5C94"/>
    <w:rsid w:val="008A6C09"/>
    <w:rsid w:val="008A7386"/>
    <w:rsid w:val="008A74A8"/>
    <w:rsid w:val="008A7E53"/>
    <w:rsid w:val="008B013C"/>
    <w:rsid w:val="008B0164"/>
    <w:rsid w:val="008B01D1"/>
    <w:rsid w:val="008B04CA"/>
    <w:rsid w:val="008B0661"/>
    <w:rsid w:val="008B0A79"/>
    <w:rsid w:val="008B0AA9"/>
    <w:rsid w:val="008B11D8"/>
    <w:rsid w:val="008B12F0"/>
    <w:rsid w:val="008B2A33"/>
    <w:rsid w:val="008B2E2E"/>
    <w:rsid w:val="008B2EE4"/>
    <w:rsid w:val="008B32DA"/>
    <w:rsid w:val="008B3AB3"/>
    <w:rsid w:val="008B3F5B"/>
    <w:rsid w:val="008B3F9E"/>
    <w:rsid w:val="008B41D0"/>
    <w:rsid w:val="008B432C"/>
    <w:rsid w:val="008B449E"/>
    <w:rsid w:val="008B44BA"/>
    <w:rsid w:val="008B54B4"/>
    <w:rsid w:val="008B602E"/>
    <w:rsid w:val="008B6248"/>
    <w:rsid w:val="008B664F"/>
    <w:rsid w:val="008B6738"/>
    <w:rsid w:val="008B69C4"/>
    <w:rsid w:val="008B716D"/>
    <w:rsid w:val="008B7288"/>
    <w:rsid w:val="008C0E9D"/>
    <w:rsid w:val="008C183A"/>
    <w:rsid w:val="008C316C"/>
    <w:rsid w:val="008C319F"/>
    <w:rsid w:val="008C33F8"/>
    <w:rsid w:val="008C33FF"/>
    <w:rsid w:val="008C3B8F"/>
    <w:rsid w:val="008C514E"/>
    <w:rsid w:val="008C6247"/>
    <w:rsid w:val="008C641F"/>
    <w:rsid w:val="008C6462"/>
    <w:rsid w:val="008C65FD"/>
    <w:rsid w:val="008C7300"/>
    <w:rsid w:val="008C7532"/>
    <w:rsid w:val="008C78AE"/>
    <w:rsid w:val="008C7A99"/>
    <w:rsid w:val="008C7F1E"/>
    <w:rsid w:val="008D01C2"/>
    <w:rsid w:val="008D0AE6"/>
    <w:rsid w:val="008D1010"/>
    <w:rsid w:val="008D1299"/>
    <w:rsid w:val="008D26DE"/>
    <w:rsid w:val="008D28E6"/>
    <w:rsid w:val="008D2B66"/>
    <w:rsid w:val="008D2E13"/>
    <w:rsid w:val="008D3115"/>
    <w:rsid w:val="008D34FF"/>
    <w:rsid w:val="008D47EA"/>
    <w:rsid w:val="008D4AB2"/>
    <w:rsid w:val="008D4ACF"/>
    <w:rsid w:val="008D4C66"/>
    <w:rsid w:val="008D5361"/>
    <w:rsid w:val="008D5A69"/>
    <w:rsid w:val="008D6B55"/>
    <w:rsid w:val="008D6EC9"/>
    <w:rsid w:val="008D6F26"/>
    <w:rsid w:val="008D76D3"/>
    <w:rsid w:val="008D7CD2"/>
    <w:rsid w:val="008D7D35"/>
    <w:rsid w:val="008E05E4"/>
    <w:rsid w:val="008E1275"/>
    <w:rsid w:val="008E1C4D"/>
    <w:rsid w:val="008E1C6D"/>
    <w:rsid w:val="008E20B5"/>
    <w:rsid w:val="008E336F"/>
    <w:rsid w:val="008E339E"/>
    <w:rsid w:val="008E33CC"/>
    <w:rsid w:val="008E34AB"/>
    <w:rsid w:val="008E40EC"/>
    <w:rsid w:val="008E4502"/>
    <w:rsid w:val="008E470E"/>
    <w:rsid w:val="008E472C"/>
    <w:rsid w:val="008E4AD3"/>
    <w:rsid w:val="008E4C2E"/>
    <w:rsid w:val="008E4ED5"/>
    <w:rsid w:val="008E5022"/>
    <w:rsid w:val="008E532E"/>
    <w:rsid w:val="008E599D"/>
    <w:rsid w:val="008E5A22"/>
    <w:rsid w:val="008E5B29"/>
    <w:rsid w:val="008E5FAE"/>
    <w:rsid w:val="008E640D"/>
    <w:rsid w:val="008E6445"/>
    <w:rsid w:val="008E68D6"/>
    <w:rsid w:val="008E6F3F"/>
    <w:rsid w:val="008E704E"/>
    <w:rsid w:val="008E74DC"/>
    <w:rsid w:val="008E7631"/>
    <w:rsid w:val="008E780E"/>
    <w:rsid w:val="008E7855"/>
    <w:rsid w:val="008F018E"/>
    <w:rsid w:val="008F0688"/>
    <w:rsid w:val="008F075A"/>
    <w:rsid w:val="008F1251"/>
    <w:rsid w:val="008F15E0"/>
    <w:rsid w:val="008F1754"/>
    <w:rsid w:val="008F17D1"/>
    <w:rsid w:val="008F1D81"/>
    <w:rsid w:val="008F1D8A"/>
    <w:rsid w:val="008F1F4D"/>
    <w:rsid w:val="008F2147"/>
    <w:rsid w:val="008F29DD"/>
    <w:rsid w:val="008F303F"/>
    <w:rsid w:val="008F3AD8"/>
    <w:rsid w:val="008F3C71"/>
    <w:rsid w:val="008F3DEA"/>
    <w:rsid w:val="008F4D22"/>
    <w:rsid w:val="008F544E"/>
    <w:rsid w:val="008F5E24"/>
    <w:rsid w:val="008F6B53"/>
    <w:rsid w:val="008F6ED9"/>
    <w:rsid w:val="008F6EF4"/>
    <w:rsid w:val="008F6F3F"/>
    <w:rsid w:val="008F7671"/>
    <w:rsid w:val="008F7A3B"/>
    <w:rsid w:val="008F7F6B"/>
    <w:rsid w:val="0090016E"/>
    <w:rsid w:val="009006A1"/>
    <w:rsid w:val="00900747"/>
    <w:rsid w:val="00901432"/>
    <w:rsid w:val="009014C7"/>
    <w:rsid w:val="0090200F"/>
    <w:rsid w:val="009020B5"/>
    <w:rsid w:val="009022DB"/>
    <w:rsid w:val="00902CE2"/>
    <w:rsid w:val="00902FC9"/>
    <w:rsid w:val="0090367B"/>
    <w:rsid w:val="009036BC"/>
    <w:rsid w:val="009036DE"/>
    <w:rsid w:val="009038EF"/>
    <w:rsid w:val="00903B8F"/>
    <w:rsid w:val="00904079"/>
    <w:rsid w:val="009040F8"/>
    <w:rsid w:val="00904745"/>
    <w:rsid w:val="00904DF1"/>
    <w:rsid w:val="00905E66"/>
    <w:rsid w:val="00905E7F"/>
    <w:rsid w:val="0090608B"/>
    <w:rsid w:val="009064A5"/>
    <w:rsid w:val="00906691"/>
    <w:rsid w:val="009068D5"/>
    <w:rsid w:val="00906B2D"/>
    <w:rsid w:val="00906C1D"/>
    <w:rsid w:val="009070C5"/>
    <w:rsid w:val="009072F3"/>
    <w:rsid w:val="00907712"/>
    <w:rsid w:val="00907E9E"/>
    <w:rsid w:val="00910596"/>
    <w:rsid w:val="00910A68"/>
    <w:rsid w:val="00910ABF"/>
    <w:rsid w:val="00910B63"/>
    <w:rsid w:val="00910B9A"/>
    <w:rsid w:val="00910D33"/>
    <w:rsid w:val="00910EC3"/>
    <w:rsid w:val="009112A6"/>
    <w:rsid w:val="009116E5"/>
    <w:rsid w:val="00911DF1"/>
    <w:rsid w:val="0091225A"/>
    <w:rsid w:val="009123CB"/>
    <w:rsid w:val="00912447"/>
    <w:rsid w:val="009124A0"/>
    <w:rsid w:val="009124BD"/>
    <w:rsid w:val="0091265D"/>
    <w:rsid w:val="00912E69"/>
    <w:rsid w:val="009130F7"/>
    <w:rsid w:val="00913171"/>
    <w:rsid w:val="009132E7"/>
    <w:rsid w:val="009136A2"/>
    <w:rsid w:val="00913AA0"/>
    <w:rsid w:val="00914295"/>
    <w:rsid w:val="0091468F"/>
    <w:rsid w:val="009146F0"/>
    <w:rsid w:val="00914D8F"/>
    <w:rsid w:val="00915467"/>
    <w:rsid w:val="00915596"/>
    <w:rsid w:val="00915822"/>
    <w:rsid w:val="009158BE"/>
    <w:rsid w:val="009159DF"/>
    <w:rsid w:val="009161B6"/>
    <w:rsid w:val="009161C3"/>
    <w:rsid w:val="0091630B"/>
    <w:rsid w:val="00916318"/>
    <w:rsid w:val="00916454"/>
    <w:rsid w:val="0091668D"/>
    <w:rsid w:val="00916CB3"/>
    <w:rsid w:val="00916E2C"/>
    <w:rsid w:val="00917351"/>
    <w:rsid w:val="00917D0A"/>
    <w:rsid w:val="00920492"/>
    <w:rsid w:val="009206E9"/>
    <w:rsid w:val="00920837"/>
    <w:rsid w:val="00920E58"/>
    <w:rsid w:val="00921C65"/>
    <w:rsid w:val="009224BF"/>
    <w:rsid w:val="00922906"/>
    <w:rsid w:val="00922A16"/>
    <w:rsid w:val="00922B84"/>
    <w:rsid w:val="00922EFD"/>
    <w:rsid w:val="00922FF9"/>
    <w:rsid w:val="0092486A"/>
    <w:rsid w:val="00924D09"/>
    <w:rsid w:val="009252D6"/>
    <w:rsid w:val="009254F5"/>
    <w:rsid w:val="0092560B"/>
    <w:rsid w:val="0092632B"/>
    <w:rsid w:val="009263F7"/>
    <w:rsid w:val="00926E7B"/>
    <w:rsid w:val="00927072"/>
    <w:rsid w:val="00927A47"/>
    <w:rsid w:val="00930620"/>
    <w:rsid w:val="0093091F"/>
    <w:rsid w:val="00932CD3"/>
    <w:rsid w:val="009332EB"/>
    <w:rsid w:val="009333A6"/>
    <w:rsid w:val="00933BD2"/>
    <w:rsid w:val="009345FC"/>
    <w:rsid w:val="00934727"/>
    <w:rsid w:val="00935407"/>
    <w:rsid w:val="00935DBC"/>
    <w:rsid w:val="0093616F"/>
    <w:rsid w:val="00936DC5"/>
    <w:rsid w:val="00936FA2"/>
    <w:rsid w:val="00937999"/>
    <w:rsid w:val="00937B6F"/>
    <w:rsid w:val="00937E75"/>
    <w:rsid w:val="00937ED4"/>
    <w:rsid w:val="00940433"/>
    <w:rsid w:val="009418F3"/>
    <w:rsid w:val="00942EA4"/>
    <w:rsid w:val="009434FB"/>
    <w:rsid w:val="009436AD"/>
    <w:rsid w:val="00943AD0"/>
    <w:rsid w:val="00943EE2"/>
    <w:rsid w:val="00944734"/>
    <w:rsid w:val="0094495E"/>
    <w:rsid w:val="0094532C"/>
    <w:rsid w:val="0094595B"/>
    <w:rsid w:val="00945AA0"/>
    <w:rsid w:val="00945C26"/>
    <w:rsid w:val="00945D05"/>
    <w:rsid w:val="00945FF8"/>
    <w:rsid w:val="00946115"/>
    <w:rsid w:val="00946208"/>
    <w:rsid w:val="00946838"/>
    <w:rsid w:val="0094764C"/>
    <w:rsid w:val="00947735"/>
    <w:rsid w:val="00947767"/>
    <w:rsid w:val="00947A00"/>
    <w:rsid w:val="00947B92"/>
    <w:rsid w:val="009509E0"/>
    <w:rsid w:val="00950CF7"/>
    <w:rsid w:val="009522A9"/>
    <w:rsid w:val="00952BB4"/>
    <w:rsid w:val="00953923"/>
    <w:rsid w:val="00953D5F"/>
    <w:rsid w:val="00953F30"/>
    <w:rsid w:val="009549C7"/>
    <w:rsid w:val="00954BD2"/>
    <w:rsid w:val="00954DA9"/>
    <w:rsid w:val="0095509D"/>
    <w:rsid w:val="0095601D"/>
    <w:rsid w:val="00956088"/>
    <w:rsid w:val="00956DEC"/>
    <w:rsid w:val="0095759C"/>
    <w:rsid w:val="00957DAA"/>
    <w:rsid w:val="00957E55"/>
    <w:rsid w:val="00960120"/>
    <w:rsid w:val="0096031E"/>
    <w:rsid w:val="0096072D"/>
    <w:rsid w:val="00960882"/>
    <w:rsid w:val="00960F5D"/>
    <w:rsid w:val="00961609"/>
    <w:rsid w:val="009620D0"/>
    <w:rsid w:val="009625DB"/>
    <w:rsid w:val="00962C2B"/>
    <w:rsid w:val="00963355"/>
    <w:rsid w:val="009641D7"/>
    <w:rsid w:val="00964DC8"/>
    <w:rsid w:val="00964FBB"/>
    <w:rsid w:val="009650EC"/>
    <w:rsid w:val="00965155"/>
    <w:rsid w:val="00965BF3"/>
    <w:rsid w:val="00965C34"/>
    <w:rsid w:val="009660EF"/>
    <w:rsid w:val="0096688F"/>
    <w:rsid w:val="00967231"/>
    <w:rsid w:val="00967AE1"/>
    <w:rsid w:val="0097034C"/>
    <w:rsid w:val="00970783"/>
    <w:rsid w:val="00970812"/>
    <w:rsid w:val="009714A0"/>
    <w:rsid w:val="00971658"/>
    <w:rsid w:val="009716C5"/>
    <w:rsid w:val="009725DE"/>
    <w:rsid w:val="009726B3"/>
    <w:rsid w:val="00972EA7"/>
    <w:rsid w:val="00973715"/>
    <w:rsid w:val="009741C8"/>
    <w:rsid w:val="009745B4"/>
    <w:rsid w:val="00974FA4"/>
    <w:rsid w:val="0097546B"/>
    <w:rsid w:val="0097558F"/>
    <w:rsid w:val="00975719"/>
    <w:rsid w:val="00975CA9"/>
    <w:rsid w:val="00976015"/>
    <w:rsid w:val="00976751"/>
    <w:rsid w:val="00976950"/>
    <w:rsid w:val="00976B81"/>
    <w:rsid w:val="0097733E"/>
    <w:rsid w:val="00977408"/>
    <w:rsid w:val="00977858"/>
    <w:rsid w:val="009778BE"/>
    <w:rsid w:val="00977A9B"/>
    <w:rsid w:val="00977BDC"/>
    <w:rsid w:val="009814C6"/>
    <w:rsid w:val="00981C6B"/>
    <w:rsid w:val="00981CA5"/>
    <w:rsid w:val="009822A0"/>
    <w:rsid w:val="00982378"/>
    <w:rsid w:val="00982A6C"/>
    <w:rsid w:val="00982E59"/>
    <w:rsid w:val="00983D31"/>
    <w:rsid w:val="00983E10"/>
    <w:rsid w:val="00984556"/>
    <w:rsid w:val="0098504E"/>
    <w:rsid w:val="00985180"/>
    <w:rsid w:val="009857B2"/>
    <w:rsid w:val="00985DBA"/>
    <w:rsid w:val="009860EB"/>
    <w:rsid w:val="0098646F"/>
    <w:rsid w:val="009869A0"/>
    <w:rsid w:val="0098707D"/>
    <w:rsid w:val="00987268"/>
    <w:rsid w:val="009874C7"/>
    <w:rsid w:val="009877EE"/>
    <w:rsid w:val="00987934"/>
    <w:rsid w:val="00987C88"/>
    <w:rsid w:val="00987D36"/>
    <w:rsid w:val="00987F22"/>
    <w:rsid w:val="00990202"/>
    <w:rsid w:val="00990394"/>
    <w:rsid w:val="00990766"/>
    <w:rsid w:val="00990886"/>
    <w:rsid w:val="00990BD2"/>
    <w:rsid w:val="00990F00"/>
    <w:rsid w:val="009913D7"/>
    <w:rsid w:val="00991E9B"/>
    <w:rsid w:val="00991EE7"/>
    <w:rsid w:val="009921E4"/>
    <w:rsid w:val="00992420"/>
    <w:rsid w:val="00992BA4"/>
    <w:rsid w:val="00992F2A"/>
    <w:rsid w:val="009937BB"/>
    <w:rsid w:val="00993DD8"/>
    <w:rsid w:val="00994963"/>
    <w:rsid w:val="00994BD8"/>
    <w:rsid w:val="00995764"/>
    <w:rsid w:val="0099577F"/>
    <w:rsid w:val="009962A4"/>
    <w:rsid w:val="009976D3"/>
    <w:rsid w:val="009978E8"/>
    <w:rsid w:val="00997E80"/>
    <w:rsid w:val="009A004A"/>
    <w:rsid w:val="009A013C"/>
    <w:rsid w:val="009A0345"/>
    <w:rsid w:val="009A041C"/>
    <w:rsid w:val="009A07E1"/>
    <w:rsid w:val="009A0C1B"/>
    <w:rsid w:val="009A0CC8"/>
    <w:rsid w:val="009A0EA5"/>
    <w:rsid w:val="009A10DC"/>
    <w:rsid w:val="009A14F6"/>
    <w:rsid w:val="009A14FC"/>
    <w:rsid w:val="009A155A"/>
    <w:rsid w:val="009A1A1D"/>
    <w:rsid w:val="009A1BC2"/>
    <w:rsid w:val="009A1F39"/>
    <w:rsid w:val="009A3A38"/>
    <w:rsid w:val="009A3A4B"/>
    <w:rsid w:val="009A4267"/>
    <w:rsid w:val="009A4510"/>
    <w:rsid w:val="009A49D7"/>
    <w:rsid w:val="009A4CEF"/>
    <w:rsid w:val="009A57D5"/>
    <w:rsid w:val="009A58FA"/>
    <w:rsid w:val="009A59C2"/>
    <w:rsid w:val="009A60EF"/>
    <w:rsid w:val="009A628F"/>
    <w:rsid w:val="009A6666"/>
    <w:rsid w:val="009A7883"/>
    <w:rsid w:val="009A7906"/>
    <w:rsid w:val="009A7C2B"/>
    <w:rsid w:val="009A7D10"/>
    <w:rsid w:val="009A7E4B"/>
    <w:rsid w:val="009B0AFA"/>
    <w:rsid w:val="009B0F8F"/>
    <w:rsid w:val="009B1302"/>
    <w:rsid w:val="009B146F"/>
    <w:rsid w:val="009B1DAA"/>
    <w:rsid w:val="009B25F3"/>
    <w:rsid w:val="009B2BE0"/>
    <w:rsid w:val="009B2C66"/>
    <w:rsid w:val="009B37B5"/>
    <w:rsid w:val="009B38A8"/>
    <w:rsid w:val="009B4439"/>
    <w:rsid w:val="009B464E"/>
    <w:rsid w:val="009B4B70"/>
    <w:rsid w:val="009B5050"/>
    <w:rsid w:val="009B5626"/>
    <w:rsid w:val="009B5D5C"/>
    <w:rsid w:val="009B62E3"/>
    <w:rsid w:val="009B6411"/>
    <w:rsid w:val="009B65B6"/>
    <w:rsid w:val="009B69F1"/>
    <w:rsid w:val="009B7438"/>
    <w:rsid w:val="009B78C3"/>
    <w:rsid w:val="009B7A7D"/>
    <w:rsid w:val="009B7D39"/>
    <w:rsid w:val="009C03E0"/>
    <w:rsid w:val="009C044D"/>
    <w:rsid w:val="009C0621"/>
    <w:rsid w:val="009C0FED"/>
    <w:rsid w:val="009C12E5"/>
    <w:rsid w:val="009C14D7"/>
    <w:rsid w:val="009C1708"/>
    <w:rsid w:val="009C1C5E"/>
    <w:rsid w:val="009C24B8"/>
    <w:rsid w:val="009C2ECB"/>
    <w:rsid w:val="009C2EF6"/>
    <w:rsid w:val="009C3B56"/>
    <w:rsid w:val="009C3C57"/>
    <w:rsid w:val="009C3E35"/>
    <w:rsid w:val="009C4055"/>
    <w:rsid w:val="009C45C6"/>
    <w:rsid w:val="009C548B"/>
    <w:rsid w:val="009C56E3"/>
    <w:rsid w:val="009C5FEA"/>
    <w:rsid w:val="009C632E"/>
    <w:rsid w:val="009C63F8"/>
    <w:rsid w:val="009C6AD3"/>
    <w:rsid w:val="009D051D"/>
    <w:rsid w:val="009D0951"/>
    <w:rsid w:val="009D236A"/>
    <w:rsid w:val="009D288B"/>
    <w:rsid w:val="009D29CF"/>
    <w:rsid w:val="009D2EB0"/>
    <w:rsid w:val="009D3250"/>
    <w:rsid w:val="009D4FE8"/>
    <w:rsid w:val="009D5109"/>
    <w:rsid w:val="009D52DE"/>
    <w:rsid w:val="009D5A86"/>
    <w:rsid w:val="009D5D91"/>
    <w:rsid w:val="009D604F"/>
    <w:rsid w:val="009D6506"/>
    <w:rsid w:val="009D66E7"/>
    <w:rsid w:val="009D6C60"/>
    <w:rsid w:val="009D6DB7"/>
    <w:rsid w:val="009D759D"/>
    <w:rsid w:val="009D7B98"/>
    <w:rsid w:val="009E07E0"/>
    <w:rsid w:val="009E15E0"/>
    <w:rsid w:val="009E15EC"/>
    <w:rsid w:val="009E161B"/>
    <w:rsid w:val="009E1930"/>
    <w:rsid w:val="009E1A45"/>
    <w:rsid w:val="009E1B4A"/>
    <w:rsid w:val="009E24A4"/>
    <w:rsid w:val="009E2715"/>
    <w:rsid w:val="009E296B"/>
    <w:rsid w:val="009E2ECE"/>
    <w:rsid w:val="009E2F13"/>
    <w:rsid w:val="009E304C"/>
    <w:rsid w:val="009E3665"/>
    <w:rsid w:val="009E36BA"/>
    <w:rsid w:val="009E3D5D"/>
    <w:rsid w:val="009E3D86"/>
    <w:rsid w:val="009E45D9"/>
    <w:rsid w:val="009E4BC1"/>
    <w:rsid w:val="009E4ED6"/>
    <w:rsid w:val="009E5C48"/>
    <w:rsid w:val="009E5D39"/>
    <w:rsid w:val="009E6265"/>
    <w:rsid w:val="009E635A"/>
    <w:rsid w:val="009E6783"/>
    <w:rsid w:val="009E6BAE"/>
    <w:rsid w:val="009E742E"/>
    <w:rsid w:val="009E7434"/>
    <w:rsid w:val="009E7DFE"/>
    <w:rsid w:val="009F0012"/>
    <w:rsid w:val="009F0B5C"/>
    <w:rsid w:val="009F14A6"/>
    <w:rsid w:val="009F163A"/>
    <w:rsid w:val="009F1975"/>
    <w:rsid w:val="009F2EA7"/>
    <w:rsid w:val="009F3439"/>
    <w:rsid w:val="009F42A5"/>
    <w:rsid w:val="009F4EFD"/>
    <w:rsid w:val="009F5016"/>
    <w:rsid w:val="009F52EF"/>
    <w:rsid w:val="009F5683"/>
    <w:rsid w:val="009F584A"/>
    <w:rsid w:val="009F58FE"/>
    <w:rsid w:val="009F5C89"/>
    <w:rsid w:val="009F6240"/>
    <w:rsid w:val="009F6479"/>
    <w:rsid w:val="009F653C"/>
    <w:rsid w:val="009F67BC"/>
    <w:rsid w:val="009F70D5"/>
    <w:rsid w:val="009F777F"/>
    <w:rsid w:val="009F7919"/>
    <w:rsid w:val="009F7E40"/>
    <w:rsid w:val="00A0040F"/>
    <w:rsid w:val="00A009D5"/>
    <w:rsid w:val="00A00E2E"/>
    <w:rsid w:val="00A00FD8"/>
    <w:rsid w:val="00A01CF6"/>
    <w:rsid w:val="00A024A1"/>
    <w:rsid w:val="00A025CD"/>
    <w:rsid w:val="00A02625"/>
    <w:rsid w:val="00A02A59"/>
    <w:rsid w:val="00A03B29"/>
    <w:rsid w:val="00A03E0E"/>
    <w:rsid w:val="00A0420B"/>
    <w:rsid w:val="00A0472D"/>
    <w:rsid w:val="00A04EA2"/>
    <w:rsid w:val="00A050B6"/>
    <w:rsid w:val="00A05129"/>
    <w:rsid w:val="00A05621"/>
    <w:rsid w:val="00A05913"/>
    <w:rsid w:val="00A05CCA"/>
    <w:rsid w:val="00A06AAC"/>
    <w:rsid w:val="00A06FBA"/>
    <w:rsid w:val="00A0709F"/>
    <w:rsid w:val="00A078BD"/>
    <w:rsid w:val="00A07FFB"/>
    <w:rsid w:val="00A115A2"/>
    <w:rsid w:val="00A12415"/>
    <w:rsid w:val="00A1274C"/>
    <w:rsid w:val="00A128FA"/>
    <w:rsid w:val="00A129E8"/>
    <w:rsid w:val="00A12AA4"/>
    <w:rsid w:val="00A12B70"/>
    <w:rsid w:val="00A13214"/>
    <w:rsid w:val="00A13617"/>
    <w:rsid w:val="00A13BE9"/>
    <w:rsid w:val="00A14018"/>
    <w:rsid w:val="00A14AE5"/>
    <w:rsid w:val="00A14B7B"/>
    <w:rsid w:val="00A14C01"/>
    <w:rsid w:val="00A14E51"/>
    <w:rsid w:val="00A15713"/>
    <w:rsid w:val="00A16519"/>
    <w:rsid w:val="00A16739"/>
    <w:rsid w:val="00A16B9C"/>
    <w:rsid w:val="00A16FE6"/>
    <w:rsid w:val="00A17B97"/>
    <w:rsid w:val="00A17DC6"/>
    <w:rsid w:val="00A20090"/>
    <w:rsid w:val="00A200EE"/>
    <w:rsid w:val="00A20352"/>
    <w:rsid w:val="00A20754"/>
    <w:rsid w:val="00A20AC5"/>
    <w:rsid w:val="00A21100"/>
    <w:rsid w:val="00A2129F"/>
    <w:rsid w:val="00A21CED"/>
    <w:rsid w:val="00A21DCC"/>
    <w:rsid w:val="00A224A5"/>
    <w:rsid w:val="00A2284C"/>
    <w:rsid w:val="00A22BB6"/>
    <w:rsid w:val="00A23032"/>
    <w:rsid w:val="00A231DD"/>
    <w:rsid w:val="00A23268"/>
    <w:rsid w:val="00A23745"/>
    <w:rsid w:val="00A23EC7"/>
    <w:rsid w:val="00A24015"/>
    <w:rsid w:val="00A2407E"/>
    <w:rsid w:val="00A242B6"/>
    <w:rsid w:val="00A24587"/>
    <w:rsid w:val="00A24A40"/>
    <w:rsid w:val="00A24DFF"/>
    <w:rsid w:val="00A25748"/>
    <w:rsid w:val="00A25AA0"/>
    <w:rsid w:val="00A25B82"/>
    <w:rsid w:val="00A26573"/>
    <w:rsid w:val="00A26C40"/>
    <w:rsid w:val="00A2720B"/>
    <w:rsid w:val="00A27335"/>
    <w:rsid w:val="00A27754"/>
    <w:rsid w:val="00A27DF7"/>
    <w:rsid w:val="00A30177"/>
    <w:rsid w:val="00A30588"/>
    <w:rsid w:val="00A309DE"/>
    <w:rsid w:val="00A32434"/>
    <w:rsid w:val="00A328BD"/>
    <w:rsid w:val="00A32BDD"/>
    <w:rsid w:val="00A33A2E"/>
    <w:rsid w:val="00A3452A"/>
    <w:rsid w:val="00A34614"/>
    <w:rsid w:val="00A346F8"/>
    <w:rsid w:val="00A34A6A"/>
    <w:rsid w:val="00A35C28"/>
    <w:rsid w:val="00A36DC4"/>
    <w:rsid w:val="00A37602"/>
    <w:rsid w:val="00A378C6"/>
    <w:rsid w:val="00A37D4F"/>
    <w:rsid w:val="00A402EE"/>
    <w:rsid w:val="00A40330"/>
    <w:rsid w:val="00A40AD0"/>
    <w:rsid w:val="00A40B04"/>
    <w:rsid w:val="00A4159D"/>
    <w:rsid w:val="00A4166A"/>
    <w:rsid w:val="00A417C7"/>
    <w:rsid w:val="00A41C0F"/>
    <w:rsid w:val="00A42034"/>
    <w:rsid w:val="00A42615"/>
    <w:rsid w:val="00A4284E"/>
    <w:rsid w:val="00A42CD8"/>
    <w:rsid w:val="00A42D97"/>
    <w:rsid w:val="00A42EE7"/>
    <w:rsid w:val="00A43313"/>
    <w:rsid w:val="00A438F9"/>
    <w:rsid w:val="00A43D1B"/>
    <w:rsid w:val="00A44282"/>
    <w:rsid w:val="00A44426"/>
    <w:rsid w:val="00A4447A"/>
    <w:rsid w:val="00A4477B"/>
    <w:rsid w:val="00A448D2"/>
    <w:rsid w:val="00A449B7"/>
    <w:rsid w:val="00A452B0"/>
    <w:rsid w:val="00A45326"/>
    <w:rsid w:val="00A45C37"/>
    <w:rsid w:val="00A45D7F"/>
    <w:rsid w:val="00A45EB3"/>
    <w:rsid w:val="00A45F84"/>
    <w:rsid w:val="00A46063"/>
    <w:rsid w:val="00A469F8"/>
    <w:rsid w:val="00A46A52"/>
    <w:rsid w:val="00A46F4B"/>
    <w:rsid w:val="00A47043"/>
    <w:rsid w:val="00A47644"/>
    <w:rsid w:val="00A477DD"/>
    <w:rsid w:val="00A47960"/>
    <w:rsid w:val="00A47980"/>
    <w:rsid w:val="00A47B79"/>
    <w:rsid w:val="00A47CB3"/>
    <w:rsid w:val="00A50674"/>
    <w:rsid w:val="00A50783"/>
    <w:rsid w:val="00A517B8"/>
    <w:rsid w:val="00A51E38"/>
    <w:rsid w:val="00A522B6"/>
    <w:rsid w:val="00A52429"/>
    <w:rsid w:val="00A52D9F"/>
    <w:rsid w:val="00A53E5A"/>
    <w:rsid w:val="00A53E7E"/>
    <w:rsid w:val="00A542A1"/>
    <w:rsid w:val="00A54807"/>
    <w:rsid w:val="00A5485C"/>
    <w:rsid w:val="00A54BFB"/>
    <w:rsid w:val="00A54C5A"/>
    <w:rsid w:val="00A54F9F"/>
    <w:rsid w:val="00A5530F"/>
    <w:rsid w:val="00A55727"/>
    <w:rsid w:val="00A55A89"/>
    <w:rsid w:val="00A55D2B"/>
    <w:rsid w:val="00A5684C"/>
    <w:rsid w:val="00A56F4B"/>
    <w:rsid w:val="00A6055B"/>
    <w:rsid w:val="00A605A5"/>
    <w:rsid w:val="00A60689"/>
    <w:rsid w:val="00A60AE7"/>
    <w:rsid w:val="00A60B53"/>
    <w:rsid w:val="00A60DBB"/>
    <w:rsid w:val="00A6169F"/>
    <w:rsid w:val="00A6188C"/>
    <w:rsid w:val="00A61E1F"/>
    <w:rsid w:val="00A6256E"/>
    <w:rsid w:val="00A63412"/>
    <w:rsid w:val="00A638F7"/>
    <w:rsid w:val="00A6393E"/>
    <w:rsid w:val="00A63B61"/>
    <w:rsid w:val="00A63DE9"/>
    <w:rsid w:val="00A640DA"/>
    <w:rsid w:val="00A64AC0"/>
    <w:rsid w:val="00A64ACC"/>
    <w:rsid w:val="00A64B6E"/>
    <w:rsid w:val="00A64D9E"/>
    <w:rsid w:val="00A65056"/>
    <w:rsid w:val="00A65196"/>
    <w:rsid w:val="00A65258"/>
    <w:rsid w:val="00A656B3"/>
    <w:rsid w:val="00A65948"/>
    <w:rsid w:val="00A65AB6"/>
    <w:rsid w:val="00A661AD"/>
    <w:rsid w:val="00A662AC"/>
    <w:rsid w:val="00A669DE"/>
    <w:rsid w:val="00A66DCA"/>
    <w:rsid w:val="00A67075"/>
    <w:rsid w:val="00A6752C"/>
    <w:rsid w:val="00A703D1"/>
    <w:rsid w:val="00A704C1"/>
    <w:rsid w:val="00A70D8D"/>
    <w:rsid w:val="00A712CA"/>
    <w:rsid w:val="00A715D2"/>
    <w:rsid w:val="00A71C8E"/>
    <w:rsid w:val="00A720E9"/>
    <w:rsid w:val="00A726C3"/>
    <w:rsid w:val="00A72718"/>
    <w:rsid w:val="00A72C05"/>
    <w:rsid w:val="00A72DD0"/>
    <w:rsid w:val="00A72E4F"/>
    <w:rsid w:val="00A732DC"/>
    <w:rsid w:val="00A73924"/>
    <w:rsid w:val="00A7437A"/>
    <w:rsid w:val="00A74C20"/>
    <w:rsid w:val="00A75681"/>
    <w:rsid w:val="00A761A3"/>
    <w:rsid w:val="00A764D6"/>
    <w:rsid w:val="00A76998"/>
    <w:rsid w:val="00A76BCF"/>
    <w:rsid w:val="00A77DB4"/>
    <w:rsid w:val="00A801EA"/>
    <w:rsid w:val="00A80221"/>
    <w:rsid w:val="00A805FB"/>
    <w:rsid w:val="00A80865"/>
    <w:rsid w:val="00A80A42"/>
    <w:rsid w:val="00A8167F"/>
    <w:rsid w:val="00A820C6"/>
    <w:rsid w:val="00A8238F"/>
    <w:rsid w:val="00A82938"/>
    <w:rsid w:val="00A82CBC"/>
    <w:rsid w:val="00A82DC5"/>
    <w:rsid w:val="00A83415"/>
    <w:rsid w:val="00A83536"/>
    <w:rsid w:val="00A83807"/>
    <w:rsid w:val="00A83B5C"/>
    <w:rsid w:val="00A83E54"/>
    <w:rsid w:val="00A8403B"/>
    <w:rsid w:val="00A848BF"/>
    <w:rsid w:val="00A85271"/>
    <w:rsid w:val="00A852EB"/>
    <w:rsid w:val="00A85352"/>
    <w:rsid w:val="00A85701"/>
    <w:rsid w:val="00A85907"/>
    <w:rsid w:val="00A85C93"/>
    <w:rsid w:val="00A872CB"/>
    <w:rsid w:val="00A87764"/>
    <w:rsid w:val="00A879D1"/>
    <w:rsid w:val="00A900FA"/>
    <w:rsid w:val="00A90255"/>
    <w:rsid w:val="00A904B9"/>
    <w:rsid w:val="00A90910"/>
    <w:rsid w:val="00A90C3E"/>
    <w:rsid w:val="00A90FB4"/>
    <w:rsid w:val="00A91328"/>
    <w:rsid w:val="00A91340"/>
    <w:rsid w:val="00A920A4"/>
    <w:rsid w:val="00A923B7"/>
    <w:rsid w:val="00A92916"/>
    <w:rsid w:val="00A92C48"/>
    <w:rsid w:val="00A92FBE"/>
    <w:rsid w:val="00A931FC"/>
    <w:rsid w:val="00A938BA"/>
    <w:rsid w:val="00A94111"/>
    <w:rsid w:val="00A944CF"/>
    <w:rsid w:val="00A94EAD"/>
    <w:rsid w:val="00A952DF"/>
    <w:rsid w:val="00A95CD2"/>
    <w:rsid w:val="00A96599"/>
    <w:rsid w:val="00A9682A"/>
    <w:rsid w:val="00A969B5"/>
    <w:rsid w:val="00A97130"/>
    <w:rsid w:val="00A97D9F"/>
    <w:rsid w:val="00A97E94"/>
    <w:rsid w:val="00AA00ED"/>
    <w:rsid w:val="00AA0B13"/>
    <w:rsid w:val="00AA0DF5"/>
    <w:rsid w:val="00AA16DA"/>
    <w:rsid w:val="00AA1B50"/>
    <w:rsid w:val="00AA212B"/>
    <w:rsid w:val="00AA2963"/>
    <w:rsid w:val="00AA2BB2"/>
    <w:rsid w:val="00AA2D08"/>
    <w:rsid w:val="00AA2D85"/>
    <w:rsid w:val="00AA3006"/>
    <w:rsid w:val="00AA3295"/>
    <w:rsid w:val="00AA351E"/>
    <w:rsid w:val="00AA3A90"/>
    <w:rsid w:val="00AA4A47"/>
    <w:rsid w:val="00AA4A81"/>
    <w:rsid w:val="00AA4DE2"/>
    <w:rsid w:val="00AA51CC"/>
    <w:rsid w:val="00AA5962"/>
    <w:rsid w:val="00AA5D32"/>
    <w:rsid w:val="00AA6AF5"/>
    <w:rsid w:val="00AA6B69"/>
    <w:rsid w:val="00AA6BD2"/>
    <w:rsid w:val="00AA7125"/>
    <w:rsid w:val="00AA776A"/>
    <w:rsid w:val="00AB041B"/>
    <w:rsid w:val="00AB1AD4"/>
    <w:rsid w:val="00AB2059"/>
    <w:rsid w:val="00AB20E4"/>
    <w:rsid w:val="00AB2175"/>
    <w:rsid w:val="00AB24A5"/>
    <w:rsid w:val="00AB3161"/>
    <w:rsid w:val="00AB3176"/>
    <w:rsid w:val="00AB328E"/>
    <w:rsid w:val="00AB33A6"/>
    <w:rsid w:val="00AB36AD"/>
    <w:rsid w:val="00AB4153"/>
    <w:rsid w:val="00AB49C5"/>
    <w:rsid w:val="00AB4CF7"/>
    <w:rsid w:val="00AB4E62"/>
    <w:rsid w:val="00AB534F"/>
    <w:rsid w:val="00AB5891"/>
    <w:rsid w:val="00AB6669"/>
    <w:rsid w:val="00AB7EDA"/>
    <w:rsid w:val="00AC047B"/>
    <w:rsid w:val="00AC0591"/>
    <w:rsid w:val="00AC0E7D"/>
    <w:rsid w:val="00AC0F5A"/>
    <w:rsid w:val="00AC11E3"/>
    <w:rsid w:val="00AC1EC1"/>
    <w:rsid w:val="00AC2120"/>
    <w:rsid w:val="00AC2EA6"/>
    <w:rsid w:val="00AC2EC4"/>
    <w:rsid w:val="00AC2F34"/>
    <w:rsid w:val="00AC2F5D"/>
    <w:rsid w:val="00AC3974"/>
    <w:rsid w:val="00AC3E3D"/>
    <w:rsid w:val="00AC49F9"/>
    <w:rsid w:val="00AC50C2"/>
    <w:rsid w:val="00AC563E"/>
    <w:rsid w:val="00AC5F28"/>
    <w:rsid w:val="00AC64B5"/>
    <w:rsid w:val="00AC6FDE"/>
    <w:rsid w:val="00AC77E5"/>
    <w:rsid w:val="00AC7EEB"/>
    <w:rsid w:val="00AD0424"/>
    <w:rsid w:val="00AD06CE"/>
    <w:rsid w:val="00AD0D4E"/>
    <w:rsid w:val="00AD16B3"/>
    <w:rsid w:val="00AD171E"/>
    <w:rsid w:val="00AD26F8"/>
    <w:rsid w:val="00AD2A28"/>
    <w:rsid w:val="00AD2A71"/>
    <w:rsid w:val="00AD2E71"/>
    <w:rsid w:val="00AD312C"/>
    <w:rsid w:val="00AD3498"/>
    <w:rsid w:val="00AD3DEF"/>
    <w:rsid w:val="00AD41DC"/>
    <w:rsid w:val="00AD45BA"/>
    <w:rsid w:val="00AD45E1"/>
    <w:rsid w:val="00AD4B26"/>
    <w:rsid w:val="00AD55B1"/>
    <w:rsid w:val="00AD6227"/>
    <w:rsid w:val="00AD699D"/>
    <w:rsid w:val="00AD6C9F"/>
    <w:rsid w:val="00AD6F48"/>
    <w:rsid w:val="00AD70D8"/>
    <w:rsid w:val="00AD74C6"/>
    <w:rsid w:val="00AD74D4"/>
    <w:rsid w:val="00AD76E1"/>
    <w:rsid w:val="00AD797A"/>
    <w:rsid w:val="00AD7AF4"/>
    <w:rsid w:val="00AD7CDF"/>
    <w:rsid w:val="00AD7CE3"/>
    <w:rsid w:val="00AD7EAF"/>
    <w:rsid w:val="00AD7F04"/>
    <w:rsid w:val="00AD7F3F"/>
    <w:rsid w:val="00AE019B"/>
    <w:rsid w:val="00AE03F5"/>
    <w:rsid w:val="00AE116A"/>
    <w:rsid w:val="00AE1434"/>
    <w:rsid w:val="00AE146B"/>
    <w:rsid w:val="00AE1557"/>
    <w:rsid w:val="00AE17F1"/>
    <w:rsid w:val="00AE22F0"/>
    <w:rsid w:val="00AE25E2"/>
    <w:rsid w:val="00AE290F"/>
    <w:rsid w:val="00AE2C5F"/>
    <w:rsid w:val="00AE34B2"/>
    <w:rsid w:val="00AE385C"/>
    <w:rsid w:val="00AE3B55"/>
    <w:rsid w:val="00AE3D71"/>
    <w:rsid w:val="00AE43EC"/>
    <w:rsid w:val="00AE4B67"/>
    <w:rsid w:val="00AE4BEF"/>
    <w:rsid w:val="00AE4DBA"/>
    <w:rsid w:val="00AE4FFA"/>
    <w:rsid w:val="00AE50A1"/>
    <w:rsid w:val="00AE5286"/>
    <w:rsid w:val="00AE57F2"/>
    <w:rsid w:val="00AE587C"/>
    <w:rsid w:val="00AE58A8"/>
    <w:rsid w:val="00AE5ADE"/>
    <w:rsid w:val="00AE5D54"/>
    <w:rsid w:val="00AE5E50"/>
    <w:rsid w:val="00AE5E57"/>
    <w:rsid w:val="00AE643E"/>
    <w:rsid w:val="00AE6BAC"/>
    <w:rsid w:val="00AE6BF2"/>
    <w:rsid w:val="00AE6D60"/>
    <w:rsid w:val="00AE747F"/>
    <w:rsid w:val="00AE7929"/>
    <w:rsid w:val="00AF05C1"/>
    <w:rsid w:val="00AF0689"/>
    <w:rsid w:val="00AF0B0A"/>
    <w:rsid w:val="00AF1486"/>
    <w:rsid w:val="00AF1A93"/>
    <w:rsid w:val="00AF1C35"/>
    <w:rsid w:val="00AF1E60"/>
    <w:rsid w:val="00AF1E9A"/>
    <w:rsid w:val="00AF2DAA"/>
    <w:rsid w:val="00AF3C29"/>
    <w:rsid w:val="00AF4494"/>
    <w:rsid w:val="00AF4920"/>
    <w:rsid w:val="00AF49D5"/>
    <w:rsid w:val="00AF4CA7"/>
    <w:rsid w:val="00AF4F0C"/>
    <w:rsid w:val="00AF4FAD"/>
    <w:rsid w:val="00AF59FC"/>
    <w:rsid w:val="00AF60AE"/>
    <w:rsid w:val="00AF60DE"/>
    <w:rsid w:val="00AF63E3"/>
    <w:rsid w:val="00AF6524"/>
    <w:rsid w:val="00AF6D00"/>
    <w:rsid w:val="00AF6DBE"/>
    <w:rsid w:val="00AF75D4"/>
    <w:rsid w:val="00AF77CB"/>
    <w:rsid w:val="00AF799E"/>
    <w:rsid w:val="00AF7B09"/>
    <w:rsid w:val="00AF7CC4"/>
    <w:rsid w:val="00AF7E0F"/>
    <w:rsid w:val="00B0077E"/>
    <w:rsid w:val="00B00A15"/>
    <w:rsid w:val="00B01510"/>
    <w:rsid w:val="00B01642"/>
    <w:rsid w:val="00B01766"/>
    <w:rsid w:val="00B02041"/>
    <w:rsid w:val="00B020CC"/>
    <w:rsid w:val="00B02425"/>
    <w:rsid w:val="00B024CC"/>
    <w:rsid w:val="00B0282C"/>
    <w:rsid w:val="00B02A92"/>
    <w:rsid w:val="00B02E14"/>
    <w:rsid w:val="00B02E69"/>
    <w:rsid w:val="00B033A0"/>
    <w:rsid w:val="00B03519"/>
    <w:rsid w:val="00B035E7"/>
    <w:rsid w:val="00B036CE"/>
    <w:rsid w:val="00B03C9B"/>
    <w:rsid w:val="00B0412E"/>
    <w:rsid w:val="00B04A7D"/>
    <w:rsid w:val="00B04CD2"/>
    <w:rsid w:val="00B0545F"/>
    <w:rsid w:val="00B05E22"/>
    <w:rsid w:val="00B060CD"/>
    <w:rsid w:val="00B066E1"/>
    <w:rsid w:val="00B06DB7"/>
    <w:rsid w:val="00B07DD7"/>
    <w:rsid w:val="00B1087C"/>
    <w:rsid w:val="00B10B1D"/>
    <w:rsid w:val="00B10E26"/>
    <w:rsid w:val="00B111AE"/>
    <w:rsid w:val="00B11339"/>
    <w:rsid w:val="00B114A3"/>
    <w:rsid w:val="00B1197B"/>
    <w:rsid w:val="00B11C38"/>
    <w:rsid w:val="00B12411"/>
    <w:rsid w:val="00B12526"/>
    <w:rsid w:val="00B12722"/>
    <w:rsid w:val="00B12846"/>
    <w:rsid w:val="00B12B5B"/>
    <w:rsid w:val="00B12BA9"/>
    <w:rsid w:val="00B12BBA"/>
    <w:rsid w:val="00B13046"/>
    <w:rsid w:val="00B13234"/>
    <w:rsid w:val="00B134CB"/>
    <w:rsid w:val="00B13C05"/>
    <w:rsid w:val="00B13DB0"/>
    <w:rsid w:val="00B14168"/>
    <w:rsid w:val="00B14367"/>
    <w:rsid w:val="00B1478A"/>
    <w:rsid w:val="00B14BC5"/>
    <w:rsid w:val="00B155B2"/>
    <w:rsid w:val="00B159C4"/>
    <w:rsid w:val="00B15E29"/>
    <w:rsid w:val="00B15E40"/>
    <w:rsid w:val="00B16CBC"/>
    <w:rsid w:val="00B17752"/>
    <w:rsid w:val="00B17997"/>
    <w:rsid w:val="00B17DEE"/>
    <w:rsid w:val="00B17E99"/>
    <w:rsid w:val="00B17FCD"/>
    <w:rsid w:val="00B2007F"/>
    <w:rsid w:val="00B20128"/>
    <w:rsid w:val="00B2118D"/>
    <w:rsid w:val="00B2128C"/>
    <w:rsid w:val="00B213EF"/>
    <w:rsid w:val="00B21823"/>
    <w:rsid w:val="00B21BB4"/>
    <w:rsid w:val="00B21DE2"/>
    <w:rsid w:val="00B2207F"/>
    <w:rsid w:val="00B222DA"/>
    <w:rsid w:val="00B2294D"/>
    <w:rsid w:val="00B22FF1"/>
    <w:rsid w:val="00B24116"/>
    <w:rsid w:val="00B24323"/>
    <w:rsid w:val="00B250BF"/>
    <w:rsid w:val="00B25533"/>
    <w:rsid w:val="00B259C7"/>
    <w:rsid w:val="00B25F30"/>
    <w:rsid w:val="00B26B07"/>
    <w:rsid w:val="00B26E4C"/>
    <w:rsid w:val="00B27884"/>
    <w:rsid w:val="00B27E62"/>
    <w:rsid w:val="00B307EB"/>
    <w:rsid w:val="00B30BC4"/>
    <w:rsid w:val="00B30F31"/>
    <w:rsid w:val="00B31418"/>
    <w:rsid w:val="00B31767"/>
    <w:rsid w:val="00B326A6"/>
    <w:rsid w:val="00B32BD8"/>
    <w:rsid w:val="00B336F3"/>
    <w:rsid w:val="00B33B51"/>
    <w:rsid w:val="00B33BF5"/>
    <w:rsid w:val="00B33E82"/>
    <w:rsid w:val="00B33F49"/>
    <w:rsid w:val="00B344EB"/>
    <w:rsid w:val="00B34801"/>
    <w:rsid w:val="00B349D9"/>
    <w:rsid w:val="00B354FB"/>
    <w:rsid w:val="00B3589F"/>
    <w:rsid w:val="00B35C33"/>
    <w:rsid w:val="00B35CE4"/>
    <w:rsid w:val="00B37520"/>
    <w:rsid w:val="00B376FE"/>
    <w:rsid w:val="00B378DF"/>
    <w:rsid w:val="00B402EC"/>
    <w:rsid w:val="00B40563"/>
    <w:rsid w:val="00B40D5E"/>
    <w:rsid w:val="00B40D8A"/>
    <w:rsid w:val="00B40E32"/>
    <w:rsid w:val="00B40E88"/>
    <w:rsid w:val="00B41199"/>
    <w:rsid w:val="00B41682"/>
    <w:rsid w:val="00B4186F"/>
    <w:rsid w:val="00B42020"/>
    <w:rsid w:val="00B42828"/>
    <w:rsid w:val="00B42C81"/>
    <w:rsid w:val="00B42D0C"/>
    <w:rsid w:val="00B43AC7"/>
    <w:rsid w:val="00B43D92"/>
    <w:rsid w:val="00B44177"/>
    <w:rsid w:val="00B44C94"/>
    <w:rsid w:val="00B44CA1"/>
    <w:rsid w:val="00B44D2C"/>
    <w:rsid w:val="00B459CA"/>
    <w:rsid w:val="00B45A4C"/>
    <w:rsid w:val="00B46228"/>
    <w:rsid w:val="00B46A8D"/>
    <w:rsid w:val="00B46CF3"/>
    <w:rsid w:val="00B46F16"/>
    <w:rsid w:val="00B47975"/>
    <w:rsid w:val="00B47AD2"/>
    <w:rsid w:val="00B47B82"/>
    <w:rsid w:val="00B5000D"/>
    <w:rsid w:val="00B506A3"/>
    <w:rsid w:val="00B50920"/>
    <w:rsid w:val="00B50C17"/>
    <w:rsid w:val="00B512D1"/>
    <w:rsid w:val="00B51E24"/>
    <w:rsid w:val="00B520A1"/>
    <w:rsid w:val="00B52151"/>
    <w:rsid w:val="00B5403B"/>
    <w:rsid w:val="00B54207"/>
    <w:rsid w:val="00B5584B"/>
    <w:rsid w:val="00B55C60"/>
    <w:rsid w:val="00B55DF6"/>
    <w:rsid w:val="00B563BB"/>
    <w:rsid w:val="00B5694F"/>
    <w:rsid w:val="00B56A07"/>
    <w:rsid w:val="00B56AE0"/>
    <w:rsid w:val="00B56CCB"/>
    <w:rsid w:val="00B577C3"/>
    <w:rsid w:val="00B57928"/>
    <w:rsid w:val="00B607BB"/>
    <w:rsid w:val="00B60930"/>
    <w:rsid w:val="00B60931"/>
    <w:rsid w:val="00B60E47"/>
    <w:rsid w:val="00B60E97"/>
    <w:rsid w:val="00B61852"/>
    <w:rsid w:val="00B61F07"/>
    <w:rsid w:val="00B6200E"/>
    <w:rsid w:val="00B62129"/>
    <w:rsid w:val="00B624BA"/>
    <w:rsid w:val="00B6267A"/>
    <w:rsid w:val="00B62736"/>
    <w:rsid w:val="00B632FE"/>
    <w:rsid w:val="00B6360F"/>
    <w:rsid w:val="00B638B8"/>
    <w:rsid w:val="00B63A43"/>
    <w:rsid w:val="00B6417A"/>
    <w:rsid w:val="00B64822"/>
    <w:rsid w:val="00B64FAE"/>
    <w:rsid w:val="00B65FBC"/>
    <w:rsid w:val="00B6623E"/>
    <w:rsid w:val="00B663AD"/>
    <w:rsid w:val="00B66A71"/>
    <w:rsid w:val="00B66F0B"/>
    <w:rsid w:val="00B66F56"/>
    <w:rsid w:val="00B67295"/>
    <w:rsid w:val="00B67588"/>
    <w:rsid w:val="00B677A5"/>
    <w:rsid w:val="00B67F23"/>
    <w:rsid w:val="00B70AFB"/>
    <w:rsid w:val="00B71204"/>
    <w:rsid w:val="00B72249"/>
    <w:rsid w:val="00B72621"/>
    <w:rsid w:val="00B7269C"/>
    <w:rsid w:val="00B72871"/>
    <w:rsid w:val="00B729B4"/>
    <w:rsid w:val="00B72A04"/>
    <w:rsid w:val="00B72C75"/>
    <w:rsid w:val="00B72D12"/>
    <w:rsid w:val="00B72D25"/>
    <w:rsid w:val="00B734B0"/>
    <w:rsid w:val="00B73733"/>
    <w:rsid w:val="00B73B5F"/>
    <w:rsid w:val="00B7415B"/>
    <w:rsid w:val="00B74936"/>
    <w:rsid w:val="00B74C29"/>
    <w:rsid w:val="00B74C92"/>
    <w:rsid w:val="00B750C1"/>
    <w:rsid w:val="00B7516D"/>
    <w:rsid w:val="00B75DEF"/>
    <w:rsid w:val="00B76059"/>
    <w:rsid w:val="00B768DC"/>
    <w:rsid w:val="00B76AE5"/>
    <w:rsid w:val="00B76F43"/>
    <w:rsid w:val="00B77E0D"/>
    <w:rsid w:val="00B77F42"/>
    <w:rsid w:val="00B80392"/>
    <w:rsid w:val="00B80BBF"/>
    <w:rsid w:val="00B81006"/>
    <w:rsid w:val="00B81A46"/>
    <w:rsid w:val="00B81A64"/>
    <w:rsid w:val="00B81D89"/>
    <w:rsid w:val="00B82311"/>
    <w:rsid w:val="00B825FD"/>
    <w:rsid w:val="00B8285E"/>
    <w:rsid w:val="00B83676"/>
    <w:rsid w:val="00B83E98"/>
    <w:rsid w:val="00B84195"/>
    <w:rsid w:val="00B842A1"/>
    <w:rsid w:val="00B845AE"/>
    <w:rsid w:val="00B8466C"/>
    <w:rsid w:val="00B84BB0"/>
    <w:rsid w:val="00B85373"/>
    <w:rsid w:val="00B854E7"/>
    <w:rsid w:val="00B859B2"/>
    <w:rsid w:val="00B85E82"/>
    <w:rsid w:val="00B8640B"/>
    <w:rsid w:val="00B8669F"/>
    <w:rsid w:val="00B8671F"/>
    <w:rsid w:val="00B867BB"/>
    <w:rsid w:val="00B872EC"/>
    <w:rsid w:val="00B90C49"/>
    <w:rsid w:val="00B91AFA"/>
    <w:rsid w:val="00B91E8B"/>
    <w:rsid w:val="00B9275A"/>
    <w:rsid w:val="00B92BDB"/>
    <w:rsid w:val="00B93908"/>
    <w:rsid w:val="00B93F2F"/>
    <w:rsid w:val="00B9464F"/>
    <w:rsid w:val="00B94667"/>
    <w:rsid w:val="00B94987"/>
    <w:rsid w:val="00B94BB7"/>
    <w:rsid w:val="00B9507B"/>
    <w:rsid w:val="00B95482"/>
    <w:rsid w:val="00B95BE8"/>
    <w:rsid w:val="00B95C7B"/>
    <w:rsid w:val="00B95C95"/>
    <w:rsid w:val="00B95CEE"/>
    <w:rsid w:val="00B96D0C"/>
    <w:rsid w:val="00B96FD1"/>
    <w:rsid w:val="00B977FA"/>
    <w:rsid w:val="00B97C0D"/>
    <w:rsid w:val="00BA00D7"/>
    <w:rsid w:val="00BA0150"/>
    <w:rsid w:val="00BA09B0"/>
    <w:rsid w:val="00BA1C99"/>
    <w:rsid w:val="00BA1D24"/>
    <w:rsid w:val="00BA2485"/>
    <w:rsid w:val="00BA335E"/>
    <w:rsid w:val="00BA379C"/>
    <w:rsid w:val="00BA3B5C"/>
    <w:rsid w:val="00BA40D9"/>
    <w:rsid w:val="00BA4138"/>
    <w:rsid w:val="00BA42DD"/>
    <w:rsid w:val="00BA437D"/>
    <w:rsid w:val="00BA44C4"/>
    <w:rsid w:val="00BA4713"/>
    <w:rsid w:val="00BA47DE"/>
    <w:rsid w:val="00BA4852"/>
    <w:rsid w:val="00BA489B"/>
    <w:rsid w:val="00BA5281"/>
    <w:rsid w:val="00BA529F"/>
    <w:rsid w:val="00BA5337"/>
    <w:rsid w:val="00BA53C6"/>
    <w:rsid w:val="00BA5568"/>
    <w:rsid w:val="00BA5E8A"/>
    <w:rsid w:val="00BA71BD"/>
    <w:rsid w:val="00BA78E2"/>
    <w:rsid w:val="00BA7A1E"/>
    <w:rsid w:val="00BB0539"/>
    <w:rsid w:val="00BB0BCB"/>
    <w:rsid w:val="00BB0CC4"/>
    <w:rsid w:val="00BB0E51"/>
    <w:rsid w:val="00BB11B4"/>
    <w:rsid w:val="00BB13A2"/>
    <w:rsid w:val="00BB2AFB"/>
    <w:rsid w:val="00BB3269"/>
    <w:rsid w:val="00BB3428"/>
    <w:rsid w:val="00BB36C4"/>
    <w:rsid w:val="00BB3865"/>
    <w:rsid w:val="00BB397C"/>
    <w:rsid w:val="00BB3B99"/>
    <w:rsid w:val="00BB3B9E"/>
    <w:rsid w:val="00BB456B"/>
    <w:rsid w:val="00BB48E5"/>
    <w:rsid w:val="00BB6246"/>
    <w:rsid w:val="00BB6594"/>
    <w:rsid w:val="00BB6859"/>
    <w:rsid w:val="00BB69F0"/>
    <w:rsid w:val="00BB7084"/>
    <w:rsid w:val="00BB708B"/>
    <w:rsid w:val="00BB7DF3"/>
    <w:rsid w:val="00BC012C"/>
    <w:rsid w:val="00BC0417"/>
    <w:rsid w:val="00BC084A"/>
    <w:rsid w:val="00BC0851"/>
    <w:rsid w:val="00BC0EFB"/>
    <w:rsid w:val="00BC0F32"/>
    <w:rsid w:val="00BC1BFF"/>
    <w:rsid w:val="00BC218C"/>
    <w:rsid w:val="00BC2357"/>
    <w:rsid w:val="00BC28DD"/>
    <w:rsid w:val="00BC2E3B"/>
    <w:rsid w:val="00BC3465"/>
    <w:rsid w:val="00BC397E"/>
    <w:rsid w:val="00BC416F"/>
    <w:rsid w:val="00BC41F1"/>
    <w:rsid w:val="00BC42E2"/>
    <w:rsid w:val="00BC4A4D"/>
    <w:rsid w:val="00BC4ABF"/>
    <w:rsid w:val="00BC4B02"/>
    <w:rsid w:val="00BC52B8"/>
    <w:rsid w:val="00BC5628"/>
    <w:rsid w:val="00BC5CFC"/>
    <w:rsid w:val="00BC5FA8"/>
    <w:rsid w:val="00BC6085"/>
    <w:rsid w:val="00BC6150"/>
    <w:rsid w:val="00BC61D5"/>
    <w:rsid w:val="00BC688A"/>
    <w:rsid w:val="00BC68ED"/>
    <w:rsid w:val="00BC6BC7"/>
    <w:rsid w:val="00BC6CA9"/>
    <w:rsid w:val="00BC6D3E"/>
    <w:rsid w:val="00BC7216"/>
    <w:rsid w:val="00BC7628"/>
    <w:rsid w:val="00BC7943"/>
    <w:rsid w:val="00BC7D6D"/>
    <w:rsid w:val="00BD00BF"/>
    <w:rsid w:val="00BD0339"/>
    <w:rsid w:val="00BD0BBD"/>
    <w:rsid w:val="00BD0D51"/>
    <w:rsid w:val="00BD0F06"/>
    <w:rsid w:val="00BD1093"/>
    <w:rsid w:val="00BD1319"/>
    <w:rsid w:val="00BD13E6"/>
    <w:rsid w:val="00BD1BC6"/>
    <w:rsid w:val="00BD1D24"/>
    <w:rsid w:val="00BD211E"/>
    <w:rsid w:val="00BD263F"/>
    <w:rsid w:val="00BD29C3"/>
    <w:rsid w:val="00BD342D"/>
    <w:rsid w:val="00BD3F6D"/>
    <w:rsid w:val="00BD496D"/>
    <w:rsid w:val="00BD60C8"/>
    <w:rsid w:val="00BD6279"/>
    <w:rsid w:val="00BD65E9"/>
    <w:rsid w:val="00BD6C36"/>
    <w:rsid w:val="00BD7515"/>
    <w:rsid w:val="00BD7748"/>
    <w:rsid w:val="00BE0341"/>
    <w:rsid w:val="00BE078B"/>
    <w:rsid w:val="00BE0BB9"/>
    <w:rsid w:val="00BE0BEB"/>
    <w:rsid w:val="00BE0C04"/>
    <w:rsid w:val="00BE0C45"/>
    <w:rsid w:val="00BE0E82"/>
    <w:rsid w:val="00BE1A4F"/>
    <w:rsid w:val="00BE260F"/>
    <w:rsid w:val="00BE2BDA"/>
    <w:rsid w:val="00BE2EA2"/>
    <w:rsid w:val="00BE40D9"/>
    <w:rsid w:val="00BE496A"/>
    <w:rsid w:val="00BE49C9"/>
    <w:rsid w:val="00BE5F98"/>
    <w:rsid w:val="00BE5FBF"/>
    <w:rsid w:val="00BE608F"/>
    <w:rsid w:val="00BE627D"/>
    <w:rsid w:val="00BE7D1F"/>
    <w:rsid w:val="00BF025A"/>
    <w:rsid w:val="00BF02AF"/>
    <w:rsid w:val="00BF0E88"/>
    <w:rsid w:val="00BF14E6"/>
    <w:rsid w:val="00BF1C6E"/>
    <w:rsid w:val="00BF1D81"/>
    <w:rsid w:val="00BF3151"/>
    <w:rsid w:val="00BF3472"/>
    <w:rsid w:val="00BF347D"/>
    <w:rsid w:val="00BF3C24"/>
    <w:rsid w:val="00BF3F53"/>
    <w:rsid w:val="00BF431E"/>
    <w:rsid w:val="00BF48C0"/>
    <w:rsid w:val="00BF4BCB"/>
    <w:rsid w:val="00BF5289"/>
    <w:rsid w:val="00BF5434"/>
    <w:rsid w:val="00BF5AF8"/>
    <w:rsid w:val="00BF5B0C"/>
    <w:rsid w:val="00BF68ED"/>
    <w:rsid w:val="00BF6A27"/>
    <w:rsid w:val="00BF6A64"/>
    <w:rsid w:val="00BF6DB7"/>
    <w:rsid w:val="00C00A14"/>
    <w:rsid w:val="00C00AC4"/>
    <w:rsid w:val="00C00FE7"/>
    <w:rsid w:val="00C015F6"/>
    <w:rsid w:val="00C01F88"/>
    <w:rsid w:val="00C02288"/>
    <w:rsid w:val="00C02719"/>
    <w:rsid w:val="00C02B52"/>
    <w:rsid w:val="00C0330B"/>
    <w:rsid w:val="00C03B6E"/>
    <w:rsid w:val="00C04639"/>
    <w:rsid w:val="00C04D79"/>
    <w:rsid w:val="00C04DC2"/>
    <w:rsid w:val="00C05005"/>
    <w:rsid w:val="00C050BF"/>
    <w:rsid w:val="00C052C0"/>
    <w:rsid w:val="00C0539A"/>
    <w:rsid w:val="00C06432"/>
    <w:rsid w:val="00C066C4"/>
    <w:rsid w:val="00C06D7B"/>
    <w:rsid w:val="00C06DF7"/>
    <w:rsid w:val="00C07BB1"/>
    <w:rsid w:val="00C10261"/>
    <w:rsid w:val="00C102C7"/>
    <w:rsid w:val="00C10A02"/>
    <w:rsid w:val="00C10C99"/>
    <w:rsid w:val="00C110FF"/>
    <w:rsid w:val="00C11550"/>
    <w:rsid w:val="00C116C1"/>
    <w:rsid w:val="00C1209A"/>
    <w:rsid w:val="00C1234D"/>
    <w:rsid w:val="00C1239D"/>
    <w:rsid w:val="00C12879"/>
    <w:rsid w:val="00C12BF5"/>
    <w:rsid w:val="00C12C2D"/>
    <w:rsid w:val="00C12DE1"/>
    <w:rsid w:val="00C13330"/>
    <w:rsid w:val="00C133F7"/>
    <w:rsid w:val="00C134A9"/>
    <w:rsid w:val="00C13A1D"/>
    <w:rsid w:val="00C13A77"/>
    <w:rsid w:val="00C13AFD"/>
    <w:rsid w:val="00C13F45"/>
    <w:rsid w:val="00C14C05"/>
    <w:rsid w:val="00C150E2"/>
    <w:rsid w:val="00C155DA"/>
    <w:rsid w:val="00C1680E"/>
    <w:rsid w:val="00C16A09"/>
    <w:rsid w:val="00C175B0"/>
    <w:rsid w:val="00C17639"/>
    <w:rsid w:val="00C20513"/>
    <w:rsid w:val="00C2099B"/>
    <w:rsid w:val="00C20D14"/>
    <w:rsid w:val="00C21A0A"/>
    <w:rsid w:val="00C21A23"/>
    <w:rsid w:val="00C21CEC"/>
    <w:rsid w:val="00C226A5"/>
    <w:rsid w:val="00C2287A"/>
    <w:rsid w:val="00C228FA"/>
    <w:rsid w:val="00C22C27"/>
    <w:rsid w:val="00C22F4A"/>
    <w:rsid w:val="00C22FAD"/>
    <w:rsid w:val="00C24914"/>
    <w:rsid w:val="00C24B4D"/>
    <w:rsid w:val="00C24E7C"/>
    <w:rsid w:val="00C24F2D"/>
    <w:rsid w:val="00C24FDB"/>
    <w:rsid w:val="00C252FA"/>
    <w:rsid w:val="00C25365"/>
    <w:rsid w:val="00C26347"/>
    <w:rsid w:val="00C26738"/>
    <w:rsid w:val="00C26D6B"/>
    <w:rsid w:val="00C2760C"/>
    <w:rsid w:val="00C27664"/>
    <w:rsid w:val="00C27BA3"/>
    <w:rsid w:val="00C3008A"/>
    <w:rsid w:val="00C304C9"/>
    <w:rsid w:val="00C30CC4"/>
    <w:rsid w:val="00C3113C"/>
    <w:rsid w:val="00C3114C"/>
    <w:rsid w:val="00C31168"/>
    <w:rsid w:val="00C31C30"/>
    <w:rsid w:val="00C321D9"/>
    <w:rsid w:val="00C324A0"/>
    <w:rsid w:val="00C33515"/>
    <w:rsid w:val="00C3390C"/>
    <w:rsid w:val="00C33A9F"/>
    <w:rsid w:val="00C33D53"/>
    <w:rsid w:val="00C33D56"/>
    <w:rsid w:val="00C34B04"/>
    <w:rsid w:val="00C35124"/>
    <w:rsid w:val="00C3555C"/>
    <w:rsid w:val="00C35D49"/>
    <w:rsid w:val="00C35F2F"/>
    <w:rsid w:val="00C35F34"/>
    <w:rsid w:val="00C36080"/>
    <w:rsid w:val="00C37548"/>
    <w:rsid w:val="00C37559"/>
    <w:rsid w:val="00C3756A"/>
    <w:rsid w:val="00C4086F"/>
    <w:rsid w:val="00C40B1F"/>
    <w:rsid w:val="00C41F49"/>
    <w:rsid w:val="00C4244E"/>
    <w:rsid w:val="00C424CD"/>
    <w:rsid w:val="00C42532"/>
    <w:rsid w:val="00C42696"/>
    <w:rsid w:val="00C42B74"/>
    <w:rsid w:val="00C42D46"/>
    <w:rsid w:val="00C42EE9"/>
    <w:rsid w:val="00C438F2"/>
    <w:rsid w:val="00C43B4D"/>
    <w:rsid w:val="00C43B8F"/>
    <w:rsid w:val="00C43E45"/>
    <w:rsid w:val="00C441F9"/>
    <w:rsid w:val="00C4438D"/>
    <w:rsid w:val="00C44525"/>
    <w:rsid w:val="00C447D6"/>
    <w:rsid w:val="00C449A9"/>
    <w:rsid w:val="00C449D3"/>
    <w:rsid w:val="00C449FE"/>
    <w:rsid w:val="00C44A7D"/>
    <w:rsid w:val="00C44CF3"/>
    <w:rsid w:val="00C44EA6"/>
    <w:rsid w:val="00C452A8"/>
    <w:rsid w:val="00C45620"/>
    <w:rsid w:val="00C4577E"/>
    <w:rsid w:val="00C45A2B"/>
    <w:rsid w:val="00C46458"/>
    <w:rsid w:val="00C4681D"/>
    <w:rsid w:val="00C46C6B"/>
    <w:rsid w:val="00C46D5F"/>
    <w:rsid w:val="00C474D0"/>
    <w:rsid w:val="00C50046"/>
    <w:rsid w:val="00C5009B"/>
    <w:rsid w:val="00C500C7"/>
    <w:rsid w:val="00C50AAB"/>
    <w:rsid w:val="00C5108A"/>
    <w:rsid w:val="00C51569"/>
    <w:rsid w:val="00C518B7"/>
    <w:rsid w:val="00C51AE6"/>
    <w:rsid w:val="00C51E04"/>
    <w:rsid w:val="00C51E99"/>
    <w:rsid w:val="00C521C6"/>
    <w:rsid w:val="00C52600"/>
    <w:rsid w:val="00C5268A"/>
    <w:rsid w:val="00C52E2D"/>
    <w:rsid w:val="00C52EFA"/>
    <w:rsid w:val="00C52F92"/>
    <w:rsid w:val="00C53F68"/>
    <w:rsid w:val="00C545D5"/>
    <w:rsid w:val="00C547E2"/>
    <w:rsid w:val="00C54951"/>
    <w:rsid w:val="00C54F9E"/>
    <w:rsid w:val="00C55B93"/>
    <w:rsid w:val="00C55E6D"/>
    <w:rsid w:val="00C56A39"/>
    <w:rsid w:val="00C57041"/>
    <w:rsid w:val="00C57EC6"/>
    <w:rsid w:val="00C60853"/>
    <w:rsid w:val="00C60E39"/>
    <w:rsid w:val="00C60F1F"/>
    <w:rsid w:val="00C613B9"/>
    <w:rsid w:val="00C6142C"/>
    <w:rsid w:val="00C61BE2"/>
    <w:rsid w:val="00C61ED9"/>
    <w:rsid w:val="00C6240F"/>
    <w:rsid w:val="00C632BC"/>
    <w:rsid w:val="00C63625"/>
    <w:rsid w:val="00C63DD2"/>
    <w:rsid w:val="00C64940"/>
    <w:rsid w:val="00C64B98"/>
    <w:rsid w:val="00C64BFF"/>
    <w:rsid w:val="00C64EC3"/>
    <w:rsid w:val="00C65C9C"/>
    <w:rsid w:val="00C66274"/>
    <w:rsid w:val="00C66672"/>
    <w:rsid w:val="00C66851"/>
    <w:rsid w:val="00C669A9"/>
    <w:rsid w:val="00C66ED6"/>
    <w:rsid w:val="00C67378"/>
    <w:rsid w:val="00C67479"/>
    <w:rsid w:val="00C67928"/>
    <w:rsid w:val="00C702E1"/>
    <w:rsid w:val="00C703FF"/>
    <w:rsid w:val="00C70406"/>
    <w:rsid w:val="00C7068B"/>
    <w:rsid w:val="00C707C8"/>
    <w:rsid w:val="00C70EE4"/>
    <w:rsid w:val="00C70F59"/>
    <w:rsid w:val="00C71316"/>
    <w:rsid w:val="00C7145D"/>
    <w:rsid w:val="00C7158B"/>
    <w:rsid w:val="00C71A12"/>
    <w:rsid w:val="00C71B84"/>
    <w:rsid w:val="00C71EE9"/>
    <w:rsid w:val="00C72C83"/>
    <w:rsid w:val="00C72DD8"/>
    <w:rsid w:val="00C736F3"/>
    <w:rsid w:val="00C73D7A"/>
    <w:rsid w:val="00C742AC"/>
    <w:rsid w:val="00C74314"/>
    <w:rsid w:val="00C74B89"/>
    <w:rsid w:val="00C74C47"/>
    <w:rsid w:val="00C74E74"/>
    <w:rsid w:val="00C74EDF"/>
    <w:rsid w:val="00C75926"/>
    <w:rsid w:val="00C759B4"/>
    <w:rsid w:val="00C75D56"/>
    <w:rsid w:val="00C760FF"/>
    <w:rsid w:val="00C76BC2"/>
    <w:rsid w:val="00C76C3C"/>
    <w:rsid w:val="00C778C1"/>
    <w:rsid w:val="00C77D89"/>
    <w:rsid w:val="00C77DE1"/>
    <w:rsid w:val="00C77EED"/>
    <w:rsid w:val="00C80441"/>
    <w:rsid w:val="00C804A9"/>
    <w:rsid w:val="00C809CB"/>
    <w:rsid w:val="00C80CC1"/>
    <w:rsid w:val="00C81646"/>
    <w:rsid w:val="00C81A7C"/>
    <w:rsid w:val="00C81B14"/>
    <w:rsid w:val="00C81BFE"/>
    <w:rsid w:val="00C81FD5"/>
    <w:rsid w:val="00C8211F"/>
    <w:rsid w:val="00C821B8"/>
    <w:rsid w:val="00C82486"/>
    <w:rsid w:val="00C8283A"/>
    <w:rsid w:val="00C82929"/>
    <w:rsid w:val="00C82A01"/>
    <w:rsid w:val="00C82C78"/>
    <w:rsid w:val="00C82CD8"/>
    <w:rsid w:val="00C83055"/>
    <w:rsid w:val="00C835BC"/>
    <w:rsid w:val="00C83B33"/>
    <w:rsid w:val="00C8424B"/>
    <w:rsid w:val="00C84437"/>
    <w:rsid w:val="00C84447"/>
    <w:rsid w:val="00C84DB2"/>
    <w:rsid w:val="00C850C1"/>
    <w:rsid w:val="00C85739"/>
    <w:rsid w:val="00C859DE"/>
    <w:rsid w:val="00C85D19"/>
    <w:rsid w:val="00C86BA4"/>
    <w:rsid w:val="00C86BBC"/>
    <w:rsid w:val="00C870EB"/>
    <w:rsid w:val="00C8711E"/>
    <w:rsid w:val="00C874CD"/>
    <w:rsid w:val="00C87B0B"/>
    <w:rsid w:val="00C87CD4"/>
    <w:rsid w:val="00C87F15"/>
    <w:rsid w:val="00C90102"/>
    <w:rsid w:val="00C90547"/>
    <w:rsid w:val="00C907E5"/>
    <w:rsid w:val="00C9085E"/>
    <w:rsid w:val="00C90C69"/>
    <w:rsid w:val="00C9129D"/>
    <w:rsid w:val="00C912E9"/>
    <w:rsid w:val="00C921A0"/>
    <w:rsid w:val="00C924EB"/>
    <w:rsid w:val="00C931E0"/>
    <w:rsid w:val="00C938C3"/>
    <w:rsid w:val="00C93B4B"/>
    <w:rsid w:val="00C95372"/>
    <w:rsid w:val="00C953D2"/>
    <w:rsid w:val="00C95A5D"/>
    <w:rsid w:val="00C95E4F"/>
    <w:rsid w:val="00C96711"/>
    <w:rsid w:val="00C96BE3"/>
    <w:rsid w:val="00C97193"/>
    <w:rsid w:val="00C972EF"/>
    <w:rsid w:val="00CA026C"/>
    <w:rsid w:val="00CA03FF"/>
    <w:rsid w:val="00CA04F7"/>
    <w:rsid w:val="00CA060E"/>
    <w:rsid w:val="00CA078A"/>
    <w:rsid w:val="00CA08D5"/>
    <w:rsid w:val="00CA0E52"/>
    <w:rsid w:val="00CA103A"/>
    <w:rsid w:val="00CA15C5"/>
    <w:rsid w:val="00CA21F8"/>
    <w:rsid w:val="00CA2307"/>
    <w:rsid w:val="00CA237F"/>
    <w:rsid w:val="00CA270C"/>
    <w:rsid w:val="00CA367A"/>
    <w:rsid w:val="00CA3CE8"/>
    <w:rsid w:val="00CA3D09"/>
    <w:rsid w:val="00CA434D"/>
    <w:rsid w:val="00CA457F"/>
    <w:rsid w:val="00CA4A00"/>
    <w:rsid w:val="00CA55B5"/>
    <w:rsid w:val="00CA5847"/>
    <w:rsid w:val="00CA5DC4"/>
    <w:rsid w:val="00CA5EC8"/>
    <w:rsid w:val="00CA652E"/>
    <w:rsid w:val="00CA69B1"/>
    <w:rsid w:val="00CA7D30"/>
    <w:rsid w:val="00CA7D37"/>
    <w:rsid w:val="00CB0B15"/>
    <w:rsid w:val="00CB0EB3"/>
    <w:rsid w:val="00CB1405"/>
    <w:rsid w:val="00CB16CE"/>
    <w:rsid w:val="00CB17BC"/>
    <w:rsid w:val="00CB197B"/>
    <w:rsid w:val="00CB1BE9"/>
    <w:rsid w:val="00CB1EC2"/>
    <w:rsid w:val="00CB1F35"/>
    <w:rsid w:val="00CB2556"/>
    <w:rsid w:val="00CB2AE9"/>
    <w:rsid w:val="00CB2E9D"/>
    <w:rsid w:val="00CB3342"/>
    <w:rsid w:val="00CB3739"/>
    <w:rsid w:val="00CB37CD"/>
    <w:rsid w:val="00CB4051"/>
    <w:rsid w:val="00CB40C1"/>
    <w:rsid w:val="00CB43AF"/>
    <w:rsid w:val="00CB4845"/>
    <w:rsid w:val="00CB4891"/>
    <w:rsid w:val="00CB4A8D"/>
    <w:rsid w:val="00CB4DB3"/>
    <w:rsid w:val="00CB54A1"/>
    <w:rsid w:val="00CB5511"/>
    <w:rsid w:val="00CB55BA"/>
    <w:rsid w:val="00CB56E4"/>
    <w:rsid w:val="00CB573F"/>
    <w:rsid w:val="00CB591B"/>
    <w:rsid w:val="00CB5D0C"/>
    <w:rsid w:val="00CB6A1D"/>
    <w:rsid w:val="00CB6A68"/>
    <w:rsid w:val="00CB6AE7"/>
    <w:rsid w:val="00CB75EF"/>
    <w:rsid w:val="00CB7B5E"/>
    <w:rsid w:val="00CB7CF2"/>
    <w:rsid w:val="00CC00D8"/>
    <w:rsid w:val="00CC0DBB"/>
    <w:rsid w:val="00CC0EA1"/>
    <w:rsid w:val="00CC1298"/>
    <w:rsid w:val="00CC2463"/>
    <w:rsid w:val="00CC26CC"/>
    <w:rsid w:val="00CC2B89"/>
    <w:rsid w:val="00CC2DE7"/>
    <w:rsid w:val="00CC364D"/>
    <w:rsid w:val="00CC3BC3"/>
    <w:rsid w:val="00CC5758"/>
    <w:rsid w:val="00CC5A82"/>
    <w:rsid w:val="00CC5CC0"/>
    <w:rsid w:val="00CC5D8D"/>
    <w:rsid w:val="00CC6F9F"/>
    <w:rsid w:val="00CC7439"/>
    <w:rsid w:val="00CC748F"/>
    <w:rsid w:val="00CD00DF"/>
    <w:rsid w:val="00CD05C1"/>
    <w:rsid w:val="00CD0906"/>
    <w:rsid w:val="00CD1BB2"/>
    <w:rsid w:val="00CD20AD"/>
    <w:rsid w:val="00CD2228"/>
    <w:rsid w:val="00CD27AE"/>
    <w:rsid w:val="00CD2928"/>
    <w:rsid w:val="00CD35B3"/>
    <w:rsid w:val="00CD3619"/>
    <w:rsid w:val="00CD42B9"/>
    <w:rsid w:val="00CD4FC4"/>
    <w:rsid w:val="00CD5200"/>
    <w:rsid w:val="00CD5615"/>
    <w:rsid w:val="00CD5F7A"/>
    <w:rsid w:val="00CD636B"/>
    <w:rsid w:val="00CD6C6B"/>
    <w:rsid w:val="00CD73D8"/>
    <w:rsid w:val="00CD7C8F"/>
    <w:rsid w:val="00CD7CB5"/>
    <w:rsid w:val="00CD7E58"/>
    <w:rsid w:val="00CE03F2"/>
    <w:rsid w:val="00CE051B"/>
    <w:rsid w:val="00CE0B6D"/>
    <w:rsid w:val="00CE0D30"/>
    <w:rsid w:val="00CE1306"/>
    <w:rsid w:val="00CE1410"/>
    <w:rsid w:val="00CE178F"/>
    <w:rsid w:val="00CE1CBD"/>
    <w:rsid w:val="00CE1CD7"/>
    <w:rsid w:val="00CE1D76"/>
    <w:rsid w:val="00CE1E94"/>
    <w:rsid w:val="00CE272C"/>
    <w:rsid w:val="00CE2B62"/>
    <w:rsid w:val="00CE37FB"/>
    <w:rsid w:val="00CE42B1"/>
    <w:rsid w:val="00CE434F"/>
    <w:rsid w:val="00CE43DF"/>
    <w:rsid w:val="00CE4562"/>
    <w:rsid w:val="00CE49B4"/>
    <w:rsid w:val="00CE4FD9"/>
    <w:rsid w:val="00CE5092"/>
    <w:rsid w:val="00CE5B3B"/>
    <w:rsid w:val="00CE63E4"/>
    <w:rsid w:val="00CE7B4E"/>
    <w:rsid w:val="00CE7D24"/>
    <w:rsid w:val="00CF0029"/>
    <w:rsid w:val="00CF03E5"/>
    <w:rsid w:val="00CF03F3"/>
    <w:rsid w:val="00CF0B95"/>
    <w:rsid w:val="00CF1121"/>
    <w:rsid w:val="00CF265A"/>
    <w:rsid w:val="00CF2845"/>
    <w:rsid w:val="00CF2B1D"/>
    <w:rsid w:val="00CF2F0B"/>
    <w:rsid w:val="00CF2FDC"/>
    <w:rsid w:val="00CF3279"/>
    <w:rsid w:val="00CF3F8B"/>
    <w:rsid w:val="00CF40CB"/>
    <w:rsid w:val="00CF417A"/>
    <w:rsid w:val="00CF426A"/>
    <w:rsid w:val="00CF4479"/>
    <w:rsid w:val="00CF4872"/>
    <w:rsid w:val="00CF4D86"/>
    <w:rsid w:val="00CF4ED5"/>
    <w:rsid w:val="00CF4FD2"/>
    <w:rsid w:val="00CF5ADF"/>
    <w:rsid w:val="00CF5B52"/>
    <w:rsid w:val="00CF60C6"/>
    <w:rsid w:val="00CF6523"/>
    <w:rsid w:val="00CF688C"/>
    <w:rsid w:val="00CF6CD5"/>
    <w:rsid w:val="00CF7122"/>
    <w:rsid w:val="00CF71DF"/>
    <w:rsid w:val="00CF744A"/>
    <w:rsid w:val="00CF75C2"/>
    <w:rsid w:val="00CF76A8"/>
    <w:rsid w:val="00CF7E77"/>
    <w:rsid w:val="00CF7F83"/>
    <w:rsid w:val="00D0044A"/>
    <w:rsid w:val="00D00CCF"/>
    <w:rsid w:val="00D00CF6"/>
    <w:rsid w:val="00D00FDC"/>
    <w:rsid w:val="00D010DB"/>
    <w:rsid w:val="00D01208"/>
    <w:rsid w:val="00D0167F"/>
    <w:rsid w:val="00D01B00"/>
    <w:rsid w:val="00D01E83"/>
    <w:rsid w:val="00D02B40"/>
    <w:rsid w:val="00D0331A"/>
    <w:rsid w:val="00D03580"/>
    <w:rsid w:val="00D03787"/>
    <w:rsid w:val="00D03AF3"/>
    <w:rsid w:val="00D0491F"/>
    <w:rsid w:val="00D05022"/>
    <w:rsid w:val="00D05697"/>
    <w:rsid w:val="00D056E0"/>
    <w:rsid w:val="00D059C3"/>
    <w:rsid w:val="00D06CE6"/>
    <w:rsid w:val="00D07DA6"/>
    <w:rsid w:val="00D10602"/>
    <w:rsid w:val="00D1085F"/>
    <w:rsid w:val="00D10A7E"/>
    <w:rsid w:val="00D10B22"/>
    <w:rsid w:val="00D111C6"/>
    <w:rsid w:val="00D11488"/>
    <w:rsid w:val="00D118CA"/>
    <w:rsid w:val="00D12CBF"/>
    <w:rsid w:val="00D1435F"/>
    <w:rsid w:val="00D15018"/>
    <w:rsid w:val="00D15D84"/>
    <w:rsid w:val="00D15ECA"/>
    <w:rsid w:val="00D16044"/>
    <w:rsid w:val="00D16762"/>
    <w:rsid w:val="00D167F1"/>
    <w:rsid w:val="00D168A1"/>
    <w:rsid w:val="00D16BE9"/>
    <w:rsid w:val="00D16C4E"/>
    <w:rsid w:val="00D16E60"/>
    <w:rsid w:val="00D17038"/>
    <w:rsid w:val="00D20060"/>
    <w:rsid w:val="00D2074D"/>
    <w:rsid w:val="00D20BDE"/>
    <w:rsid w:val="00D20BE5"/>
    <w:rsid w:val="00D20EA0"/>
    <w:rsid w:val="00D20F61"/>
    <w:rsid w:val="00D211E0"/>
    <w:rsid w:val="00D21266"/>
    <w:rsid w:val="00D2132E"/>
    <w:rsid w:val="00D2151E"/>
    <w:rsid w:val="00D21698"/>
    <w:rsid w:val="00D21C12"/>
    <w:rsid w:val="00D21CFA"/>
    <w:rsid w:val="00D21DD5"/>
    <w:rsid w:val="00D21F53"/>
    <w:rsid w:val="00D2214B"/>
    <w:rsid w:val="00D22195"/>
    <w:rsid w:val="00D22B44"/>
    <w:rsid w:val="00D22E62"/>
    <w:rsid w:val="00D22F0E"/>
    <w:rsid w:val="00D23A03"/>
    <w:rsid w:val="00D23B37"/>
    <w:rsid w:val="00D23DD0"/>
    <w:rsid w:val="00D2400F"/>
    <w:rsid w:val="00D24F9F"/>
    <w:rsid w:val="00D25189"/>
    <w:rsid w:val="00D2550E"/>
    <w:rsid w:val="00D25B20"/>
    <w:rsid w:val="00D260BC"/>
    <w:rsid w:val="00D2625A"/>
    <w:rsid w:val="00D26271"/>
    <w:rsid w:val="00D2635F"/>
    <w:rsid w:val="00D267B0"/>
    <w:rsid w:val="00D27223"/>
    <w:rsid w:val="00D27720"/>
    <w:rsid w:val="00D30531"/>
    <w:rsid w:val="00D30B11"/>
    <w:rsid w:val="00D30E34"/>
    <w:rsid w:val="00D311E9"/>
    <w:rsid w:val="00D31A9C"/>
    <w:rsid w:val="00D326BB"/>
    <w:rsid w:val="00D327CD"/>
    <w:rsid w:val="00D3351E"/>
    <w:rsid w:val="00D33C23"/>
    <w:rsid w:val="00D34090"/>
    <w:rsid w:val="00D341EA"/>
    <w:rsid w:val="00D34769"/>
    <w:rsid w:val="00D34BF5"/>
    <w:rsid w:val="00D35E94"/>
    <w:rsid w:val="00D35EC3"/>
    <w:rsid w:val="00D36730"/>
    <w:rsid w:val="00D370C7"/>
    <w:rsid w:val="00D37536"/>
    <w:rsid w:val="00D37549"/>
    <w:rsid w:val="00D37780"/>
    <w:rsid w:val="00D37AE1"/>
    <w:rsid w:val="00D37F96"/>
    <w:rsid w:val="00D40857"/>
    <w:rsid w:val="00D4093C"/>
    <w:rsid w:val="00D40E4F"/>
    <w:rsid w:val="00D4109D"/>
    <w:rsid w:val="00D41193"/>
    <w:rsid w:val="00D411CE"/>
    <w:rsid w:val="00D41633"/>
    <w:rsid w:val="00D41FCA"/>
    <w:rsid w:val="00D423F3"/>
    <w:rsid w:val="00D427B2"/>
    <w:rsid w:val="00D42B78"/>
    <w:rsid w:val="00D42C05"/>
    <w:rsid w:val="00D42C33"/>
    <w:rsid w:val="00D430AD"/>
    <w:rsid w:val="00D4336B"/>
    <w:rsid w:val="00D43AB5"/>
    <w:rsid w:val="00D43B4A"/>
    <w:rsid w:val="00D43DDC"/>
    <w:rsid w:val="00D44002"/>
    <w:rsid w:val="00D440DD"/>
    <w:rsid w:val="00D444F5"/>
    <w:rsid w:val="00D445D8"/>
    <w:rsid w:val="00D44D5F"/>
    <w:rsid w:val="00D45BA2"/>
    <w:rsid w:val="00D46434"/>
    <w:rsid w:val="00D46472"/>
    <w:rsid w:val="00D46708"/>
    <w:rsid w:val="00D467BB"/>
    <w:rsid w:val="00D47184"/>
    <w:rsid w:val="00D47CB1"/>
    <w:rsid w:val="00D47D97"/>
    <w:rsid w:val="00D5079C"/>
    <w:rsid w:val="00D514E2"/>
    <w:rsid w:val="00D51712"/>
    <w:rsid w:val="00D51B56"/>
    <w:rsid w:val="00D51D7A"/>
    <w:rsid w:val="00D5260D"/>
    <w:rsid w:val="00D52ACA"/>
    <w:rsid w:val="00D534CF"/>
    <w:rsid w:val="00D53584"/>
    <w:rsid w:val="00D53710"/>
    <w:rsid w:val="00D54143"/>
    <w:rsid w:val="00D5414B"/>
    <w:rsid w:val="00D54326"/>
    <w:rsid w:val="00D544C0"/>
    <w:rsid w:val="00D544D4"/>
    <w:rsid w:val="00D54A22"/>
    <w:rsid w:val="00D54F7B"/>
    <w:rsid w:val="00D55050"/>
    <w:rsid w:val="00D55256"/>
    <w:rsid w:val="00D555B1"/>
    <w:rsid w:val="00D559FE"/>
    <w:rsid w:val="00D560A0"/>
    <w:rsid w:val="00D5792B"/>
    <w:rsid w:val="00D60086"/>
    <w:rsid w:val="00D60475"/>
    <w:rsid w:val="00D6047B"/>
    <w:rsid w:val="00D60911"/>
    <w:rsid w:val="00D60A24"/>
    <w:rsid w:val="00D60B95"/>
    <w:rsid w:val="00D60CD4"/>
    <w:rsid w:val="00D61377"/>
    <w:rsid w:val="00D61392"/>
    <w:rsid w:val="00D6142A"/>
    <w:rsid w:val="00D61444"/>
    <w:rsid w:val="00D614AC"/>
    <w:rsid w:val="00D619B6"/>
    <w:rsid w:val="00D6227D"/>
    <w:rsid w:val="00D62284"/>
    <w:rsid w:val="00D62412"/>
    <w:rsid w:val="00D629E2"/>
    <w:rsid w:val="00D62A97"/>
    <w:rsid w:val="00D62F3E"/>
    <w:rsid w:val="00D63065"/>
    <w:rsid w:val="00D631FC"/>
    <w:rsid w:val="00D6355F"/>
    <w:rsid w:val="00D6397A"/>
    <w:rsid w:val="00D6422F"/>
    <w:rsid w:val="00D64507"/>
    <w:rsid w:val="00D64A71"/>
    <w:rsid w:val="00D64B0E"/>
    <w:rsid w:val="00D651BA"/>
    <w:rsid w:val="00D653AB"/>
    <w:rsid w:val="00D653BA"/>
    <w:rsid w:val="00D655EA"/>
    <w:rsid w:val="00D65664"/>
    <w:rsid w:val="00D65907"/>
    <w:rsid w:val="00D65ADF"/>
    <w:rsid w:val="00D65D9C"/>
    <w:rsid w:val="00D67B50"/>
    <w:rsid w:val="00D67EA0"/>
    <w:rsid w:val="00D7057F"/>
    <w:rsid w:val="00D70AD7"/>
    <w:rsid w:val="00D712F9"/>
    <w:rsid w:val="00D71606"/>
    <w:rsid w:val="00D71741"/>
    <w:rsid w:val="00D71D85"/>
    <w:rsid w:val="00D71FB9"/>
    <w:rsid w:val="00D72475"/>
    <w:rsid w:val="00D726CA"/>
    <w:rsid w:val="00D72790"/>
    <w:rsid w:val="00D72978"/>
    <w:rsid w:val="00D72C4D"/>
    <w:rsid w:val="00D72F28"/>
    <w:rsid w:val="00D73743"/>
    <w:rsid w:val="00D739E2"/>
    <w:rsid w:val="00D73B4B"/>
    <w:rsid w:val="00D73F38"/>
    <w:rsid w:val="00D7411C"/>
    <w:rsid w:val="00D741D5"/>
    <w:rsid w:val="00D74245"/>
    <w:rsid w:val="00D74250"/>
    <w:rsid w:val="00D75019"/>
    <w:rsid w:val="00D752BA"/>
    <w:rsid w:val="00D76135"/>
    <w:rsid w:val="00D770F5"/>
    <w:rsid w:val="00D77674"/>
    <w:rsid w:val="00D7768A"/>
    <w:rsid w:val="00D77AB7"/>
    <w:rsid w:val="00D77B63"/>
    <w:rsid w:val="00D802DB"/>
    <w:rsid w:val="00D80AF1"/>
    <w:rsid w:val="00D80BA8"/>
    <w:rsid w:val="00D81BC3"/>
    <w:rsid w:val="00D81D44"/>
    <w:rsid w:val="00D82014"/>
    <w:rsid w:val="00D826C5"/>
    <w:rsid w:val="00D82E0C"/>
    <w:rsid w:val="00D83BD6"/>
    <w:rsid w:val="00D83C2C"/>
    <w:rsid w:val="00D83E60"/>
    <w:rsid w:val="00D841C3"/>
    <w:rsid w:val="00D848DB"/>
    <w:rsid w:val="00D84DD5"/>
    <w:rsid w:val="00D84FAE"/>
    <w:rsid w:val="00D850F1"/>
    <w:rsid w:val="00D8549C"/>
    <w:rsid w:val="00D85714"/>
    <w:rsid w:val="00D8578D"/>
    <w:rsid w:val="00D85F93"/>
    <w:rsid w:val="00D85FB0"/>
    <w:rsid w:val="00D868AF"/>
    <w:rsid w:val="00D868F4"/>
    <w:rsid w:val="00D86911"/>
    <w:rsid w:val="00D86AFD"/>
    <w:rsid w:val="00D871B5"/>
    <w:rsid w:val="00D871EE"/>
    <w:rsid w:val="00D877AF"/>
    <w:rsid w:val="00D87C70"/>
    <w:rsid w:val="00D87FDE"/>
    <w:rsid w:val="00D90138"/>
    <w:rsid w:val="00D9031E"/>
    <w:rsid w:val="00D90699"/>
    <w:rsid w:val="00D90A94"/>
    <w:rsid w:val="00D90B53"/>
    <w:rsid w:val="00D90D1F"/>
    <w:rsid w:val="00D90D8B"/>
    <w:rsid w:val="00D9165E"/>
    <w:rsid w:val="00D918BF"/>
    <w:rsid w:val="00D9271A"/>
    <w:rsid w:val="00D92B94"/>
    <w:rsid w:val="00D930A5"/>
    <w:rsid w:val="00D931B3"/>
    <w:rsid w:val="00D934DE"/>
    <w:rsid w:val="00D9357E"/>
    <w:rsid w:val="00D93641"/>
    <w:rsid w:val="00D936C4"/>
    <w:rsid w:val="00D9391F"/>
    <w:rsid w:val="00D93974"/>
    <w:rsid w:val="00D93DE1"/>
    <w:rsid w:val="00D93DFA"/>
    <w:rsid w:val="00D94EE3"/>
    <w:rsid w:val="00D95970"/>
    <w:rsid w:val="00D962ED"/>
    <w:rsid w:val="00D976C2"/>
    <w:rsid w:val="00D97F7E"/>
    <w:rsid w:val="00DA04D2"/>
    <w:rsid w:val="00DA057D"/>
    <w:rsid w:val="00DA0BFB"/>
    <w:rsid w:val="00DA0E9B"/>
    <w:rsid w:val="00DA1A08"/>
    <w:rsid w:val="00DA1C89"/>
    <w:rsid w:val="00DA24B4"/>
    <w:rsid w:val="00DA24C5"/>
    <w:rsid w:val="00DA25DE"/>
    <w:rsid w:val="00DA2841"/>
    <w:rsid w:val="00DA285D"/>
    <w:rsid w:val="00DA2874"/>
    <w:rsid w:val="00DA2A5F"/>
    <w:rsid w:val="00DA3DE0"/>
    <w:rsid w:val="00DA3FDB"/>
    <w:rsid w:val="00DA4CA1"/>
    <w:rsid w:val="00DA4CE5"/>
    <w:rsid w:val="00DA4D52"/>
    <w:rsid w:val="00DA53B9"/>
    <w:rsid w:val="00DA5536"/>
    <w:rsid w:val="00DA591B"/>
    <w:rsid w:val="00DA663D"/>
    <w:rsid w:val="00DA6876"/>
    <w:rsid w:val="00DA703C"/>
    <w:rsid w:val="00DA7539"/>
    <w:rsid w:val="00DA77D1"/>
    <w:rsid w:val="00DB035E"/>
    <w:rsid w:val="00DB09BE"/>
    <w:rsid w:val="00DB0DFC"/>
    <w:rsid w:val="00DB12F8"/>
    <w:rsid w:val="00DB19FA"/>
    <w:rsid w:val="00DB2722"/>
    <w:rsid w:val="00DB2CB4"/>
    <w:rsid w:val="00DB3075"/>
    <w:rsid w:val="00DB3DD3"/>
    <w:rsid w:val="00DB3E7F"/>
    <w:rsid w:val="00DB4068"/>
    <w:rsid w:val="00DB43C1"/>
    <w:rsid w:val="00DB4430"/>
    <w:rsid w:val="00DB4624"/>
    <w:rsid w:val="00DB51A6"/>
    <w:rsid w:val="00DB52E8"/>
    <w:rsid w:val="00DB54B8"/>
    <w:rsid w:val="00DB5C8A"/>
    <w:rsid w:val="00DB61FF"/>
    <w:rsid w:val="00DB739F"/>
    <w:rsid w:val="00DB7AE4"/>
    <w:rsid w:val="00DB7B13"/>
    <w:rsid w:val="00DB7F06"/>
    <w:rsid w:val="00DC0047"/>
    <w:rsid w:val="00DC00AA"/>
    <w:rsid w:val="00DC0CEF"/>
    <w:rsid w:val="00DC0FF2"/>
    <w:rsid w:val="00DC108A"/>
    <w:rsid w:val="00DC11BA"/>
    <w:rsid w:val="00DC1747"/>
    <w:rsid w:val="00DC1B13"/>
    <w:rsid w:val="00DC1D8C"/>
    <w:rsid w:val="00DC228E"/>
    <w:rsid w:val="00DC2376"/>
    <w:rsid w:val="00DC29AA"/>
    <w:rsid w:val="00DC3682"/>
    <w:rsid w:val="00DC3B32"/>
    <w:rsid w:val="00DC3F18"/>
    <w:rsid w:val="00DC4A2C"/>
    <w:rsid w:val="00DC4B4D"/>
    <w:rsid w:val="00DC5173"/>
    <w:rsid w:val="00DC53DD"/>
    <w:rsid w:val="00DC5867"/>
    <w:rsid w:val="00DC5CE0"/>
    <w:rsid w:val="00DC5D3B"/>
    <w:rsid w:val="00DC6090"/>
    <w:rsid w:val="00DC64D3"/>
    <w:rsid w:val="00DC68D4"/>
    <w:rsid w:val="00DC6934"/>
    <w:rsid w:val="00DC6CA1"/>
    <w:rsid w:val="00DC7130"/>
    <w:rsid w:val="00DC7CAB"/>
    <w:rsid w:val="00DC7EE3"/>
    <w:rsid w:val="00DC7FCF"/>
    <w:rsid w:val="00DD024B"/>
    <w:rsid w:val="00DD03C6"/>
    <w:rsid w:val="00DD05BC"/>
    <w:rsid w:val="00DD06D6"/>
    <w:rsid w:val="00DD082E"/>
    <w:rsid w:val="00DD0C13"/>
    <w:rsid w:val="00DD0FC6"/>
    <w:rsid w:val="00DD129B"/>
    <w:rsid w:val="00DD2738"/>
    <w:rsid w:val="00DD299E"/>
    <w:rsid w:val="00DD2F8B"/>
    <w:rsid w:val="00DD311F"/>
    <w:rsid w:val="00DD3229"/>
    <w:rsid w:val="00DD335B"/>
    <w:rsid w:val="00DD3918"/>
    <w:rsid w:val="00DD39E7"/>
    <w:rsid w:val="00DD3D1A"/>
    <w:rsid w:val="00DD3EE5"/>
    <w:rsid w:val="00DD3F7D"/>
    <w:rsid w:val="00DD4670"/>
    <w:rsid w:val="00DD46D3"/>
    <w:rsid w:val="00DD4746"/>
    <w:rsid w:val="00DD4911"/>
    <w:rsid w:val="00DD4AD3"/>
    <w:rsid w:val="00DD4BCE"/>
    <w:rsid w:val="00DD519B"/>
    <w:rsid w:val="00DD60E9"/>
    <w:rsid w:val="00DD67BE"/>
    <w:rsid w:val="00DD6847"/>
    <w:rsid w:val="00DD6C6C"/>
    <w:rsid w:val="00DD6D27"/>
    <w:rsid w:val="00DD7013"/>
    <w:rsid w:val="00DD7040"/>
    <w:rsid w:val="00DD7103"/>
    <w:rsid w:val="00DD7509"/>
    <w:rsid w:val="00DD764B"/>
    <w:rsid w:val="00DD7DA9"/>
    <w:rsid w:val="00DE0161"/>
    <w:rsid w:val="00DE026B"/>
    <w:rsid w:val="00DE0811"/>
    <w:rsid w:val="00DE0FD2"/>
    <w:rsid w:val="00DE179A"/>
    <w:rsid w:val="00DE17F9"/>
    <w:rsid w:val="00DE1977"/>
    <w:rsid w:val="00DE1B44"/>
    <w:rsid w:val="00DE2021"/>
    <w:rsid w:val="00DE26A8"/>
    <w:rsid w:val="00DE2ACC"/>
    <w:rsid w:val="00DE3860"/>
    <w:rsid w:val="00DE4031"/>
    <w:rsid w:val="00DE48C9"/>
    <w:rsid w:val="00DE4C3B"/>
    <w:rsid w:val="00DE5269"/>
    <w:rsid w:val="00DE55F1"/>
    <w:rsid w:val="00DE5E47"/>
    <w:rsid w:val="00DE5EEB"/>
    <w:rsid w:val="00DE6131"/>
    <w:rsid w:val="00DE616B"/>
    <w:rsid w:val="00DF0093"/>
    <w:rsid w:val="00DF02AF"/>
    <w:rsid w:val="00DF05ED"/>
    <w:rsid w:val="00DF0E50"/>
    <w:rsid w:val="00DF10EE"/>
    <w:rsid w:val="00DF1525"/>
    <w:rsid w:val="00DF1B0E"/>
    <w:rsid w:val="00DF1BC7"/>
    <w:rsid w:val="00DF258E"/>
    <w:rsid w:val="00DF29E7"/>
    <w:rsid w:val="00DF2B63"/>
    <w:rsid w:val="00DF2D77"/>
    <w:rsid w:val="00DF2E28"/>
    <w:rsid w:val="00DF2F86"/>
    <w:rsid w:val="00DF30CE"/>
    <w:rsid w:val="00DF32A7"/>
    <w:rsid w:val="00DF32E0"/>
    <w:rsid w:val="00DF32FD"/>
    <w:rsid w:val="00DF3752"/>
    <w:rsid w:val="00DF38B3"/>
    <w:rsid w:val="00DF38D5"/>
    <w:rsid w:val="00DF3A47"/>
    <w:rsid w:val="00DF3C79"/>
    <w:rsid w:val="00DF3D7C"/>
    <w:rsid w:val="00DF4521"/>
    <w:rsid w:val="00DF45E4"/>
    <w:rsid w:val="00DF48FC"/>
    <w:rsid w:val="00DF4932"/>
    <w:rsid w:val="00DF4A4E"/>
    <w:rsid w:val="00DF5077"/>
    <w:rsid w:val="00DF5270"/>
    <w:rsid w:val="00DF5321"/>
    <w:rsid w:val="00DF6072"/>
    <w:rsid w:val="00DF6530"/>
    <w:rsid w:val="00DF6B76"/>
    <w:rsid w:val="00DF6BFD"/>
    <w:rsid w:val="00DF6E54"/>
    <w:rsid w:val="00DF749B"/>
    <w:rsid w:val="00DF7E31"/>
    <w:rsid w:val="00E002F2"/>
    <w:rsid w:val="00E00795"/>
    <w:rsid w:val="00E01B37"/>
    <w:rsid w:val="00E01E90"/>
    <w:rsid w:val="00E022FA"/>
    <w:rsid w:val="00E02D19"/>
    <w:rsid w:val="00E03688"/>
    <w:rsid w:val="00E03A95"/>
    <w:rsid w:val="00E03E50"/>
    <w:rsid w:val="00E03EFA"/>
    <w:rsid w:val="00E046FF"/>
    <w:rsid w:val="00E048FC"/>
    <w:rsid w:val="00E04C53"/>
    <w:rsid w:val="00E05347"/>
    <w:rsid w:val="00E062C9"/>
    <w:rsid w:val="00E06313"/>
    <w:rsid w:val="00E06348"/>
    <w:rsid w:val="00E0648D"/>
    <w:rsid w:val="00E06521"/>
    <w:rsid w:val="00E06E72"/>
    <w:rsid w:val="00E0719B"/>
    <w:rsid w:val="00E07AF6"/>
    <w:rsid w:val="00E07BB2"/>
    <w:rsid w:val="00E07D33"/>
    <w:rsid w:val="00E101DC"/>
    <w:rsid w:val="00E10359"/>
    <w:rsid w:val="00E10D0D"/>
    <w:rsid w:val="00E112FC"/>
    <w:rsid w:val="00E11549"/>
    <w:rsid w:val="00E118C6"/>
    <w:rsid w:val="00E12005"/>
    <w:rsid w:val="00E12099"/>
    <w:rsid w:val="00E122E4"/>
    <w:rsid w:val="00E12E34"/>
    <w:rsid w:val="00E12F1F"/>
    <w:rsid w:val="00E1353C"/>
    <w:rsid w:val="00E137F3"/>
    <w:rsid w:val="00E14964"/>
    <w:rsid w:val="00E14B95"/>
    <w:rsid w:val="00E14E52"/>
    <w:rsid w:val="00E1542E"/>
    <w:rsid w:val="00E159F5"/>
    <w:rsid w:val="00E15ABE"/>
    <w:rsid w:val="00E169F2"/>
    <w:rsid w:val="00E169FE"/>
    <w:rsid w:val="00E16EC8"/>
    <w:rsid w:val="00E17AE5"/>
    <w:rsid w:val="00E20FE2"/>
    <w:rsid w:val="00E210DF"/>
    <w:rsid w:val="00E21C53"/>
    <w:rsid w:val="00E21DEA"/>
    <w:rsid w:val="00E235C8"/>
    <w:rsid w:val="00E2394E"/>
    <w:rsid w:val="00E239E3"/>
    <w:rsid w:val="00E23CA7"/>
    <w:rsid w:val="00E23E99"/>
    <w:rsid w:val="00E243D3"/>
    <w:rsid w:val="00E245B2"/>
    <w:rsid w:val="00E24DCD"/>
    <w:rsid w:val="00E24FBB"/>
    <w:rsid w:val="00E25B9A"/>
    <w:rsid w:val="00E26330"/>
    <w:rsid w:val="00E2656D"/>
    <w:rsid w:val="00E26CF6"/>
    <w:rsid w:val="00E27073"/>
    <w:rsid w:val="00E2709E"/>
    <w:rsid w:val="00E27C33"/>
    <w:rsid w:val="00E30440"/>
    <w:rsid w:val="00E304BE"/>
    <w:rsid w:val="00E30FB7"/>
    <w:rsid w:val="00E31735"/>
    <w:rsid w:val="00E3281C"/>
    <w:rsid w:val="00E32D56"/>
    <w:rsid w:val="00E332A7"/>
    <w:rsid w:val="00E33637"/>
    <w:rsid w:val="00E337CA"/>
    <w:rsid w:val="00E346A6"/>
    <w:rsid w:val="00E34888"/>
    <w:rsid w:val="00E3528A"/>
    <w:rsid w:val="00E35AD7"/>
    <w:rsid w:val="00E3607F"/>
    <w:rsid w:val="00E362F2"/>
    <w:rsid w:val="00E3647F"/>
    <w:rsid w:val="00E36B00"/>
    <w:rsid w:val="00E37718"/>
    <w:rsid w:val="00E37ACB"/>
    <w:rsid w:val="00E40A45"/>
    <w:rsid w:val="00E40FB9"/>
    <w:rsid w:val="00E41C6C"/>
    <w:rsid w:val="00E42584"/>
    <w:rsid w:val="00E42C48"/>
    <w:rsid w:val="00E43480"/>
    <w:rsid w:val="00E438E1"/>
    <w:rsid w:val="00E43C43"/>
    <w:rsid w:val="00E43D21"/>
    <w:rsid w:val="00E43F16"/>
    <w:rsid w:val="00E43FC6"/>
    <w:rsid w:val="00E440E7"/>
    <w:rsid w:val="00E444C7"/>
    <w:rsid w:val="00E448CB"/>
    <w:rsid w:val="00E45211"/>
    <w:rsid w:val="00E45653"/>
    <w:rsid w:val="00E45811"/>
    <w:rsid w:val="00E45946"/>
    <w:rsid w:val="00E459E5"/>
    <w:rsid w:val="00E45C33"/>
    <w:rsid w:val="00E46173"/>
    <w:rsid w:val="00E462B4"/>
    <w:rsid w:val="00E46454"/>
    <w:rsid w:val="00E47E13"/>
    <w:rsid w:val="00E47E52"/>
    <w:rsid w:val="00E5022E"/>
    <w:rsid w:val="00E511E6"/>
    <w:rsid w:val="00E51236"/>
    <w:rsid w:val="00E5135C"/>
    <w:rsid w:val="00E514CE"/>
    <w:rsid w:val="00E5153C"/>
    <w:rsid w:val="00E54531"/>
    <w:rsid w:val="00E54798"/>
    <w:rsid w:val="00E548E4"/>
    <w:rsid w:val="00E55421"/>
    <w:rsid w:val="00E55977"/>
    <w:rsid w:val="00E5651E"/>
    <w:rsid w:val="00E569C9"/>
    <w:rsid w:val="00E57A23"/>
    <w:rsid w:val="00E60677"/>
    <w:rsid w:val="00E607BC"/>
    <w:rsid w:val="00E60EEB"/>
    <w:rsid w:val="00E61642"/>
    <w:rsid w:val="00E61645"/>
    <w:rsid w:val="00E61CDD"/>
    <w:rsid w:val="00E61D40"/>
    <w:rsid w:val="00E626A0"/>
    <w:rsid w:val="00E6274D"/>
    <w:rsid w:val="00E63033"/>
    <w:rsid w:val="00E6376F"/>
    <w:rsid w:val="00E637B9"/>
    <w:rsid w:val="00E638D5"/>
    <w:rsid w:val="00E639BA"/>
    <w:rsid w:val="00E63C5C"/>
    <w:rsid w:val="00E63C76"/>
    <w:rsid w:val="00E63E06"/>
    <w:rsid w:val="00E65CD8"/>
    <w:rsid w:val="00E65F59"/>
    <w:rsid w:val="00E6619B"/>
    <w:rsid w:val="00E666F6"/>
    <w:rsid w:val="00E67857"/>
    <w:rsid w:val="00E70534"/>
    <w:rsid w:val="00E70560"/>
    <w:rsid w:val="00E708FF"/>
    <w:rsid w:val="00E71C98"/>
    <w:rsid w:val="00E72378"/>
    <w:rsid w:val="00E7288B"/>
    <w:rsid w:val="00E72B9E"/>
    <w:rsid w:val="00E72C03"/>
    <w:rsid w:val="00E72DD1"/>
    <w:rsid w:val="00E736FD"/>
    <w:rsid w:val="00E7370B"/>
    <w:rsid w:val="00E73B07"/>
    <w:rsid w:val="00E75669"/>
    <w:rsid w:val="00E7587E"/>
    <w:rsid w:val="00E763C7"/>
    <w:rsid w:val="00E77431"/>
    <w:rsid w:val="00E77AC0"/>
    <w:rsid w:val="00E80046"/>
    <w:rsid w:val="00E801CC"/>
    <w:rsid w:val="00E80AB0"/>
    <w:rsid w:val="00E80B9C"/>
    <w:rsid w:val="00E80C6D"/>
    <w:rsid w:val="00E8215E"/>
    <w:rsid w:val="00E8217F"/>
    <w:rsid w:val="00E821D3"/>
    <w:rsid w:val="00E8226C"/>
    <w:rsid w:val="00E824A5"/>
    <w:rsid w:val="00E828E9"/>
    <w:rsid w:val="00E82D46"/>
    <w:rsid w:val="00E82E6B"/>
    <w:rsid w:val="00E82EEE"/>
    <w:rsid w:val="00E830DF"/>
    <w:rsid w:val="00E8324E"/>
    <w:rsid w:val="00E83982"/>
    <w:rsid w:val="00E84998"/>
    <w:rsid w:val="00E8547A"/>
    <w:rsid w:val="00E85592"/>
    <w:rsid w:val="00E85865"/>
    <w:rsid w:val="00E85DEA"/>
    <w:rsid w:val="00E86337"/>
    <w:rsid w:val="00E8689D"/>
    <w:rsid w:val="00E86E4D"/>
    <w:rsid w:val="00E8734E"/>
    <w:rsid w:val="00E87462"/>
    <w:rsid w:val="00E87A71"/>
    <w:rsid w:val="00E900FA"/>
    <w:rsid w:val="00E90676"/>
    <w:rsid w:val="00E906BD"/>
    <w:rsid w:val="00E90896"/>
    <w:rsid w:val="00E91906"/>
    <w:rsid w:val="00E91A7A"/>
    <w:rsid w:val="00E91E92"/>
    <w:rsid w:val="00E9225C"/>
    <w:rsid w:val="00E926D8"/>
    <w:rsid w:val="00E92B85"/>
    <w:rsid w:val="00E92C5D"/>
    <w:rsid w:val="00E93169"/>
    <w:rsid w:val="00E935FE"/>
    <w:rsid w:val="00E93B74"/>
    <w:rsid w:val="00E93FA6"/>
    <w:rsid w:val="00E93FC7"/>
    <w:rsid w:val="00E9492F"/>
    <w:rsid w:val="00E94AE5"/>
    <w:rsid w:val="00E95578"/>
    <w:rsid w:val="00E95735"/>
    <w:rsid w:val="00E957A3"/>
    <w:rsid w:val="00E95C16"/>
    <w:rsid w:val="00E961B7"/>
    <w:rsid w:val="00E96512"/>
    <w:rsid w:val="00E96C31"/>
    <w:rsid w:val="00E97255"/>
    <w:rsid w:val="00E97332"/>
    <w:rsid w:val="00E978BE"/>
    <w:rsid w:val="00E979A7"/>
    <w:rsid w:val="00E97A34"/>
    <w:rsid w:val="00EA0428"/>
    <w:rsid w:val="00EA0492"/>
    <w:rsid w:val="00EA0E70"/>
    <w:rsid w:val="00EA0EDB"/>
    <w:rsid w:val="00EA147E"/>
    <w:rsid w:val="00EA18B8"/>
    <w:rsid w:val="00EA1D3E"/>
    <w:rsid w:val="00EA2091"/>
    <w:rsid w:val="00EA20E4"/>
    <w:rsid w:val="00EA2579"/>
    <w:rsid w:val="00EA3666"/>
    <w:rsid w:val="00EA368A"/>
    <w:rsid w:val="00EA398A"/>
    <w:rsid w:val="00EA3EA4"/>
    <w:rsid w:val="00EA3FAD"/>
    <w:rsid w:val="00EA485B"/>
    <w:rsid w:val="00EA48BD"/>
    <w:rsid w:val="00EA490E"/>
    <w:rsid w:val="00EA59B4"/>
    <w:rsid w:val="00EA61E2"/>
    <w:rsid w:val="00EA6C34"/>
    <w:rsid w:val="00EA741C"/>
    <w:rsid w:val="00EB00DF"/>
    <w:rsid w:val="00EB09E2"/>
    <w:rsid w:val="00EB12AC"/>
    <w:rsid w:val="00EB2C5A"/>
    <w:rsid w:val="00EB2E2C"/>
    <w:rsid w:val="00EB3020"/>
    <w:rsid w:val="00EB34CD"/>
    <w:rsid w:val="00EB3B2E"/>
    <w:rsid w:val="00EB3DAF"/>
    <w:rsid w:val="00EB40FC"/>
    <w:rsid w:val="00EB4415"/>
    <w:rsid w:val="00EB4900"/>
    <w:rsid w:val="00EB49F6"/>
    <w:rsid w:val="00EB4B21"/>
    <w:rsid w:val="00EB4FFC"/>
    <w:rsid w:val="00EB54DC"/>
    <w:rsid w:val="00EB559B"/>
    <w:rsid w:val="00EB5F2B"/>
    <w:rsid w:val="00EB616C"/>
    <w:rsid w:val="00EB64F7"/>
    <w:rsid w:val="00EB6671"/>
    <w:rsid w:val="00EB6A62"/>
    <w:rsid w:val="00EB6C79"/>
    <w:rsid w:val="00EB7289"/>
    <w:rsid w:val="00EB76B2"/>
    <w:rsid w:val="00EB7C92"/>
    <w:rsid w:val="00EC06CF"/>
    <w:rsid w:val="00EC174C"/>
    <w:rsid w:val="00EC1906"/>
    <w:rsid w:val="00EC2044"/>
    <w:rsid w:val="00EC24E4"/>
    <w:rsid w:val="00EC24EA"/>
    <w:rsid w:val="00EC2B55"/>
    <w:rsid w:val="00EC2DBB"/>
    <w:rsid w:val="00EC2E69"/>
    <w:rsid w:val="00EC3331"/>
    <w:rsid w:val="00EC33E2"/>
    <w:rsid w:val="00EC35BF"/>
    <w:rsid w:val="00EC38E3"/>
    <w:rsid w:val="00EC3938"/>
    <w:rsid w:val="00EC3A30"/>
    <w:rsid w:val="00EC42DF"/>
    <w:rsid w:val="00EC45F1"/>
    <w:rsid w:val="00EC4615"/>
    <w:rsid w:val="00EC46FC"/>
    <w:rsid w:val="00EC4C72"/>
    <w:rsid w:val="00EC4F40"/>
    <w:rsid w:val="00EC51FD"/>
    <w:rsid w:val="00EC5BB2"/>
    <w:rsid w:val="00EC5FED"/>
    <w:rsid w:val="00EC6174"/>
    <w:rsid w:val="00EC6568"/>
    <w:rsid w:val="00EC67B5"/>
    <w:rsid w:val="00EC7333"/>
    <w:rsid w:val="00EC795E"/>
    <w:rsid w:val="00EC7E35"/>
    <w:rsid w:val="00ED0477"/>
    <w:rsid w:val="00ED0936"/>
    <w:rsid w:val="00ED0CC1"/>
    <w:rsid w:val="00ED0F02"/>
    <w:rsid w:val="00ED0F07"/>
    <w:rsid w:val="00ED0FF8"/>
    <w:rsid w:val="00ED11B3"/>
    <w:rsid w:val="00ED161F"/>
    <w:rsid w:val="00ED1702"/>
    <w:rsid w:val="00ED1A2B"/>
    <w:rsid w:val="00ED1EEE"/>
    <w:rsid w:val="00ED2774"/>
    <w:rsid w:val="00ED296F"/>
    <w:rsid w:val="00ED298A"/>
    <w:rsid w:val="00ED34DF"/>
    <w:rsid w:val="00ED45D4"/>
    <w:rsid w:val="00ED4B30"/>
    <w:rsid w:val="00ED5897"/>
    <w:rsid w:val="00ED58D0"/>
    <w:rsid w:val="00ED5D7E"/>
    <w:rsid w:val="00ED5DE3"/>
    <w:rsid w:val="00ED6DAB"/>
    <w:rsid w:val="00ED715E"/>
    <w:rsid w:val="00ED7AA4"/>
    <w:rsid w:val="00EE02A5"/>
    <w:rsid w:val="00EE0368"/>
    <w:rsid w:val="00EE0507"/>
    <w:rsid w:val="00EE0625"/>
    <w:rsid w:val="00EE0690"/>
    <w:rsid w:val="00EE081B"/>
    <w:rsid w:val="00EE091A"/>
    <w:rsid w:val="00EE1CF3"/>
    <w:rsid w:val="00EE227A"/>
    <w:rsid w:val="00EE2698"/>
    <w:rsid w:val="00EE26CF"/>
    <w:rsid w:val="00EE2D5C"/>
    <w:rsid w:val="00EE4CAE"/>
    <w:rsid w:val="00EE4DB3"/>
    <w:rsid w:val="00EE4DEE"/>
    <w:rsid w:val="00EE4FD8"/>
    <w:rsid w:val="00EE5443"/>
    <w:rsid w:val="00EE5459"/>
    <w:rsid w:val="00EE5B6B"/>
    <w:rsid w:val="00EE5F46"/>
    <w:rsid w:val="00EE6257"/>
    <w:rsid w:val="00EE64B6"/>
    <w:rsid w:val="00EE74CE"/>
    <w:rsid w:val="00EE7B26"/>
    <w:rsid w:val="00EE7D6E"/>
    <w:rsid w:val="00EE7E2A"/>
    <w:rsid w:val="00EF000B"/>
    <w:rsid w:val="00EF0B9F"/>
    <w:rsid w:val="00EF1163"/>
    <w:rsid w:val="00EF123E"/>
    <w:rsid w:val="00EF13CD"/>
    <w:rsid w:val="00EF13D0"/>
    <w:rsid w:val="00EF1663"/>
    <w:rsid w:val="00EF1BD7"/>
    <w:rsid w:val="00EF1ED8"/>
    <w:rsid w:val="00EF2413"/>
    <w:rsid w:val="00EF2443"/>
    <w:rsid w:val="00EF28A2"/>
    <w:rsid w:val="00EF2AC7"/>
    <w:rsid w:val="00EF2AE7"/>
    <w:rsid w:val="00EF2C3D"/>
    <w:rsid w:val="00EF2D59"/>
    <w:rsid w:val="00EF2DE9"/>
    <w:rsid w:val="00EF3E3D"/>
    <w:rsid w:val="00EF40EE"/>
    <w:rsid w:val="00EF4BEF"/>
    <w:rsid w:val="00EF4C8A"/>
    <w:rsid w:val="00EF4FD3"/>
    <w:rsid w:val="00EF5493"/>
    <w:rsid w:val="00EF5B05"/>
    <w:rsid w:val="00EF63A8"/>
    <w:rsid w:val="00EF641B"/>
    <w:rsid w:val="00EF6939"/>
    <w:rsid w:val="00EF6D5D"/>
    <w:rsid w:val="00F00284"/>
    <w:rsid w:val="00F002C6"/>
    <w:rsid w:val="00F007A4"/>
    <w:rsid w:val="00F007F6"/>
    <w:rsid w:val="00F00EFC"/>
    <w:rsid w:val="00F0115C"/>
    <w:rsid w:val="00F015EB"/>
    <w:rsid w:val="00F01656"/>
    <w:rsid w:val="00F017F4"/>
    <w:rsid w:val="00F01F24"/>
    <w:rsid w:val="00F0226C"/>
    <w:rsid w:val="00F024CF"/>
    <w:rsid w:val="00F02A3F"/>
    <w:rsid w:val="00F02EC8"/>
    <w:rsid w:val="00F031A9"/>
    <w:rsid w:val="00F03419"/>
    <w:rsid w:val="00F03CF0"/>
    <w:rsid w:val="00F041E5"/>
    <w:rsid w:val="00F04698"/>
    <w:rsid w:val="00F0499C"/>
    <w:rsid w:val="00F04B20"/>
    <w:rsid w:val="00F0504F"/>
    <w:rsid w:val="00F059AE"/>
    <w:rsid w:val="00F05B3F"/>
    <w:rsid w:val="00F05C2B"/>
    <w:rsid w:val="00F060C8"/>
    <w:rsid w:val="00F0620A"/>
    <w:rsid w:val="00F064B1"/>
    <w:rsid w:val="00F06ADD"/>
    <w:rsid w:val="00F07278"/>
    <w:rsid w:val="00F07BDD"/>
    <w:rsid w:val="00F07C6D"/>
    <w:rsid w:val="00F07D78"/>
    <w:rsid w:val="00F1087B"/>
    <w:rsid w:val="00F10C6D"/>
    <w:rsid w:val="00F10D51"/>
    <w:rsid w:val="00F10D53"/>
    <w:rsid w:val="00F113CE"/>
    <w:rsid w:val="00F114A6"/>
    <w:rsid w:val="00F1188A"/>
    <w:rsid w:val="00F11942"/>
    <w:rsid w:val="00F11AB9"/>
    <w:rsid w:val="00F11D6E"/>
    <w:rsid w:val="00F123C9"/>
    <w:rsid w:val="00F124D0"/>
    <w:rsid w:val="00F124E2"/>
    <w:rsid w:val="00F12B8C"/>
    <w:rsid w:val="00F12BEF"/>
    <w:rsid w:val="00F12FDF"/>
    <w:rsid w:val="00F13492"/>
    <w:rsid w:val="00F137D2"/>
    <w:rsid w:val="00F13C24"/>
    <w:rsid w:val="00F13F1B"/>
    <w:rsid w:val="00F14005"/>
    <w:rsid w:val="00F14858"/>
    <w:rsid w:val="00F1498E"/>
    <w:rsid w:val="00F149F1"/>
    <w:rsid w:val="00F14C83"/>
    <w:rsid w:val="00F1524C"/>
    <w:rsid w:val="00F15375"/>
    <w:rsid w:val="00F159FD"/>
    <w:rsid w:val="00F15B45"/>
    <w:rsid w:val="00F16610"/>
    <w:rsid w:val="00F16948"/>
    <w:rsid w:val="00F16D08"/>
    <w:rsid w:val="00F173A0"/>
    <w:rsid w:val="00F17479"/>
    <w:rsid w:val="00F204FD"/>
    <w:rsid w:val="00F20815"/>
    <w:rsid w:val="00F20BB9"/>
    <w:rsid w:val="00F20FDC"/>
    <w:rsid w:val="00F21672"/>
    <w:rsid w:val="00F2187B"/>
    <w:rsid w:val="00F22772"/>
    <w:rsid w:val="00F23305"/>
    <w:rsid w:val="00F23323"/>
    <w:rsid w:val="00F2348E"/>
    <w:rsid w:val="00F2369F"/>
    <w:rsid w:val="00F236DF"/>
    <w:rsid w:val="00F24709"/>
    <w:rsid w:val="00F24A3D"/>
    <w:rsid w:val="00F24CA8"/>
    <w:rsid w:val="00F256CD"/>
    <w:rsid w:val="00F257D6"/>
    <w:rsid w:val="00F260F5"/>
    <w:rsid w:val="00F26F39"/>
    <w:rsid w:val="00F2757E"/>
    <w:rsid w:val="00F27741"/>
    <w:rsid w:val="00F279BC"/>
    <w:rsid w:val="00F30733"/>
    <w:rsid w:val="00F30E3D"/>
    <w:rsid w:val="00F30EDD"/>
    <w:rsid w:val="00F31490"/>
    <w:rsid w:val="00F32021"/>
    <w:rsid w:val="00F32507"/>
    <w:rsid w:val="00F3275F"/>
    <w:rsid w:val="00F32BAB"/>
    <w:rsid w:val="00F33080"/>
    <w:rsid w:val="00F33279"/>
    <w:rsid w:val="00F3345C"/>
    <w:rsid w:val="00F334BB"/>
    <w:rsid w:val="00F33AAD"/>
    <w:rsid w:val="00F33C4E"/>
    <w:rsid w:val="00F33C78"/>
    <w:rsid w:val="00F33FA9"/>
    <w:rsid w:val="00F3537C"/>
    <w:rsid w:val="00F3584D"/>
    <w:rsid w:val="00F35D4C"/>
    <w:rsid w:val="00F35FEE"/>
    <w:rsid w:val="00F3608C"/>
    <w:rsid w:val="00F36272"/>
    <w:rsid w:val="00F375D3"/>
    <w:rsid w:val="00F37A64"/>
    <w:rsid w:val="00F37DAC"/>
    <w:rsid w:val="00F37F29"/>
    <w:rsid w:val="00F400D5"/>
    <w:rsid w:val="00F40746"/>
    <w:rsid w:val="00F40A1A"/>
    <w:rsid w:val="00F40C52"/>
    <w:rsid w:val="00F4132C"/>
    <w:rsid w:val="00F41629"/>
    <w:rsid w:val="00F418EA"/>
    <w:rsid w:val="00F41E14"/>
    <w:rsid w:val="00F42ED2"/>
    <w:rsid w:val="00F43156"/>
    <w:rsid w:val="00F4320A"/>
    <w:rsid w:val="00F436B8"/>
    <w:rsid w:val="00F43EDD"/>
    <w:rsid w:val="00F4485F"/>
    <w:rsid w:val="00F450A2"/>
    <w:rsid w:val="00F4541F"/>
    <w:rsid w:val="00F45C93"/>
    <w:rsid w:val="00F46143"/>
    <w:rsid w:val="00F463D7"/>
    <w:rsid w:val="00F46CD9"/>
    <w:rsid w:val="00F46EFF"/>
    <w:rsid w:val="00F47058"/>
    <w:rsid w:val="00F47356"/>
    <w:rsid w:val="00F47479"/>
    <w:rsid w:val="00F476D4"/>
    <w:rsid w:val="00F47875"/>
    <w:rsid w:val="00F47AE8"/>
    <w:rsid w:val="00F5096C"/>
    <w:rsid w:val="00F50A23"/>
    <w:rsid w:val="00F5121B"/>
    <w:rsid w:val="00F516C5"/>
    <w:rsid w:val="00F51C7E"/>
    <w:rsid w:val="00F51D0F"/>
    <w:rsid w:val="00F526BF"/>
    <w:rsid w:val="00F527BC"/>
    <w:rsid w:val="00F52C29"/>
    <w:rsid w:val="00F53606"/>
    <w:rsid w:val="00F53B90"/>
    <w:rsid w:val="00F53E16"/>
    <w:rsid w:val="00F54176"/>
    <w:rsid w:val="00F548FA"/>
    <w:rsid w:val="00F54FA2"/>
    <w:rsid w:val="00F55227"/>
    <w:rsid w:val="00F5540A"/>
    <w:rsid w:val="00F55ADC"/>
    <w:rsid w:val="00F55ADE"/>
    <w:rsid w:val="00F56226"/>
    <w:rsid w:val="00F56CC6"/>
    <w:rsid w:val="00F572BD"/>
    <w:rsid w:val="00F57340"/>
    <w:rsid w:val="00F578C8"/>
    <w:rsid w:val="00F57B9A"/>
    <w:rsid w:val="00F57FFA"/>
    <w:rsid w:val="00F60697"/>
    <w:rsid w:val="00F60C90"/>
    <w:rsid w:val="00F60ED2"/>
    <w:rsid w:val="00F60FB1"/>
    <w:rsid w:val="00F6104E"/>
    <w:rsid w:val="00F613D7"/>
    <w:rsid w:val="00F6172B"/>
    <w:rsid w:val="00F61915"/>
    <w:rsid w:val="00F61AE8"/>
    <w:rsid w:val="00F6219B"/>
    <w:rsid w:val="00F62605"/>
    <w:rsid w:val="00F62DCA"/>
    <w:rsid w:val="00F63C3A"/>
    <w:rsid w:val="00F63E22"/>
    <w:rsid w:val="00F63E78"/>
    <w:rsid w:val="00F64A99"/>
    <w:rsid w:val="00F653C7"/>
    <w:rsid w:val="00F65FC9"/>
    <w:rsid w:val="00F663AC"/>
    <w:rsid w:val="00F66EF5"/>
    <w:rsid w:val="00F67162"/>
    <w:rsid w:val="00F67585"/>
    <w:rsid w:val="00F67D91"/>
    <w:rsid w:val="00F709D9"/>
    <w:rsid w:val="00F70BDD"/>
    <w:rsid w:val="00F70D73"/>
    <w:rsid w:val="00F71530"/>
    <w:rsid w:val="00F71DFF"/>
    <w:rsid w:val="00F71E6D"/>
    <w:rsid w:val="00F7226C"/>
    <w:rsid w:val="00F722DD"/>
    <w:rsid w:val="00F7262C"/>
    <w:rsid w:val="00F7267C"/>
    <w:rsid w:val="00F72A81"/>
    <w:rsid w:val="00F73027"/>
    <w:rsid w:val="00F73415"/>
    <w:rsid w:val="00F73625"/>
    <w:rsid w:val="00F749CC"/>
    <w:rsid w:val="00F74D81"/>
    <w:rsid w:val="00F752B6"/>
    <w:rsid w:val="00F753C9"/>
    <w:rsid w:val="00F76134"/>
    <w:rsid w:val="00F76C2F"/>
    <w:rsid w:val="00F7759A"/>
    <w:rsid w:val="00F7788D"/>
    <w:rsid w:val="00F80576"/>
    <w:rsid w:val="00F80881"/>
    <w:rsid w:val="00F80B31"/>
    <w:rsid w:val="00F8181C"/>
    <w:rsid w:val="00F81F4A"/>
    <w:rsid w:val="00F828B6"/>
    <w:rsid w:val="00F838E2"/>
    <w:rsid w:val="00F83D65"/>
    <w:rsid w:val="00F84237"/>
    <w:rsid w:val="00F8506A"/>
    <w:rsid w:val="00F851D9"/>
    <w:rsid w:val="00F8548E"/>
    <w:rsid w:val="00F86275"/>
    <w:rsid w:val="00F86BF3"/>
    <w:rsid w:val="00F87272"/>
    <w:rsid w:val="00F873B9"/>
    <w:rsid w:val="00F9011C"/>
    <w:rsid w:val="00F91326"/>
    <w:rsid w:val="00F91BE2"/>
    <w:rsid w:val="00F91C56"/>
    <w:rsid w:val="00F924E0"/>
    <w:rsid w:val="00F94A2B"/>
    <w:rsid w:val="00F94C91"/>
    <w:rsid w:val="00F94CD8"/>
    <w:rsid w:val="00F94E5B"/>
    <w:rsid w:val="00F9520C"/>
    <w:rsid w:val="00F95678"/>
    <w:rsid w:val="00F9581B"/>
    <w:rsid w:val="00F96203"/>
    <w:rsid w:val="00F9661B"/>
    <w:rsid w:val="00F9684F"/>
    <w:rsid w:val="00F96922"/>
    <w:rsid w:val="00F96AB1"/>
    <w:rsid w:val="00F97502"/>
    <w:rsid w:val="00F97627"/>
    <w:rsid w:val="00FA1316"/>
    <w:rsid w:val="00FA1C96"/>
    <w:rsid w:val="00FA1FD0"/>
    <w:rsid w:val="00FA24B1"/>
    <w:rsid w:val="00FA26B8"/>
    <w:rsid w:val="00FA28C2"/>
    <w:rsid w:val="00FA2F57"/>
    <w:rsid w:val="00FA3326"/>
    <w:rsid w:val="00FA36C9"/>
    <w:rsid w:val="00FA3DE2"/>
    <w:rsid w:val="00FA3F24"/>
    <w:rsid w:val="00FA46A4"/>
    <w:rsid w:val="00FA49FD"/>
    <w:rsid w:val="00FA4C0B"/>
    <w:rsid w:val="00FA4CAC"/>
    <w:rsid w:val="00FA4DE9"/>
    <w:rsid w:val="00FA5043"/>
    <w:rsid w:val="00FA538E"/>
    <w:rsid w:val="00FA5B72"/>
    <w:rsid w:val="00FA65E8"/>
    <w:rsid w:val="00FA6929"/>
    <w:rsid w:val="00FA6C56"/>
    <w:rsid w:val="00FA7094"/>
    <w:rsid w:val="00FA7904"/>
    <w:rsid w:val="00FA7952"/>
    <w:rsid w:val="00FA79A5"/>
    <w:rsid w:val="00FA7B6C"/>
    <w:rsid w:val="00FA7E84"/>
    <w:rsid w:val="00FB0088"/>
    <w:rsid w:val="00FB0782"/>
    <w:rsid w:val="00FB0944"/>
    <w:rsid w:val="00FB126B"/>
    <w:rsid w:val="00FB1A3C"/>
    <w:rsid w:val="00FB1D58"/>
    <w:rsid w:val="00FB20BC"/>
    <w:rsid w:val="00FB21D3"/>
    <w:rsid w:val="00FB2772"/>
    <w:rsid w:val="00FB3753"/>
    <w:rsid w:val="00FB37C0"/>
    <w:rsid w:val="00FB3FAF"/>
    <w:rsid w:val="00FB4246"/>
    <w:rsid w:val="00FB43B8"/>
    <w:rsid w:val="00FB4734"/>
    <w:rsid w:val="00FB4DCE"/>
    <w:rsid w:val="00FB4EFE"/>
    <w:rsid w:val="00FB507A"/>
    <w:rsid w:val="00FB572A"/>
    <w:rsid w:val="00FB5CF7"/>
    <w:rsid w:val="00FB5D75"/>
    <w:rsid w:val="00FB7022"/>
    <w:rsid w:val="00FB7747"/>
    <w:rsid w:val="00FB7E71"/>
    <w:rsid w:val="00FB7ECD"/>
    <w:rsid w:val="00FC0148"/>
    <w:rsid w:val="00FC01BF"/>
    <w:rsid w:val="00FC0376"/>
    <w:rsid w:val="00FC08E5"/>
    <w:rsid w:val="00FC10C9"/>
    <w:rsid w:val="00FC11C1"/>
    <w:rsid w:val="00FC1709"/>
    <w:rsid w:val="00FC1AAE"/>
    <w:rsid w:val="00FC1ADB"/>
    <w:rsid w:val="00FC2CBA"/>
    <w:rsid w:val="00FC2DB1"/>
    <w:rsid w:val="00FC36DC"/>
    <w:rsid w:val="00FC3980"/>
    <w:rsid w:val="00FC44D5"/>
    <w:rsid w:val="00FC46B7"/>
    <w:rsid w:val="00FC4BD8"/>
    <w:rsid w:val="00FC54A7"/>
    <w:rsid w:val="00FC572E"/>
    <w:rsid w:val="00FC5761"/>
    <w:rsid w:val="00FC57C9"/>
    <w:rsid w:val="00FC593E"/>
    <w:rsid w:val="00FC6072"/>
    <w:rsid w:val="00FC691F"/>
    <w:rsid w:val="00FC6A5D"/>
    <w:rsid w:val="00FC6ECA"/>
    <w:rsid w:val="00FC788A"/>
    <w:rsid w:val="00FC7A8F"/>
    <w:rsid w:val="00FC7C5E"/>
    <w:rsid w:val="00FD0194"/>
    <w:rsid w:val="00FD050C"/>
    <w:rsid w:val="00FD0C36"/>
    <w:rsid w:val="00FD1163"/>
    <w:rsid w:val="00FD11A1"/>
    <w:rsid w:val="00FD135F"/>
    <w:rsid w:val="00FD136C"/>
    <w:rsid w:val="00FD16AD"/>
    <w:rsid w:val="00FD1749"/>
    <w:rsid w:val="00FD1880"/>
    <w:rsid w:val="00FD2047"/>
    <w:rsid w:val="00FD25A8"/>
    <w:rsid w:val="00FD26D5"/>
    <w:rsid w:val="00FD2A59"/>
    <w:rsid w:val="00FD2AB2"/>
    <w:rsid w:val="00FD2B5E"/>
    <w:rsid w:val="00FD3A2E"/>
    <w:rsid w:val="00FD41A9"/>
    <w:rsid w:val="00FD4662"/>
    <w:rsid w:val="00FD5046"/>
    <w:rsid w:val="00FD5769"/>
    <w:rsid w:val="00FD5A57"/>
    <w:rsid w:val="00FD604B"/>
    <w:rsid w:val="00FD614E"/>
    <w:rsid w:val="00FD67DD"/>
    <w:rsid w:val="00FD6B14"/>
    <w:rsid w:val="00FD6B9C"/>
    <w:rsid w:val="00FD6C67"/>
    <w:rsid w:val="00FD6CD0"/>
    <w:rsid w:val="00FD70FE"/>
    <w:rsid w:val="00FD716D"/>
    <w:rsid w:val="00FE1036"/>
    <w:rsid w:val="00FE1561"/>
    <w:rsid w:val="00FE170B"/>
    <w:rsid w:val="00FE1DDB"/>
    <w:rsid w:val="00FE2B13"/>
    <w:rsid w:val="00FE34C2"/>
    <w:rsid w:val="00FE3FBA"/>
    <w:rsid w:val="00FE4BD8"/>
    <w:rsid w:val="00FE4D88"/>
    <w:rsid w:val="00FE4FF5"/>
    <w:rsid w:val="00FE6B28"/>
    <w:rsid w:val="00FE7088"/>
    <w:rsid w:val="00FE72CB"/>
    <w:rsid w:val="00FE77C2"/>
    <w:rsid w:val="00FF033B"/>
    <w:rsid w:val="00FF05DF"/>
    <w:rsid w:val="00FF08A8"/>
    <w:rsid w:val="00FF0A2A"/>
    <w:rsid w:val="00FF11A1"/>
    <w:rsid w:val="00FF1E54"/>
    <w:rsid w:val="00FF2628"/>
    <w:rsid w:val="00FF26FE"/>
    <w:rsid w:val="00FF2DF4"/>
    <w:rsid w:val="00FF2E0A"/>
    <w:rsid w:val="00FF2F63"/>
    <w:rsid w:val="00FF2FB5"/>
    <w:rsid w:val="00FF30B0"/>
    <w:rsid w:val="00FF376E"/>
    <w:rsid w:val="00FF3ED7"/>
    <w:rsid w:val="00FF3F37"/>
    <w:rsid w:val="00FF4034"/>
    <w:rsid w:val="00FF53A8"/>
    <w:rsid w:val="00FF5A8E"/>
    <w:rsid w:val="00FF6066"/>
    <w:rsid w:val="00FF60CB"/>
    <w:rsid w:val="00FF65D8"/>
    <w:rsid w:val="00FF6677"/>
    <w:rsid w:val="00FF726D"/>
    <w:rsid w:val="00FF7820"/>
    <w:rsid w:val="00FF7B20"/>
    <w:rsid w:val="00FF7B74"/>
    <w:rsid w:val="00FF7D09"/>
    <w:rsid w:val="010B405F"/>
    <w:rsid w:val="011C3821"/>
    <w:rsid w:val="01205F44"/>
    <w:rsid w:val="01211AD4"/>
    <w:rsid w:val="01287748"/>
    <w:rsid w:val="012940BD"/>
    <w:rsid w:val="013463CF"/>
    <w:rsid w:val="013D192A"/>
    <w:rsid w:val="014337F8"/>
    <w:rsid w:val="01472045"/>
    <w:rsid w:val="016879F8"/>
    <w:rsid w:val="017C6D0A"/>
    <w:rsid w:val="01A73629"/>
    <w:rsid w:val="01AE1400"/>
    <w:rsid w:val="01AE15BA"/>
    <w:rsid w:val="01B110AA"/>
    <w:rsid w:val="01B5561C"/>
    <w:rsid w:val="01BE6B63"/>
    <w:rsid w:val="01C0309B"/>
    <w:rsid w:val="01DB2302"/>
    <w:rsid w:val="01DD3C4D"/>
    <w:rsid w:val="01FB09BE"/>
    <w:rsid w:val="021A09FD"/>
    <w:rsid w:val="02317D0E"/>
    <w:rsid w:val="023C2864"/>
    <w:rsid w:val="02466F9E"/>
    <w:rsid w:val="02566A6E"/>
    <w:rsid w:val="025E0944"/>
    <w:rsid w:val="02772B97"/>
    <w:rsid w:val="027E2E67"/>
    <w:rsid w:val="028B41D6"/>
    <w:rsid w:val="029226E2"/>
    <w:rsid w:val="0293200C"/>
    <w:rsid w:val="02A95C06"/>
    <w:rsid w:val="02AD0C2F"/>
    <w:rsid w:val="02B458C1"/>
    <w:rsid w:val="02B81FC4"/>
    <w:rsid w:val="02BC1AB4"/>
    <w:rsid w:val="02E606E0"/>
    <w:rsid w:val="02FE20CD"/>
    <w:rsid w:val="030B3033"/>
    <w:rsid w:val="031A722A"/>
    <w:rsid w:val="031C103E"/>
    <w:rsid w:val="03345BB2"/>
    <w:rsid w:val="0342556F"/>
    <w:rsid w:val="03655CA8"/>
    <w:rsid w:val="036A11F0"/>
    <w:rsid w:val="03727507"/>
    <w:rsid w:val="037E57A5"/>
    <w:rsid w:val="038014E0"/>
    <w:rsid w:val="03830824"/>
    <w:rsid w:val="038A06B3"/>
    <w:rsid w:val="03A264FE"/>
    <w:rsid w:val="03A30FA7"/>
    <w:rsid w:val="03AB62CA"/>
    <w:rsid w:val="03BD3D36"/>
    <w:rsid w:val="03C90287"/>
    <w:rsid w:val="03E523D8"/>
    <w:rsid w:val="03F66E80"/>
    <w:rsid w:val="03FF396C"/>
    <w:rsid w:val="04131BA8"/>
    <w:rsid w:val="041F2DC8"/>
    <w:rsid w:val="042A0F68"/>
    <w:rsid w:val="0438572A"/>
    <w:rsid w:val="04461F7D"/>
    <w:rsid w:val="0448791F"/>
    <w:rsid w:val="045A3333"/>
    <w:rsid w:val="045D64B0"/>
    <w:rsid w:val="045E35EB"/>
    <w:rsid w:val="047D1717"/>
    <w:rsid w:val="04812937"/>
    <w:rsid w:val="04947E5B"/>
    <w:rsid w:val="049727D9"/>
    <w:rsid w:val="049C7DEF"/>
    <w:rsid w:val="04B068B0"/>
    <w:rsid w:val="04B2316F"/>
    <w:rsid w:val="04B74C29"/>
    <w:rsid w:val="04BE6885"/>
    <w:rsid w:val="04CB6429"/>
    <w:rsid w:val="04CD5CB2"/>
    <w:rsid w:val="04CE3B92"/>
    <w:rsid w:val="04D8355C"/>
    <w:rsid w:val="04DD413C"/>
    <w:rsid w:val="050D4849"/>
    <w:rsid w:val="05157BA2"/>
    <w:rsid w:val="052B2F21"/>
    <w:rsid w:val="05391E02"/>
    <w:rsid w:val="0543026B"/>
    <w:rsid w:val="05500BDA"/>
    <w:rsid w:val="05573D16"/>
    <w:rsid w:val="055C757F"/>
    <w:rsid w:val="056669AF"/>
    <w:rsid w:val="056830B6"/>
    <w:rsid w:val="056E1855"/>
    <w:rsid w:val="056F02B9"/>
    <w:rsid w:val="05700A65"/>
    <w:rsid w:val="05706B86"/>
    <w:rsid w:val="0575037A"/>
    <w:rsid w:val="057C68B8"/>
    <w:rsid w:val="05863F97"/>
    <w:rsid w:val="059C0126"/>
    <w:rsid w:val="05AD36AD"/>
    <w:rsid w:val="05BE041F"/>
    <w:rsid w:val="05D71063"/>
    <w:rsid w:val="05DC524B"/>
    <w:rsid w:val="05EF21A1"/>
    <w:rsid w:val="06043170"/>
    <w:rsid w:val="06127C3D"/>
    <w:rsid w:val="06173D21"/>
    <w:rsid w:val="062D2B6A"/>
    <w:rsid w:val="062E7ED5"/>
    <w:rsid w:val="0639341C"/>
    <w:rsid w:val="06581AF4"/>
    <w:rsid w:val="0659586C"/>
    <w:rsid w:val="066D1CD2"/>
    <w:rsid w:val="06702CFE"/>
    <w:rsid w:val="06943EFC"/>
    <w:rsid w:val="06A232C1"/>
    <w:rsid w:val="06A95BD5"/>
    <w:rsid w:val="06B62CBE"/>
    <w:rsid w:val="06C74B87"/>
    <w:rsid w:val="06CD3631"/>
    <w:rsid w:val="06E527EC"/>
    <w:rsid w:val="06EC66E0"/>
    <w:rsid w:val="06FF4BF4"/>
    <w:rsid w:val="07016B64"/>
    <w:rsid w:val="07027CB2"/>
    <w:rsid w:val="0712477A"/>
    <w:rsid w:val="071B02F8"/>
    <w:rsid w:val="0720036D"/>
    <w:rsid w:val="07230354"/>
    <w:rsid w:val="074456C4"/>
    <w:rsid w:val="075A7AEE"/>
    <w:rsid w:val="07666493"/>
    <w:rsid w:val="07791921"/>
    <w:rsid w:val="077F5613"/>
    <w:rsid w:val="07881D66"/>
    <w:rsid w:val="079572A9"/>
    <w:rsid w:val="079E79DA"/>
    <w:rsid w:val="07A01BFB"/>
    <w:rsid w:val="07A97CA1"/>
    <w:rsid w:val="07D96302"/>
    <w:rsid w:val="07EE1FED"/>
    <w:rsid w:val="07FE25A7"/>
    <w:rsid w:val="08053EFD"/>
    <w:rsid w:val="0812322E"/>
    <w:rsid w:val="08161C67"/>
    <w:rsid w:val="081E4FBF"/>
    <w:rsid w:val="08335C68"/>
    <w:rsid w:val="083642A0"/>
    <w:rsid w:val="08397703"/>
    <w:rsid w:val="084828F4"/>
    <w:rsid w:val="084F6F27"/>
    <w:rsid w:val="08744BDF"/>
    <w:rsid w:val="08921229"/>
    <w:rsid w:val="08931509"/>
    <w:rsid w:val="08936C06"/>
    <w:rsid w:val="08950582"/>
    <w:rsid w:val="08A02A8F"/>
    <w:rsid w:val="08AC4379"/>
    <w:rsid w:val="08AC6127"/>
    <w:rsid w:val="08D76C6F"/>
    <w:rsid w:val="08EB6977"/>
    <w:rsid w:val="09240E7A"/>
    <w:rsid w:val="09360A2D"/>
    <w:rsid w:val="093B24BB"/>
    <w:rsid w:val="093E6A20"/>
    <w:rsid w:val="093F343F"/>
    <w:rsid w:val="09435C6F"/>
    <w:rsid w:val="09454123"/>
    <w:rsid w:val="094D572A"/>
    <w:rsid w:val="09523172"/>
    <w:rsid w:val="0956666B"/>
    <w:rsid w:val="095F700A"/>
    <w:rsid w:val="096E1550"/>
    <w:rsid w:val="096E162E"/>
    <w:rsid w:val="09792FD8"/>
    <w:rsid w:val="097A7FD3"/>
    <w:rsid w:val="0985719E"/>
    <w:rsid w:val="09945E1B"/>
    <w:rsid w:val="09A6526C"/>
    <w:rsid w:val="09AB6505"/>
    <w:rsid w:val="09BB5443"/>
    <w:rsid w:val="09BD0D3B"/>
    <w:rsid w:val="09D967C2"/>
    <w:rsid w:val="09E047E1"/>
    <w:rsid w:val="09E35B78"/>
    <w:rsid w:val="0A07200F"/>
    <w:rsid w:val="0A083562"/>
    <w:rsid w:val="0A0861E8"/>
    <w:rsid w:val="0A0C0848"/>
    <w:rsid w:val="0A122902"/>
    <w:rsid w:val="0A197E04"/>
    <w:rsid w:val="0A1B3564"/>
    <w:rsid w:val="0A210A7E"/>
    <w:rsid w:val="0A261F09"/>
    <w:rsid w:val="0A6633FA"/>
    <w:rsid w:val="0A6C0264"/>
    <w:rsid w:val="0A740EC6"/>
    <w:rsid w:val="0A7410AA"/>
    <w:rsid w:val="0AA93D59"/>
    <w:rsid w:val="0AB47515"/>
    <w:rsid w:val="0AB91107"/>
    <w:rsid w:val="0AC91212"/>
    <w:rsid w:val="0AD32091"/>
    <w:rsid w:val="0AD53DBC"/>
    <w:rsid w:val="0AD81F8C"/>
    <w:rsid w:val="0AF02C43"/>
    <w:rsid w:val="0AFC15E8"/>
    <w:rsid w:val="0B0F299D"/>
    <w:rsid w:val="0B126FAD"/>
    <w:rsid w:val="0B185CF6"/>
    <w:rsid w:val="0B1F0E32"/>
    <w:rsid w:val="0B2E0003"/>
    <w:rsid w:val="0B430589"/>
    <w:rsid w:val="0B570BC3"/>
    <w:rsid w:val="0B660A3A"/>
    <w:rsid w:val="0B674587"/>
    <w:rsid w:val="0B6E3B68"/>
    <w:rsid w:val="0B7037F8"/>
    <w:rsid w:val="0B723658"/>
    <w:rsid w:val="0B960D9F"/>
    <w:rsid w:val="0BA06B21"/>
    <w:rsid w:val="0BA755B7"/>
    <w:rsid w:val="0BA83509"/>
    <w:rsid w:val="0BA97B48"/>
    <w:rsid w:val="0BC927C7"/>
    <w:rsid w:val="0BD4105B"/>
    <w:rsid w:val="0BFD204C"/>
    <w:rsid w:val="0C030754"/>
    <w:rsid w:val="0C1A0C5A"/>
    <w:rsid w:val="0C1C7A68"/>
    <w:rsid w:val="0C2C580F"/>
    <w:rsid w:val="0C41618B"/>
    <w:rsid w:val="0C4546BE"/>
    <w:rsid w:val="0C492BFC"/>
    <w:rsid w:val="0C4A18AA"/>
    <w:rsid w:val="0C4A1EDF"/>
    <w:rsid w:val="0C552FCB"/>
    <w:rsid w:val="0CB16402"/>
    <w:rsid w:val="0CB70134"/>
    <w:rsid w:val="0CCA2729"/>
    <w:rsid w:val="0CCA5C5D"/>
    <w:rsid w:val="0CD72ACC"/>
    <w:rsid w:val="0CE34EC9"/>
    <w:rsid w:val="0D136775"/>
    <w:rsid w:val="0D206858"/>
    <w:rsid w:val="0D324A31"/>
    <w:rsid w:val="0D474B16"/>
    <w:rsid w:val="0D6E42F3"/>
    <w:rsid w:val="0D766D04"/>
    <w:rsid w:val="0D7B60A9"/>
    <w:rsid w:val="0D821B4C"/>
    <w:rsid w:val="0D8E04C9"/>
    <w:rsid w:val="0DCF7654"/>
    <w:rsid w:val="0DD57ECE"/>
    <w:rsid w:val="0DDC3B96"/>
    <w:rsid w:val="0DEE2620"/>
    <w:rsid w:val="0DEE45AB"/>
    <w:rsid w:val="0E1A3B33"/>
    <w:rsid w:val="0E31755E"/>
    <w:rsid w:val="0E447275"/>
    <w:rsid w:val="0E5A03D3"/>
    <w:rsid w:val="0E5D2DC4"/>
    <w:rsid w:val="0E6A449F"/>
    <w:rsid w:val="0E720573"/>
    <w:rsid w:val="0E7A3C4B"/>
    <w:rsid w:val="0E80792B"/>
    <w:rsid w:val="0E855450"/>
    <w:rsid w:val="0E8611C8"/>
    <w:rsid w:val="0E862EB6"/>
    <w:rsid w:val="0EA22A67"/>
    <w:rsid w:val="0EB8393E"/>
    <w:rsid w:val="0EB83A78"/>
    <w:rsid w:val="0EB968D9"/>
    <w:rsid w:val="0EC716CD"/>
    <w:rsid w:val="0EC95193"/>
    <w:rsid w:val="0ED14B39"/>
    <w:rsid w:val="0EDC3FDD"/>
    <w:rsid w:val="0EE1147B"/>
    <w:rsid w:val="0EE33066"/>
    <w:rsid w:val="0EE67D92"/>
    <w:rsid w:val="0EEB05D3"/>
    <w:rsid w:val="0EFF1290"/>
    <w:rsid w:val="0F0D22C1"/>
    <w:rsid w:val="0F107DE6"/>
    <w:rsid w:val="0F121CDB"/>
    <w:rsid w:val="0F130CAE"/>
    <w:rsid w:val="0F274759"/>
    <w:rsid w:val="0F4F6D66"/>
    <w:rsid w:val="0F5E58F2"/>
    <w:rsid w:val="0F66458A"/>
    <w:rsid w:val="0F757FCC"/>
    <w:rsid w:val="0F7D3E7D"/>
    <w:rsid w:val="0F7E40B4"/>
    <w:rsid w:val="0F8120BC"/>
    <w:rsid w:val="0F841BAC"/>
    <w:rsid w:val="0F8F17B4"/>
    <w:rsid w:val="0F9F57E4"/>
    <w:rsid w:val="0FA9345E"/>
    <w:rsid w:val="0FB6274F"/>
    <w:rsid w:val="0FBF0E36"/>
    <w:rsid w:val="0FC24482"/>
    <w:rsid w:val="0FC81379"/>
    <w:rsid w:val="0FDA1211"/>
    <w:rsid w:val="0FDA6BE8"/>
    <w:rsid w:val="0FED1A3D"/>
    <w:rsid w:val="0FEE6E65"/>
    <w:rsid w:val="10060813"/>
    <w:rsid w:val="102869DB"/>
    <w:rsid w:val="1049179A"/>
    <w:rsid w:val="105D2736"/>
    <w:rsid w:val="108B156E"/>
    <w:rsid w:val="109A6C1C"/>
    <w:rsid w:val="10A834AA"/>
    <w:rsid w:val="10AB4F16"/>
    <w:rsid w:val="10AF4EA5"/>
    <w:rsid w:val="10BC5375"/>
    <w:rsid w:val="10D13D2F"/>
    <w:rsid w:val="10E16B8A"/>
    <w:rsid w:val="11005262"/>
    <w:rsid w:val="110416CA"/>
    <w:rsid w:val="11074842"/>
    <w:rsid w:val="110B22AB"/>
    <w:rsid w:val="11180B9C"/>
    <w:rsid w:val="111A451D"/>
    <w:rsid w:val="113F5B67"/>
    <w:rsid w:val="115F5993"/>
    <w:rsid w:val="116C3B7D"/>
    <w:rsid w:val="11800151"/>
    <w:rsid w:val="11936857"/>
    <w:rsid w:val="11A30AFE"/>
    <w:rsid w:val="11AF2F60"/>
    <w:rsid w:val="11B031DE"/>
    <w:rsid w:val="11C343A8"/>
    <w:rsid w:val="11D45A4B"/>
    <w:rsid w:val="11DF756D"/>
    <w:rsid w:val="11F02D32"/>
    <w:rsid w:val="12071ECB"/>
    <w:rsid w:val="121835FB"/>
    <w:rsid w:val="122431D2"/>
    <w:rsid w:val="123075C5"/>
    <w:rsid w:val="123D3A5F"/>
    <w:rsid w:val="12411FD6"/>
    <w:rsid w:val="125268DD"/>
    <w:rsid w:val="125D2F58"/>
    <w:rsid w:val="12641821"/>
    <w:rsid w:val="12807CE9"/>
    <w:rsid w:val="1281338F"/>
    <w:rsid w:val="1283439D"/>
    <w:rsid w:val="12921726"/>
    <w:rsid w:val="1295796F"/>
    <w:rsid w:val="12C329EB"/>
    <w:rsid w:val="12C64289"/>
    <w:rsid w:val="12CC5D44"/>
    <w:rsid w:val="12D44F7A"/>
    <w:rsid w:val="12D80157"/>
    <w:rsid w:val="12E70925"/>
    <w:rsid w:val="12E7205B"/>
    <w:rsid w:val="12FE7EC7"/>
    <w:rsid w:val="130D1EB8"/>
    <w:rsid w:val="13174AE5"/>
    <w:rsid w:val="131C58E3"/>
    <w:rsid w:val="13253E5B"/>
    <w:rsid w:val="132D1FC1"/>
    <w:rsid w:val="13324823"/>
    <w:rsid w:val="133B7594"/>
    <w:rsid w:val="135D699C"/>
    <w:rsid w:val="135E1962"/>
    <w:rsid w:val="13600777"/>
    <w:rsid w:val="13602F23"/>
    <w:rsid w:val="136235BC"/>
    <w:rsid w:val="1366079B"/>
    <w:rsid w:val="136E1102"/>
    <w:rsid w:val="13793C42"/>
    <w:rsid w:val="139879D4"/>
    <w:rsid w:val="139B5716"/>
    <w:rsid w:val="13BF1753"/>
    <w:rsid w:val="13D149E5"/>
    <w:rsid w:val="13DB3D64"/>
    <w:rsid w:val="13F217DA"/>
    <w:rsid w:val="140417DF"/>
    <w:rsid w:val="140B18BD"/>
    <w:rsid w:val="141D64E8"/>
    <w:rsid w:val="14271CC8"/>
    <w:rsid w:val="14367428"/>
    <w:rsid w:val="14537014"/>
    <w:rsid w:val="14580FA3"/>
    <w:rsid w:val="145A3D24"/>
    <w:rsid w:val="145D6501"/>
    <w:rsid w:val="146374AE"/>
    <w:rsid w:val="146C0EE7"/>
    <w:rsid w:val="146D2C0E"/>
    <w:rsid w:val="146F25A4"/>
    <w:rsid w:val="14861F22"/>
    <w:rsid w:val="14B52807"/>
    <w:rsid w:val="14BE49C1"/>
    <w:rsid w:val="14C12F5A"/>
    <w:rsid w:val="14C33272"/>
    <w:rsid w:val="14C5069E"/>
    <w:rsid w:val="14D927BA"/>
    <w:rsid w:val="14EE2AEB"/>
    <w:rsid w:val="14F96B98"/>
    <w:rsid w:val="14FF26F1"/>
    <w:rsid w:val="15006304"/>
    <w:rsid w:val="1522229D"/>
    <w:rsid w:val="15383CD4"/>
    <w:rsid w:val="153A1464"/>
    <w:rsid w:val="154047C7"/>
    <w:rsid w:val="15461B23"/>
    <w:rsid w:val="1553421C"/>
    <w:rsid w:val="1556483A"/>
    <w:rsid w:val="156F3AF5"/>
    <w:rsid w:val="157776D9"/>
    <w:rsid w:val="15791A87"/>
    <w:rsid w:val="157A2AC8"/>
    <w:rsid w:val="157E5BC8"/>
    <w:rsid w:val="157E70AA"/>
    <w:rsid w:val="15842905"/>
    <w:rsid w:val="158A41EF"/>
    <w:rsid w:val="15925920"/>
    <w:rsid w:val="15A90DEE"/>
    <w:rsid w:val="15A9411A"/>
    <w:rsid w:val="15B025F7"/>
    <w:rsid w:val="15B55523"/>
    <w:rsid w:val="15B8610B"/>
    <w:rsid w:val="15C72DCF"/>
    <w:rsid w:val="15CB0145"/>
    <w:rsid w:val="15CC0759"/>
    <w:rsid w:val="15D41172"/>
    <w:rsid w:val="15D62B87"/>
    <w:rsid w:val="15E424C2"/>
    <w:rsid w:val="15E86E3C"/>
    <w:rsid w:val="15EC04AB"/>
    <w:rsid w:val="15FA6724"/>
    <w:rsid w:val="16085872"/>
    <w:rsid w:val="160D2A3A"/>
    <w:rsid w:val="16233984"/>
    <w:rsid w:val="162E461F"/>
    <w:rsid w:val="16315EBE"/>
    <w:rsid w:val="163C256E"/>
    <w:rsid w:val="16443E43"/>
    <w:rsid w:val="16512D46"/>
    <w:rsid w:val="166167A3"/>
    <w:rsid w:val="16730284"/>
    <w:rsid w:val="1695647F"/>
    <w:rsid w:val="169A58EB"/>
    <w:rsid w:val="16AE3C15"/>
    <w:rsid w:val="16B07922"/>
    <w:rsid w:val="16B369B5"/>
    <w:rsid w:val="16C32BE5"/>
    <w:rsid w:val="16DA6555"/>
    <w:rsid w:val="16DD6CA8"/>
    <w:rsid w:val="16DE11F4"/>
    <w:rsid w:val="16E65C9F"/>
    <w:rsid w:val="16EC2165"/>
    <w:rsid w:val="16F507E3"/>
    <w:rsid w:val="16F71457"/>
    <w:rsid w:val="1704426A"/>
    <w:rsid w:val="17072210"/>
    <w:rsid w:val="17163A31"/>
    <w:rsid w:val="171D04DA"/>
    <w:rsid w:val="171D7411"/>
    <w:rsid w:val="171E28E6"/>
    <w:rsid w:val="17314204"/>
    <w:rsid w:val="17325A4F"/>
    <w:rsid w:val="1735378C"/>
    <w:rsid w:val="173D7D89"/>
    <w:rsid w:val="17485042"/>
    <w:rsid w:val="174B3562"/>
    <w:rsid w:val="17531DB8"/>
    <w:rsid w:val="175C51BC"/>
    <w:rsid w:val="176345CB"/>
    <w:rsid w:val="1763654B"/>
    <w:rsid w:val="178A55AD"/>
    <w:rsid w:val="179130B8"/>
    <w:rsid w:val="179738C6"/>
    <w:rsid w:val="17A04A16"/>
    <w:rsid w:val="17AA4179"/>
    <w:rsid w:val="17AD069C"/>
    <w:rsid w:val="17AF3B05"/>
    <w:rsid w:val="17B02DF4"/>
    <w:rsid w:val="17B97F3E"/>
    <w:rsid w:val="17C76AD9"/>
    <w:rsid w:val="17CA481C"/>
    <w:rsid w:val="1807337A"/>
    <w:rsid w:val="18147845"/>
    <w:rsid w:val="181B6E25"/>
    <w:rsid w:val="182C3120"/>
    <w:rsid w:val="183A4D3F"/>
    <w:rsid w:val="183D715F"/>
    <w:rsid w:val="1840063A"/>
    <w:rsid w:val="185145F5"/>
    <w:rsid w:val="18786643"/>
    <w:rsid w:val="187F409E"/>
    <w:rsid w:val="188F6EFF"/>
    <w:rsid w:val="1890492E"/>
    <w:rsid w:val="18985A8E"/>
    <w:rsid w:val="189A0770"/>
    <w:rsid w:val="189C3172"/>
    <w:rsid w:val="18A81416"/>
    <w:rsid w:val="18B018F4"/>
    <w:rsid w:val="18B232E6"/>
    <w:rsid w:val="18B526BD"/>
    <w:rsid w:val="18BC4164"/>
    <w:rsid w:val="18BC51D9"/>
    <w:rsid w:val="18C64FE3"/>
    <w:rsid w:val="18C70162"/>
    <w:rsid w:val="18DF1873"/>
    <w:rsid w:val="18EA25E1"/>
    <w:rsid w:val="18EE4B87"/>
    <w:rsid w:val="18FC6C57"/>
    <w:rsid w:val="18FD658E"/>
    <w:rsid w:val="19015CA3"/>
    <w:rsid w:val="190B0C48"/>
    <w:rsid w:val="19147221"/>
    <w:rsid w:val="193208CA"/>
    <w:rsid w:val="19347646"/>
    <w:rsid w:val="194C455B"/>
    <w:rsid w:val="196933D6"/>
    <w:rsid w:val="196B3D31"/>
    <w:rsid w:val="19875E05"/>
    <w:rsid w:val="199C0F29"/>
    <w:rsid w:val="19AC551A"/>
    <w:rsid w:val="19AE17F0"/>
    <w:rsid w:val="19B41E49"/>
    <w:rsid w:val="19B94B48"/>
    <w:rsid w:val="19CE23A1"/>
    <w:rsid w:val="19DA2BBF"/>
    <w:rsid w:val="19FA25FA"/>
    <w:rsid w:val="1A18186E"/>
    <w:rsid w:val="1A2655FC"/>
    <w:rsid w:val="1A3575BC"/>
    <w:rsid w:val="1A3950CD"/>
    <w:rsid w:val="1A3C32CC"/>
    <w:rsid w:val="1A451F10"/>
    <w:rsid w:val="1A506FF1"/>
    <w:rsid w:val="1A555C18"/>
    <w:rsid w:val="1A5F3D37"/>
    <w:rsid w:val="1A6C345D"/>
    <w:rsid w:val="1A81527A"/>
    <w:rsid w:val="1A824F3A"/>
    <w:rsid w:val="1A8E1B30"/>
    <w:rsid w:val="1A91517D"/>
    <w:rsid w:val="1A937147"/>
    <w:rsid w:val="1ABA0B77"/>
    <w:rsid w:val="1AC7608E"/>
    <w:rsid w:val="1AD339E7"/>
    <w:rsid w:val="1AD512CA"/>
    <w:rsid w:val="1AE654C9"/>
    <w:rsid w:val="1AEA0CA8"/>
    <w:rsid w:val="1AF43AB0"/>
    <w:rsid w:val="1AF5395E"/>
    <w:rsid w:val="1AF56600"/>
    <w:rsid w:val="1AFC2F3E"/>
    <w:rsid w:val="1B0543FE"/>
    <w:rsid w:val="1B083691"/>
    <w:rsid w:val="1B3C5B76"/>
    <w:rsid w:val="1B420338"/>
    <w:rsid w:val="1B4B5C73"/>
    <w:rsid w:val="1B4D3805"/>
    <w:rsid w:val="1B654B38"/>
    <w:rsid w:val="1B697EA8"/>
    <w:rsid w:val="1B752FCD"/>
    <w:rsid w:val="1B7D7621"/>
    <w:rsid w:val="1B8413BE"/>
    <w:rsid w:val="1B863328"/>
    <w:rsid w:val="1B9B2C10"/>
    <w:rsid w:val="1B9D0900"/>
    <w:rsid w:val="1BAF5113"/>
    <w:rsid w:val="1BC51582"/>
    <w:rsid w:val="1BD2144F"/>
    <w:rsid w:val="1C34339D"/>
    <w:rsid w:val="1C5D7A0C"/>
    <w:rsid w:val="1C60574F"/>
    <w:rsid w:val="1C7025C3"/>
    <w:rsid w:val="1C901B90"/>
    <w:rsid w:val="1C977768"/>
    <w:rsid w:val="1C983EBD"/>
    <w:rsid w:val="1C99656B"/>
    <w:rsid w:val="1CB208D7"/>
    <w:rsid w:val="1CB3587E"/>
    <w:rsid w:val="1CBA110E"/>
    <w:rsid w:val="1CE639D2"/>
    <w:rsid w:val="1CF265A0"/>
    <w:rsid w:val="1D115E29"/>
    <w:rsid w:val="1D140AB8"/>
    <w:rsid w:val="1D3C30D1"/>
    <w:rsid w:val="1D434E54"/>
    <w:rsid w:val="1D44297A"/>
    <w:rsid w:val="1D521D2C"/>
    <w:rsid w:val="1D566226"/>
    <w:rsid w:val="1D6F1920"/>
    <w:rsid w:val="1D81538E"/>
    <w:rsid w:val="1D81772B"/>
    <w:rsid w:val="1D990F18"/>
    <w:rsid w:val="1D9D4FAA"/>
    <w:rsid w:val="1D9E02DC"/>
    <w:rsid w:val="1D9F2498"/>
    <w:rsid w:val="1DA219E6"/>
    <w:rsid w:val="1DB42231"/>
    <w:rsid w:val="1DB93368"/>
    <w:rsid w:val="1DC436C7"/>
    <w:rsid w:val="1DD60A87"/>
    <w:rsid w:val="1DD65CD6"/>
    <w:rsid w:val="1DD957B9"/>
    <w:rsid w:val="1DDC31B9"/>
    <w:rsid w:val="1DE347EA"/>
    <w:rsid w:val="1DE63A32"/>
    <w:rsid w:val="1DE859FC"/>
    <w:rsid w:val="1E032835"/>
    <w:rsid w:val="1E182BDB"/>
    <w:rsid w:val="1E294391"/>
    <w:rsid w:val="1E2C1132"/>
    <w:rsid w:val="1E2C527D"/>
    <w:rsid w:val="1E6E78D9"/>
    <w:rsid w:val="1E734915"/>
    <w:rsid w:val="1E800CEE"/>
    <w:rsid w:val="1E826471"/>
    <w:rsid w:val="1E854FF8"/>
    <w:rsid w:val="1E876FC3"/>
    <w:rsid w:val="1EA76DED"/>
    <w:rsid w:val="1EA840ED"/>
    <w:rsid w:val="1EA84CB4"/>
    <w:rsid w:val="1EB1403F"/>
    <w:rsid w:val="1EB40ACE"/>
    <w:rsid w:val="1EC91F8E"/>
    <w:rsid w:val="1ED65854"/>
    <w:rsid w:val="1EF93D41"/>
    <w:rsid w:val="1EF957EE"/>
    <w:rsid w:val="1EFC2AB8"/>
    <w:rsid w:val="1F062EBE"/>
    <w:rsid w:val="1F0B3750"/>
    <w:rsid w:val="1F1D7927"/>
    <w:rsid w:val="1F2962CC"/>
    <w:rsid w:val="1F330EF8"/>
    <w:rsid w:val="1F3454E9"/>
    <w:rsid w:val="1F3C3405"/>
    <w:rsid w:val="1F8A4FBC"/>
    <w:rsid w:val="1F9A4179"/>
    <w:rsid w:val="1FAA740D"/>
    <w:rsid w:val="1FAD2A59"/>
    <w:rsid w:val="1FB1746F"/>
    <w:rsid w:val="1FB23EBD"/>
    <w:rsid w:val="1FC972E1"/>
    <w:rsid w:val="1FE60671"/>
    <w:rsid w:val="1FE86622"/>
    <w:rsid w:val="1FF30CDD"/>
    <w:rsid w:val="1FFC11CE"/>
    <w:rsid w:val="20093DC9"/>
    <w:rsid w:val="20196185"/>
    <w:rsid w:val="20320B24"/>
    <w:rsid w:val="20323015"/>
    <w:rsid w:val="20395206"/>
    <w:rsid w:val="206F7D0E"/>
    <w:rsid w:val="20716B03"/>
    <w:rsid w:val="2079162E"/>
    <w:rsid w:val="20796945"/>
    <w:rsid w:val="207A5BE5"/>
    <w:rsid w:val="207D68CF"/>
    <w:rsid w:val="20847FC3"/>
    <w:rsid w:val="208748B8"/>
    <w:rsid w:val="20880987"/>
    <w:rsid w:val="20895274"/>
    <w:rsid w:val="20A1609D"/>
    <w:rsid w:val="20AE6A88"/>
    <w:rsid w:val="20AF1C0B"/>
    <w:rsid w:val="20B533DE"/>
    <w:rsid w:val="20C42EDB"/>
    <w:rsid w:val="20C9519F"/>
    <w:rsid w:val="20E953F2"/>
    <w:rsid w:val="20F339D5"/>
    <w:rsid w:val="20F841A8"/>
    <w:rsid w:val="21093CBF"/>
    <w:rsid w:val="210E2568"/>
    <w:rsid w:val="2112289A"/>
    <w:rsid w:val="211663DC"/>
    <w:rsid w:val="214554F1"/>
    <w:rsid w:val="215D78B5"/>
    <w:rsid w:val="21724245"/>
    <w:rsid w:val="21860956"/>
    <w:rsid w:val="21AB746C"/>
    <w:rsid w:val="21AE4866"/>
    <w:rsid w:val="21BA145D"/>
    <w:rsid w:val="21BC7EFF"/>
    <w:rsid w:val="21C30312"/>
    <w:rsid w:val="21CB18BC"/>
    <w:rsid w:val="21D06A59"/>
    <w:rsid w:val="21DF3931"/>
    <w:rsid w:val="21E737C5"/>
    <w:rsid w:val="21EA1D42"/>
    <w:rsid w:val="21F15CAB"/>
    <w:rsid w:val="21F57567"/>
    <w:rsid w:val="21F815D9"/>
    <w:rsid w:val="22043333"/>
    <w:rsid w:val="2208666C"/>
    <w:rsid w:val="22091AED"/>
    <w:rsid w:val="221B6999"/>
    <w:rsid w:val="2231197C"/>
    <w:rsid w:val="223E18BA"/>
    <w:rsid w:val="22474405"/>
    <w:rsid w:val="224F5274"/>
    <w:rsid w:val="2254540E"/>
    <w:rsid w:val="225A6F68"/>
    <w:rsid w:val="22625D7D"/>
    <w:rsid w:val="2266779C"/>
    <w:rsid w:val="229D5007"/>
    <w:rsid w:val="22CA3380"/>
    <w:rsid w:val="22CF2C5F"/>
    <w:rsid w:val="22D31038"/>
    <w:rsid w:val="22F230DB"/>
    <w:rsid w:val="22F93A38"/>
    <w:rsid w:val="22FA6EF2"/>
    <w:rsid w:val="23073B84"/>
    <w:rsid w:val="23077B1D"/>
    <w:rsid w:val="23163BA0"/>
    <w:rsid w:val="231E65F2"/>
    <w:rsid w:val="232E69DD"/>
    <w:rsid w:val="23354A49"/>
    <w:rsid w:val="233D5EA2"/>
    <w:rsid w:val="233F2FD0"/>
    <w:rsid w:val="23506DA2"/>
    <w:rsid w:val="23517B9F"/>
    <w:rsid w:val="235F22BC"/>
    <w:rsid w:val="23635D2D"/>
    <w:rsid w:val="238272F9"/>
    <w:rsid w:val="238E059D"/>
    <w:rsid w:val="239301B8"/>
    <w:rsid w:val="23AB32AB"/>
    <w:rsid w:val="23B109AB"/>
    <w:rsid w:val="23B85301"/>
    <w:rsid w:val="23C358BC"/>
    <w:rsid w:val="23D700A4"/>
    <w:rsid w:val="23D74548"/>
    <w:rsid w:val="23DB1CCF"/>
    <w:rsid w:val="23E23D8E"/>
    <w:rsid w:val="23E52AFE"/>
    <w:rsid w:val="23FE7D27"/>
    <w:rsid w:val="242B44D2"/>
    <w:rsid w:val="242F044A"/>
    <w:rsid w:val="24521E21"/>
    <w:rsid w:val="2452597D"/>
    <w:rsid w:val="24651B54"/>
    <w:rsid w:val="246C73F8"/>
    <w:rsid w:val="247022A7"/>
    <w:rsid w:val="24873565"/>
    <w:rsid w:val="248E4C19"/>
    <w:rsid w:val="249B1BB9"/>
    <w:rsid w:val="24B16B47"/>
    <w:rsid w:val="24B3327E"/>
    <w:rsid w:val="24C30142"/>
    <w:rsid w:val="24CA3B50"/>
    <w:rsid w:val="24DE36B4"/>
    <w:rsid w:val="24E86FF4"/>
    <w:rsid w:val="24EC414F"/>
    <w:rsid w:val="24F949E9"/>
    <w:rsid w:val="24FF3D57"/>
    <w:rsid w:val="251610A0"/>
    <w:rsid w:val="25162E4E"/>
    <w:rsid w:val="252C60FC"/>
    <w:rsid w:val="253E5DD7"/>
    <w:rsid w:val="253E6B85"/>
    <w:rsid w:val="25472CE1"/>
    <w:rsid w:val="255816B9"/>
    <w:rsid w:val="255B6E61"/>
    <w:rsid w:val="2567355B"/>
    <w:rsid w:val="25697422"/>
    <w:rsid w:val="256A5229"/>
    <w:rsid w:val="256F3475"/>
    <w:rsid w:val="2572277A"/>
    <w:rsid w:val="257B04AA"/>
    <w:rsid w:val="257D2D5F"/>
    <w:rsid w:val="2580476C"/>
    <w:rsid w:val="25844589"/>
    <w:rsid w:val="25853B30"/>
    <w:rsid w:val="25A8251E"/>
    <w:rsid w:val="25AE322E"/>
    <w:rsid w:val="25C70488"/>
    <w:rsid w:val="25C805E7"/>
    <w:rsid w:val="25D75E81"/>
    <w:rsid w:val="25D80104"/>
    <w:rsid w:val="25E140B7"/>
    <w:rsid w:val="25E36D0A"/>
    <w:rsid w:val="25F25669"/>
    <w:rsid w:val="25FE689B"/>
    <w:rsid w:val="26301124"/>
    <w:rsid w:val="26323CB8"/>
    <w:rsid w:val="263A1C19"/>
    <w:rsid w:val="263C68E5"/>
    <w:rsid w:val="263E265D"/>
    <w:rsid w:val="264B4B51"/>
    <w:rsid w:val="26502390"/>
    <w:rsid w:val="265D13E1"/>
    <w:rsid w:val="265F00CA"/>
    <w:rsid w:val="2662548D"/>
    <w:rsid w:val="2663305C"/>
    <w:rsid w:val="266F74A1"/>
    <w:rsid w:val="2674607E"/>
    <w:rsid w:val="269B185D"/>
    <w:rsid w:val="269B2CFD"/>
    <w:rsid w:val="269C3827"/>
    <w:rsid w:val="26A239DF"/>
    <w:rsid w:val="26A87878"/>
    <w:rsid w:val="26AE02C0"/>
    <w:rsid w:val="26AF1E12"/>
    <w:rsid w:val="26C30F80"/>
    <w:rsid w:val="26C616F5"/>
    <w:rsid w:val="26C868CB"/>
    <w:rsid w:val="26CA0394"/>
    <w:rsid w:val="26D73578"/>
    <w:rsid w:val="26DB7370"/>
    <w:rsid w:val="26DC4AAD"/>
    <w:rsid w:val="271943E3"/>
    <w:rsid w:val="271A1D00"/>
    <w:rsid w:val="27220A86"/>
    <w:rsid w:val="272452DB"/>
    <w:rsid w:val="272B79BF"/>
    <w:rsid w:val="27343A60"/>
    <w:rsid w:val="27483067"/>
    <w:rsid w:val="275830FA"/>
    <w:rsid w:val="2758490B"/>
    <w:rsid w:val="275D2FB6"/>
    <w:rsid w:val="276F4A98"/>
    <w:rsid w:val="277852DF"/>
    <w:rsid w:val="27870033"/>
    <w:rsid w:val="27871F1F"/>
    <w:rsid w:val="27A72484"/>
    <w:rsid w:val="27B30B0F"/>
    <w:rsid w:val="27BB7CDD"/>
    <w:rsid w:val="27CA3AAD"/>
    <w:rsid w:val="27EB6814"/>
    <w:rsid w:val="27EC7E96"/>
    <w:rsid w:val="27EE1E60"/>
    <w:rsid w:val="27FB77E0"/>
    <w:rsid w:val="28053F6B"/>
    <w:rsid w:val="28125B4F"/>
    <w:rsid w:val="28196BA2"/>
    <w:rsid w:val="2831714D"/>
    <w:rsid w:val="2837500E"/>
    <w:rsid w:val="28377363"/>
    <w:rsid w:val="283F090E"/>
    <w:rsid w:val="2841259C"/>
    <w:rsid w:val="28491939"/>
    <w:rsid w:val="28495577"/>
    <w:rsid w:val="284B5D3B"/>
    <w:rsid w:val="285A422F"/>
    <w:rsid w:val="286502FC"/>
    <w:rsid w:val="28700291"/>
    <w:rsid w:val="28700AC7"/>
    <w:rsid w:val="287265EE"/>
    <w:rsid w:val="28734236"/>
    <w:rsid w:val="2874400B"/>
    <w:rsid w:val="287D6D31"/>
    <w:rsid w:val="28832658"/>
    <w:rsid w:val="288458E7"/>
    <w:rsid w:val="289547FA"/>
    <w:rsid w:val="28A8711C"/>
    <w:rsid w:val="28BC3D0D"/>
    <w:rsid w:val="28C3509B"/>
    <w:rsid w:val="28C36B3B"/>
    <w:rsid w:val="28DB6155"/>
    <w:rsid w:val="28DC615D"/>
    <w:rsid w:val="28F233AF"/>
    <w:rsid w:val="29015BC3"/>
    <w:rsid w:val="290221E5"/>
    <w:rsid w:val="290B0520"/>
    <w:rsid w:val="29114058"/>
    <w:rsid w:val="29121A71"/>
    <w:rsid w:val="29245CA8"/>
    <w:rsid w:val="29607934"/>
    <w:rsid w:val="299060E2"/>
    <w:rsid w:val="29963B3D"/>
    <w:rsid w:val="299F184B"/>
    <w:rsid w:val="29BF7935"/>
    <w:rsid w:val="29C10541"/>
    <w:rsid w:val="29CE6F34"/>
    <w:rsid w:val="29DF77F4"/>
    <w:rsid w:val="29E722D1"/>
    <w:rsid w:val="29E7300B"/>
    <w:rsid w:val="29FB0FC2"/>
    <w:rsid w:val="29FB4465"/>
    <w:rsid w:val="2A0D63FD"/>
    <w:rsid w:val="2A200A49"/>
    <w:rsid w:val="2A282378"/>
    <w:rsid w:val="2A2F71C5"/>
    <w:rsid w:val="2A497A11"/>
    <w:rsid w:val="2A5D213F"/>
    <w:rsid w:val="2A5D3C78"/>
    <w:rsid w:val="2A5F2BA2"/>
    <w:rsid w:val="2A6578AF"/>
    <w:rsid w:val="2A69066B"/>
    <w:rsid w:val="2A83359C"/>
    <w:rsid w:val="2A874287"/>
    <w:rsid w:val="2A8A058C"/>
    <w:rsid w:val="2A8E1129"/>
    <w:rsid w:val="2A8F1D7A"/>
    <w:rsid w:val="2AA016B4"/>
    <w:rsid w:val="2ABB766D"/>
    <w:rsid w:val="2AC42941"/>
    <w:rsid w:val="2AD1519C"/>
    <w:rsid w:val="2AE207F0"/>
    <w:rsid w:val="2B071F6C"/>
    <w:rsid w:val="2B1E17B6"/>
    <w:rsid w:val="2B231E21"/>
    <w:rsid w:val="2B37048F"/>
    <w:rsid w:val="2B4104F9"/>
    <w:rsid w:val="2B42542B"/>
    <w:rsid w:val="2B4A0BC0"/>
    <w:rsid w:val="2B6131F3"/>
    <w:rsid w:val="2B6F5066"/>
    <w:rsid w:val="2B706FDF"/>
    <w:rsid w:val="2B717030"/>
    <w:rsid w:val="2B8C179C"/>
    <w:rsid w:val="2B960845"/>
    <w:rsid w:val="2BB60EE7"/>
    <w:rsid w:val="2BE66EBF"/>
    <w:rsid w:val="2BE710A1"/>
    <w:rsid w:val="2BE829BE"/>
    <w:rsid w:val="2BEB112B"/>
    <w:rsid w:val="2BF923C7"/>
    <w:rsid w:val="2C0D1E81"/>
    <w:rsid w:val="2C106849"/>
    <w:rsid w:val="2C136339"/>
    <w:rsid w:val="2C245E51"/>
    <w:rsid w:val="2C3A1B18"/>
    <w:rsid w:val="2C3E4758"/>
    <w:rsid w:val="2C451D2D"/>
    <w:rsid w:val="2C490A1E"/>
    <w:rsid w:val="2C552A7E"/>
    <w:rsid w:val="2C8275C6"/>
    <w:rsid w:val="2C841260"/>
    <w:rsid w:val="2CA46F92"/>
    <w:rsid w:val="2CA62D0A"/>
    <w:rsid w:val="2CB256D4"/>
    <w:rsid w:val="2CB3185C"/>
    <w:rsid w:val="2CC80D03"/>
    <w:rsid w:val="2CC910E4"/>
    <w:rsid w:val="2CCD473A"/>
    <w:rsid w:val="2CEF53A0"/>
    <w:rsid w:val="2D157E8F"/>
    <w:rsid w:val="2D1F6E84"/>
    <w:rsid w:val="2D244657"/>
    <w:rsid w:val="2D246816"/>
    <w:rsid w:val="2D2B5C12"/>
    <w:rsid w:val="2D2E54AB"/>
    <w:rsid w:val="2D310A0B"/>
    <w:rsid w:val="2D4764C4"/>
    <w:rsid w:val="2D502B98"/>
    <w:rsid w:val="2D537265"/>
    <w:rsid w:val="2D67353E"/>
    <w:rsid w:val="2D6F3A37"/>
    <w:rsid w:val="2D713318"/>
    <w:rsid w:val="2D745656"/>
    <w:rsid w:val="2D7F546D"/>
    <w:rsid w:val="2D9906A3"/>
    <w:rsid w:val="2DA74F8B"/>
    <w:rsid w:val="2DB068A4"/>
    <w:rsid w:val="2DB41456"/>
    <w:rsid w:val="2DB8067B"/>
    <w:rsid w:val="2DBC02CE"/>
    <w:rsid w:val="2DC2737B"/>
    <w:rsid w:val="2DC37E3A"/>
    <w:rsid w:val="2DC512A6"/>
    <w:rsid w:val="2DC554E9"/>
    <w:rsid w:val="2DCC7C43"/>
    <w:rsid w:val="2DD27314"/>
    <w:rsid w:val="2DD35D80"/>
    <w:rsid w:val="2DD47CCA"/>
    <w:rsid w:val="2DE53D06"/>
    <w:rsid w:val="2DE5690F"/>
    <w:rsid w:val="2DF126AA"/>
    <w:rsid w:val="2E2001F1"/>
    <w:rsid w:val="2E220013"/>
    <w:rsid w:val="2E24482E"/>
    <w:rsid w:val="2E2465DC"/>
    <w:rsid w:val="2E341EA9"/>
    <w:rsid w:val="2E3E08AA"/>
    <w:rsid w:val="2E491D03"/>
    <w:rsid w:val="2E531A5C"/>
    <w:rsid w:val="2E675005"/>
    <w:rsid w:val="2E8250B1"/>
    <w:rsid w:val="2E99606A"/>
    <w:rsid w:val="2EBA782B"/>
    <w:rsid w:val="2ED11B2A"/>
    <w:rsid w:val="2ED973C6"/>
    <w:rsid w:val="2EDA4542"/>
    <w:rsid w:val="2EDB2186"/>
    <w:rsid w:val="2F002F08"/>
    <w:rsid w:val="2F0D7070"/>
    <w:rsid w:val="2F342090"/>
    <w:rsid w:val="2F3842D0"/>
    <w:rsid w:val="2F39089A"/>
    <w:rsid w:val="2F4444AA"/>
    <w:rsid w:val="2F4E74ED"/>
    <w:rsid w:val="2F65799B"/>
    <w:rsid w:val="2F6603DD"/>
    <w:rsid w:val="2F6A3AD5"/>
    <w:rsid w:val="2F6A4225"/>
    <w:rsid w:val="2F6D39A0"/>
    <w:rsid w:val="2F835584"/>
    <w:rsid w:val="2F856F5E"/>
    <w:rsid w:val="2F934B77"/>
    <w:rsid w:val="2F9618AF"/>
    <w:rsid w:val="2FA01C92"/>
    <w:rsid w:val="2FA1150E"/>
    <w:rsid w:val="2FA20154"/>
    <w:rsid w:val="2FB01D49"/>
    <w:rsid w:val="2FB7670C"/>
    <w:rsid w:val="2FDD6284"/>
    <w:rsid w:val="2FE87B2B"/>
    <w:rsid w:val="2FEC3FAC"/>
    <w:rsid w:val="2FFA3A98"/>
    <w:rsid w:val="301601A6"/>
    <w:rsid w:val="30201025"/>
    <w:rsid w:val="303D65B7"/>
    <w:rsid w:val="305F7D9F"/>
    <w:rsid w:val="30746E7A"/>
    <w:rsid w:val="307A5E32"/>
    <w:rsid w:val="307D0225"/>
    <w:rsid w:val="30922497"/>
    <w:rsid w:val="30962E36"/>
    <w:rsid w:val="30AB4F67"/>
    <w:rsid w:val="30BD0622"/>
    <w:rsid w:val="30C47844"/>
    <w:rsid w:val="30C96FC7"/>
    <w:rsid w:val="30D22676"/>
    <w:rsid w:val="30DA0C79"/>
    <w:rsid w:val="30ED3FAC"/>
    <w:rsid w:val="3102072B"/>
    <w:rsid w:val="31250BEA"/>
    <w:rsid w:val="31390688"/>
    <w:rsid w:val="313B224A"/>
    <w:rsid w:val="313B4368"/>
    <w:rsid w:val="3154664E"/>
    <w:rsid w:val="31556AAC"/>
    <w:rsid w:val="315F2C9D"/>
    <w:rsid w:val="31707702"/>
    <w:rsid w:val="3191216B"/>
    <w:rsid w:val="31961F6A"/>
    <w:rsid w:val="319B66E5"/>
    <w:rsid w:val="319D0C7E"/>
    <w:rsid w:val="31C00377"/>
    <w:rsid w:val="31DB0877"/>
    <w:rsid w:val="31DF543A"/>
    <w:rsid w:val="31E83DC4"/>
    <w:rsid w:val="31F77B64"/>
    <w:rsid w:val="32033CC3"/>
    <w:rsid w:val="321C5303"/>
    <w:rsid w:val="32311090"/>
    <w:rsid w:val="323B2146"/>
    <w:rsid w:val="325356E2"/>
    <w:rsid w:val="326A2DAA"/>
    <w:rsid w:val="327C70B3"/>
    <w:rsid w:val="327F7178"/>
    <w:rsid w:val="328238D1"/>
    <w:rsid w:val="32B2402B"/>
    <w:rsid w:val="32B31CDC"/>
    <w:rsid w:val="32BB41D7"/>
    <w:rsid w:val="32C456B4"/>
    <w:rsid w:val="32E3105D"/>
    <w:rsid w:val="32E4458C"/>
    <w:rsid w:val="32EB76C8"/>
    <w:rsid w:val="32FF131C"/>
    <w:rsid w:val="3309629A"/>
    <w:rsid w:val="330C5891"/>
    <w:rsid w:val="33215331"/>
    <w:rsid w:val="33315457"/>
    <w:rsid w:val="335339DB"/>
    <w:rsid w:val="335D0251"/>
    <w:rsid w:val="335E62EA"/>
    <w:rsid w:val="33694A91"/>
    <w:rsid w:val="33707BCD"/>
    <w:rsid w:val="337B69BE"/>
    <w:rsid w:val="338213DC"/>
    <w:rsid w:val="338C3EE8"/>
    <w:rsid w:val="339660D5"/>
    <w:rsid w:val="33A1422B"/>
    <w:rsid w:val="33A24046"/>
    <w:rsid w:val="33AB50A9"/>
    <w:rsid w:val="33CA6491"/>
    <w:rsid w:val="33CC5539"/>
    <w:rsid w:val="33D76C41"/>
    <w:rsid w:val="33D7791C"/>
    <w:rsid w:val="33EB36F8"/>
    <w:rsid w:val="33EC3772"/>
    <w:rsid w:val="33F1420C"/>
    <w:rsid w:val="33F64577"/>
    <w:rsid w:val="33FE02F2"/>
    <w:rsid w:val="34076784"/>
    <w:rsid w:val="34120085"/>
    <w:rsid w:val="341630E6"/>
    <w:rsid w:val="34362BC5"/>
    <w:rsid w:val="3464003A"/>
    <w:rsid w:val="34A937EC"/>
    <w:rsid w:val="34BB30CA"/>
    <w:rsid w:val="34C226AB"/>
    <w:rsid w:val="34CF5BF4"/>
    <w:rsid w:val="34D90A42"/>
    <w:rsid w:val="34F85BB4"/>
    <w:rsid w:val="35036C92"/>
    <w:rsid w:val="350B5A89"/>
    <w:rsid w:val="35103BA2"/>
    <w:rsid w:val="351A4295"/>
    <w:rsid w:val="351D31E2"/>
    <w:rsid w:val="355A36A5"/>
    <w:rsid w:val="355B0912"/>
    <w:rsid w:val="355C70DC"/>
    <w:rsid w:val="355F7AF2"/>
    <w:rsid w:val="35654E45"/>
    <w:rsid w:val="356A0E22"/>
    <w:rsid w:val="3572477E"/>
    <w:rsid w:val="35814F3A"/>
    <w:rsid w:val="358259D7"/>
    <w:rsid w:val="35831E3A"/>
    <w:rsid w:val="35926521"/>
    <w:rsid w:val="35C54B38"/>
    <w:rsid w:val="35CB1A33"/>
    <w:rsid w:val="35D96274"/>
    <w:rsid w:val="35ED0385"/>
    <w:rsid w:val="361C222A"/>
    <w:rsid w:val="36255478"/>
    <w:rsid w:val="36323860"/>
    <w:rsid w:val="363A47F1"/>
    <w:rsid w:val="36417483"/>
    <w:rsid w:val="3651018A"/>
    <w:rsid w:val="36575075"/>
    <w:rsid w:val="36733E2C"/>
    <w:rsid w:val="36740BC7"/>
    <w:rsid w:val="36761165"/>
    <w:rsid w:val="36826596"/>
    <w:rsid w:val="369577EC"/>
    <w:rsid w:val="36A118B1"/>
    <w:rsid w:val="36A15218"/>
    <w:rsid w:val="36B952D6"/>
    <w:rsid w:val="36D641EB"/>
    <w:rsid w:val="36DB2FA7"/>
    <w:rsid w:val="36E7289C"/>
    <w:rsid w:val="36F44886"/>
    <w:rsid w:val="36FD16F9"/>
    <w:rsid w:val="370167AA"/>
    <w:rsid w:val="37101ABC"/>
    <w:rsid w:val="37103BA1"/>
    <w:rsid w:val="37165DA2"/>
    <w:rsid w:val="371B60A2"/>
    <w:rsid w:val="37227431"/>
    <w:rsid w:val="372917DA"/>
    <w:rsid w:val="372E4412"/>
    <w:rsid w:val="3744384B"/>
    <w:rsid w:val="3747039B"/>
    <w:rsid w:val="375D490D"/>
    <w:rsid w:val="377B051A"/>
    <w:rsid w:val="377D4444"/>
    <w:rsid w:val="37824373"/>
    <w:rsid w:val="37826121"/>
    <w:rsid w:val="37857677"/>
    <w:rsid w:val="378813F8"/>
    <w:rsid w:val="378C13F6"/>
    <w:rsid w:val="37902EA0"/>
    <w:rsid w:val="37A4253C"/>
    <w:rsid w:val="37AB1B1C"/>
    <w:rsid w:val="37B02DD2"/>
    <w:rsid w:val="37B87282"/>
    <w:rsid w:val="37C355F3"/>
    <w:rsid w:val="37CB2F2C"/>
    <w:rsid w:val="37D03331"/>
    <w:rsid w:val="37D07C62"/>
    <w:rsid w:val="37D72911"/>
    <w:rsid w:val="37E411AC"/>
    <w:rsid w:val="37F232A7"/>
    <w:rsid w:val="37F478E3"/>
    <w:rsid w:val="38110938"/>
    <w:rsid w:val="38203E3A"/>
    <w:rsid w:val="38382FE4"/>
    <w:rsid w:val="384C6E5B"/>
    <w:rsid w:val="38584C09"/>
    <w:rsid w:val="38613DFE"/>
    <w:rsid w:val="38613F89"/>
    <w:rsid w:val="3863421D"/>
    <w:rsid w:val="38694624"/>
    <w:rsid w:val="386C48CC"/>
    <w:rsid w:val="386F6574"/>
    <w:rsid w:val="387344F6"/>
    <w:rsid w:val="388451B5"/>
    <w:rsid w:val="38871C41"/>
    <w:rsid w:val="38882795"/>
    <w:rsid w:val="389A3076"/>
    <w:rsid w:val="38A851D7"/>
    <w:rsid w:val="38AD71CE"/>
    <w:rsid w:val="38B85950"/>
    <w:rsid w:val="38C075B5"/>
    <w:rsid w:val="38C40174"/>
    <w:rsid w:val="38D97FC3"/>
    <w:rsid w:val="38E52E0C"/>
    <w:rsid w:val="38E548DA"/>
    <w:rsid w:val="38F244D2"/>
    <w:rsid w:val="38F660C3"/>
    <w:rsid w:val="392E6561"/>
    <w:rsid w:val="393322E5"/>
    <w:rsid w:val="39340F38"/>
    <w:rsid w:val="39355B41"/>
    <w:rsid w:val="39396CB4"/>
    <w:rsid w:val="393C6D8D"/>
    <w:rsid w:val="3942025E"/>
    <w:rsid w:val="39455658"/>
    <w:rsid w:val="39542E1A"/>
    <w:rsid w:val="396E2E01"/>
    <w:rsid w:val="396F77FA"/>
    <w:rsid w:val="39706F18"/>
    <w:rsid w:val="39836C73"/>
    <w:rsid w:val="3984109F"/>
    <w:rsid w:val="39930ABA"/>
    <w:rsid w:val="3998617A"/>
    <w:rsid w:val="399C64C0"/>
    <w:rsid w:val="39AB5AD8"/>
    <w:rsid w:val="39C72967"/>
    <w:rsid w:val="39CF5E3B"/>
    <w:rsid w:val="39F3557E"/>
    <w:rsid w:val="39F4002A"/>
    <w:rsid w:val="39F87C7A"/>
    <w:rsid w:val="39FD712B"/>
    <w:rsid w:val="3A032486"/>
    <w:rsid w:val="3A0B4AF4"/>
    <w:rsid w:val="3A191B12"/>
    <w:rsid w:val="3A226CDF"/>
    <w:rsid w:val="3A230C04"/>
    <w:rsid w:val="3A2B3BE2"/>
    <w:rsid w:val="3A2B484E"/>
    <w:rsid w:val="3A2B5783"/>
    <w:rsid w:val="3A3810E4"/>
    <w:rsid w:val="3A427249"/>
    <w:rsid w:val="3A4575FB"/>
    <w:rsid w:val="3A541E38"/>
    <w:rsid w:val="3A6942C6"/>
    <w:rsid w:val="3A6D67AB"/>
    <w:rsid w:val="3A790053"/>
    <w:rsid w:val="3A7D77A0"/>
    <w:rsid w:val="3A840A26"/>
    <w:rsid w:val="3A875051"/>
    <w:rsid w:val="3A9B4A13"/>
    <w:rsid w:val="3AA53657"/>
    <w:rsid w:val="3AD46C94"/>
    <w:rsid w:val="3ADD581A"/>
    <w:rsid w:val="3AE0388B"/>
    <w:rsid w:val="3AE55345"/>
    <w:rsid w:val="3AED4F92"/>
    <w:rsid w:val="3B2871F3"/>
    <w:rsid w:val="3B4227FB"/>
    <w:rsid w:val="3B427FC2"/>
    <w:rsid w:val="3B4F27BE"/>
    <w:rsid w:val="3B5B77A3"/>
    <w:rsid w:val="3B5D236E"/>
    <w:rsid w:val="3B707B20"/>
    <w:rsid w:val="3B7D557D"/>
    <w:rsid w:val="3B987078"/>
    <w:rsid w:val="3BA527DC"/>
    <w:rsid w:val="3BBA40DC"/>
    <w:rsid w:val="3BBB3951"/>
    <w:rsid w:val="3BCF32FF"/>
    <w:rsid w:val="3BD07258"/>
    <w:rsid w:val="3BDE2A4F"/>
    <w:rsid w:val="3BE4213F"/>
    <w:rsid w:val="3BE762BA"/>
    <w:rsid w:val="3C2052F0"/>
    <w:rsid w:val="3C247DBC"/>
    <w:rsid w:val="3C261162"/>
    <w:rsid w:val="3C552056"/>
    <w:rsid w:val="3C5C0DD3"/>
    <w:rsid w:val="3C6504EB"/>
    <w:rsid w:val="3C6978B0"/>
    <w:rsid w:val="3C7602B4"/>
    <w:rsid w:val="3C8B5A78"/>
    <w:rsid w:val="3C8D3185"/>
    <w:rsid w:val="3CA60B04"/>
    <w:rsid w:val="3CB00FF7"/>
    <w:rsid w:val="3CBB635D"/>
    <w:rsid w:val="3CCD6CD5"/>
    <w:rsid w:val="3CEB6417"/>
    <w:rsid w:val="3CEF24AB"/>
    <w:rsid w:val="3CF278A5"/>
    <w:rsid w:val="3CFA6C64"/>
    <w:rsid w:val="3CFF29E0"/>
    <w:rsid w:val="3D2D6D30"/>
    <w:rsid w:val="3D3E1119"/>
    <w:rsid w:val="3D472FE2"/>
    <w:rsid w:val="3D5E173A"/>
    <w:rsid w:val="3D724C79"/>
    <w:rsid w:val="3D733964"/>
    <w:rsid w:val="3D89020A"/>
    <w:rsid w:val="3DA6700D"/>
    <w:rsid w:val="3DDB48AE"/>
    <w:rsid w:val="3DFD1787"/>
    <w:rsid w:val="3E36060F"/>
    <w:rsid w:val="3E6842C3"/>
    <w:rsid w:val="3E730435"/>
    <w:rsid w:val="3E834C59"/>
    <w:rsid w:val="3E9F580B"/>
    <w:rsid w:val="3EB8361A"/>
    <w:rsid w:val="3EBC24F5"/>
    <w:rsid w:val="3ECB5EB4"/>
    <w:rsid w:val="3ED656D0"/>
    <w:rsid w:val="3ED7183C"/>
    <w:rsid w:val="3EDF29A1"/>
    <w:rsid w:val="3EEF7309"/>
    <w:rsid w:val="3F161D48"/>
    <w:rsid w:val="3F21448F"/>
    <w:rsid w:val="3F3348D1"/>
    <w:rsid w:val="3F362F75"/>
    <w:rsid w:val="3F397A0D"/>
    <w:rsid w:val="3F3E5024"/>
    <w:rsid w:val="3F47212A"/>
    <w:rsid w:val="3F4831D6"/>
    <w:rsid w:val="3F501870"/>
    <w:rsid w:val="3F562694"/>
    <w:rsid w:val="3F6D02CB"/>
    <w:rsid w:val="3F7659E2"/>
    <w:rsid w:val="3F781418"/>
    <w:rsid w:val="3F7B6278"/>
    <w:rsid w:val="3F844549"/>
    <w:rsid w:val="3F8F687A"/>
    <w:rsid w:val="3F9703A6"/>
    <w:rsid w:val="3F9F717B"/>
    <w:rsid w:val="3FA118A5"/>
    <w:rsid w:val="3FAC01DF"/>
    <w:rsid w:val="3FCD382F"/>
    <w:rsid w:val="3FD054C6"/>
    <w:rsid w:val="3FD26A55"/>
    <w:rsid w:val="3FDD61E6"/>
    <w:rsid w:val="3FEF22C5"/>
    <w:rsid w:val="3FFD0A3B"/>
    <w:rsid w:val="4012098A"/>
    <w:rsid w:val="401D3588"/>
    <w:rsid w:val="40297A82"/>
    <w:rsid w:val="403249A2"/>
    <w:rsid w:val="40382492"/>
    <w:rsid w:val="403E177F"/>
    <w:rsid w:val="404212A3"/>
    <w:rsid w:val="40423687"/>
    <w:rsid w:val="404B52F5"/>
    <w:rsid w:val="40501089"/>
    <w:rsid w:val="405A5C50"/>
    <w:rsid w:val="407B2FF5"/>
    <w:rsid w:val="40923879"/>
    <w:rsid w:val="40962469"/>
    <w:rsid w:val="40980764"/>
    <w:rsid w:val="40C0643A"/>
    <w:rsid w:val="40CB0B39"/>
    <w:rsid w:val="40CB294D"/>
    <w:rsid w:val="40D72FB1"/>
    <w:rsid w:val="4114428E"/>
    <w:rsid w:val="41164652"/>
    <w:rsid w:val="41384420"/>
    <w:rsid w:val="41391F47"/>
    <w:rsid w:val="413A47B1"/>
    <w:rsid w:val="41477312"/>
    <w:rsid w:val="4148332F"/>
    <w:rsid w:val="414F3518"/>
    <w:rsid w:val="41507295"/>
    <w:rsid w:val="415B3C6B"/>
    <w:rsid w:val="41AE421A"/>
    <w:rsid w:val="41E53E7C"/>
    <w:rsid w:val="41EC1ECC"/>
    <w:rsid w:val="423544BC"/>
    <w:rsid w:val="42354608"/>
    <w:rsid w:val="423577A9"/>
    <w:rsid w:val="423C1303"/>
    <w:rsid w:val="425A71C4"/>
    <w:rsid w:val="4264647B"/>
    <w:rsid w:val="427E6271"/>
    <w:rsid w:val="42862F6A"/>
    <w:rsid w:val="428A301F"/>
    <w:rsid w:val="42D32CE3"/>
    <w:rsid w:val="42D84B29"/>
    <w:rsid w:val="42E163F2"/>
    <w:rsid w:val="42E421CA"/>
    <w:rsid w:val="42F010F1"/>
    <w:rsid w:val="42F91C42"/>
    <w:rsid w:val="430C1905"/>
    <w:rsid w:val="43110FF2"/>
    <w:rsid w:val="431307A8"/>
    <w:rsid w:val="43195B8C"/>
    <w:rsid w:val="431E7200"/>
    <w:rsid w:val="43206370"/>
    <w:rsid w:val="432327F5"/>
    <w:rsid w:val="43363706"/>
    <w:rsid w:val="433D29B0"/>
    <w:rsid w:val="43496D52"/>
    <w:rsid w:val="435B21ED"/>
    <w:rsid w:val="43691BCF"/>
    <w:rsid w:val="43696E6D"/>
    <w:rsid w:val="4369773A"/>
    <w:rsid w:val="43760D68"/>
    <w:rsid w:val="439F481E"/>
    <w:rsid w:val="43A50A47"/>
    <w:rsid w:val="43AD4526"/>
    <w:rsid w:val="43BA29DA"/>
    <w:rsid w:val="43BE4985"/>
    <w:rsid w:val="43C4749D"/>
    <w:rsid w:val="43C47EC8"/>
    <w:rsid w:val="43D03F32"/>
    <w:rsid w:val="43DF7007"/>
    <w:rsid w:val="44002A86"/>
    <w:rsid w:val="44004F9E"/>
    <w:rsid w:val="44047066"/>
    <w:rsid w:val="440D14B1"/>
    <w:rsid w:val="441E71AF"/>
    <w:rsid w:val="44250560"/>
    <w:rsid w:val="443E1151"/>
    <w:rsid w:val="443E7B98"/>
    <w:rsid w:val="44501DEF"/>
    <w:rsid w:val="445C56FF"/>
    <w:rsid w:val="446B31F6"/>
    <w:rsid w:val="44711D77"/>
    <w:rsid w:val="447269D6"/>
    <w:rsid w:val="44733D16"/>
    <w:rsid w:val="4473655F"/>
    <w:rsid w:val="447A2C41"/>
    <w:rsid w:val="447D65EE"/>
    <w:rsid w:val="447F2366"/>
    <w:rsid w:val="4486114D"/>
    <w:rsid w:val="448919A2"/>
    <w:rsid w:val="449A4F15"/>
    <w:rsid w:val="449D0AF2"/>
    <w:rsid w:val="44A54698"/>
    <w:rsid w:val="44AD6ED3"/>
    <w:rsid w:val="44B7697D"/>
    <w:rsid w:val="44B9372F"/>
    <w:rsid w:val="44C41BAF"/>
    <w:rsid w:val="44CD57B2"/>
    <w:rsid w:val="44CE2594"/>
    <w:rsid w:val="44CE7AD5"/>
    <w:rsid w:val="450176F0"/>
    <w:rsid w:val="45107462"/>
    <w:rsid w:val="45366C08"/>
    <w:rsid w:val="454454F1"/>
    <w:rsid w:val="45637419"/>
    <w:rsid w:val="45647C5E"/>
    <w:rsid w:val="456D5FEC"/>
    <w:rsid w:val="456F5CA5"/>
    <w:rsid w:val="4585213E"/>
    <w:rsid w:val="45945924"/>
    <w:rsid w:val="45992FB4"/>
    <w:rsid w:val="45A656D1"/>
    <w:rsid w:val="45A73834"/>
    <w:rsid w:val="45B026DA"/>
    <w:rsid w:val="45D7094F"/>
    <w:rsid w:val="45F14C64"/>
    <w:rsid w:val="46004DE1"/>
    <w:rsid w:val="46105756"/>
    <w:rsid w:val="46216086"/>
    <w:rsid w:val="46254C85"/>
    <w:rsid w:val="463D6035"/>
    <w:rsid w:val="4648164C"/>
    <w:rsid w:val="464B1B2F"/>
    <w:rsid w:val="465F4FD9"/>
    <w:rsid w:val="466C34CF"/>
    <w:rsid w:val="466F3B42"/>
    <w:rsid w:val="467B35BD"/>
    <w:rsid w:val="468C0E3A"/>
    <w:rsid w:val="46B45763"/>
    <w:rsid w:val="46B7185D"/>
    <w:rsid w:val="46BB3379"/>
    <w:rsid w:val="46DC3AA0"/>
    <w:rsid w:val="46E84E16"/>
    <w:rsid w:val="46E97F6B"/>
    <w:rsid w:val="46F4629F"/>
    <w:rsid w:val="46FA4322"/>
    <w:rsid w:val="47071753"/>
    <w:rsid w:val="4723522B"/>
    <w:rsid w:val="47247248"/>
    <w:rsid w:val="47270F9A"/>
    <w:rsid w:val="473A7830"/>
    <w:rsid w:val="47423355"/>
    <w:rsid w:val="47431429"/>
    <w:rsid w:val="474451A1"/>
    <w:rsid w:val="47452A0A"/>
    <w:rsid w:val="47514501"/>
    <w:rsid w:val="475C2A97"/>
    <w:rsid w:val="47615EF9"/>
    <w:rsid w:val="476F0470"/>
    <w:rsid w:val="477A4278"/>
    <w:rsid w:val="477A68EB"/>
    <w:rsid w:val="479E2E44"/>
    <w:rsid w:val="47AA05D4"/>
    <w:rsid w:val="47BC55A6"/>
    <w:rsid w:val="47C577F2"/>
    <w:rsid w:val="47C6205A"/>
    <w:rsid w:val="47CA42A2"/>
    <w:rsid w:val="47DA3B9D"/>
    <w:rsid w:val="4805102B"/>
    <w:rsid w:val="481442F4"/>
    <w:rsid w:val="482A25E9"/>
    <w:rsid w:val="483B65A4"/>
    <w:rsid w:val="483E4667"/>
    <w:rsid w:val="48446A2D"/>
    <w:rsid w:val="48523179"/>
    <w:rsid w:val="48532586"/>
    <w:rsid w:val="4868708A"/>
    <w:rsid w:val="48691363"/>
    <w:rsid w:val="48952594"/>
    <w:rsid w:val="48AB197C"/>
    <w:rsid w:val="48D11064"/>
    <w:rsid w:val="48DC36A5"/>
    <w:rsid w:val="48E1714C"/>
    <w:rsid w:val="48F13107"/>
    <w:rsid w:val="491204AD"/>
    <w:rsid w:val="49270B85"/>
    <w:rsid w:val="4933527D"/>
    <w:rsid w:val="493D00FA"/>
    <w:rsid w:val="49540028"/>
    <w:rsid w:val="497148DC"/>
    <w:rsid w:val="49804BB7"/>
    <w:rsid w:val="498A5978"/>
    <w:rsid w:val="498D3A3E"/>
    <w:rsid w:val="49A54612"/>
    <w:rsid w:val="49A62C56"/>
    <w:rsid w:val="49AB1508"/>
    <w:rsid w:val="49BA72E2"/>
    <w:rsid w:val="49BB7386"/>
    <w:rsid w:val="49C3573C"/>
    <w:rsid w:val="49C40AD5"/>
    <w:rsid w:val="49CD58BA"/>
    <w:rsid w:val="49D17263"/>
    <w:rsid w:val="49E8275C"/>
    <w:rsid w:val="49F11610"/>
    <w:rsid w:val="4A334B3C"/>
    <w:rsid w:val="4A37100C"/>
    <w:rsid w:val="4A372676"/>
    <w:rsid w:val="4A37312A"/>
    <w:rsid w:val="4A475C35"/>
    <w:rsid w:val="4A51360A"/>
    <w:rsid w:val="4A652FCA"/>
    <w:rsid w:val="4A7D647A"/>
    <w:rsid w:val="4A857E4F"/>
    <w:rsid w:val="4A934476"/>
    <w:rsid w:val="4AA743C5"/>
    <w:rsid w:val="4AAF6DD6"/>
    <w:rsid w:val="4AB663B6"/>
    <w:rsid w:val="4AB80380"/>
    <w:rsid w:val="4AB97C54"/>
    <w:rsid w:val="4ABA3966"/>
    <w:rsid w:val="4ABC1315"/>
    <w:rsid w:val="4ABD0075"/>
    <w:rsid w:val="4AC42881"/>
    <w:rsid w:val="4AD93E52"/>
    <w:rsid w:val="4AE12A86"/>
    <w:rsid w:val="4AE90539"/>
    <w:rsid w:val="4AF62435"/>
    <w:rsid w:val="4AFC3B4C"/>
    <w:rsid w:val="4AFD3FE5"/>
    <w:rsid w:val="4B122ECF"/>
    <w:rsid w:val="4B135871"/>
    <w:rsid w:val="4B192D95"/>
    <w:rsid w:val="4B26353C"/>
    <w:rsid w:val="4B2A7B97"/>
    <w:rsid w:val="4B49547C"/>
    <w:rsid w:val="4B533384"/>
    <w:rsid w:val="4B59218C"/>
    <w:rsid w:val="4B5C6028"/>
    <w:rsid w:val="4B645C7A"/>
    <w:rsid w:val="4B92297F"/>
    <w:rsid w:val="4B987142"/>
    <w:rsid w:val="4B9B687E"/>
    <w:rsid w:val="4BA55E15"/>
    <w:rsid w:val="4BF3430F"/>
    <w:rsid w:val="4C0F596A"/>
    <w:rsid w:val="4C1C493F"/>
    <w:rsid w:val="4C3078C6"/>
    <w:rsid w:val="4C40066C"/>
    <w:rsid w:val="4C545E87"/>
    <w:rsid w:val="4C5A4364"/>
    <w:rsid w:val="4C681A65"/>
    <w:rsid w:val="4C7B624B"/>
    <w:rsid w:val="4C8449BE"/>
    <w:rsid w:val="4C8936D2"/>
    <w:rsid w:val="4C8C5620"/>
    <w:rsid w:val="4C993174"/>
    <w:rsid w:val="4C9A0652"/>
    <w:rsid w:val="4C9A7E3E"/>
    <w:rsid w:val="4CA21DB3"/>
    <w:rsid w:val="4CA26E90"/>
    <w:rsid w:val="4CA41E66"/>
    <w:rsid w:val="4CA42EC6"/>
    <w:rsid w:val="4CC74EE5"/>
    <w:rsid w:val="4CCB706C"/>
    <w:rsid w:val="4CCC4E16"/>
    <w:rsid w:val="4CD81552"/>
    <w:rsid w:val="4CF04A45"/>
    <w:rsid w:val="4CF17718"/>
    <w:rsid w:val="4CF6005A"/>
    <w:rsid w:val="4CFD5418"/>
    <w:rsid w:val="4CFF4044"/>
    <w:rsid w:val="4CFF4CB4"/>
    <w:rsid w:val="4D1A0E7E"/>
    <w:rsid w:val="4D1C1598"/>
    <w:rsid w:val="4D3A32CE"/>
    <w:rsid w:val="4D4203D5"/>
    <w:rsid w:val="4D583EAE"/>
    <w:rsid w:val="4D6E4484"/>
    <w:rsid w:val="4D75339F"/>
    <w:rsid w:val="4D847445"/>
    <w:rsid w:val="4D9328D3"/>
    <w:rsid w:val="4D9D5E39"/>
    <w:rsid w:val="4DB60A87"/>
    <w:rsid w:val="4DCD0D5A"/>
    <w:rsid w:val="4DF25957"/>
    <w:rsid w:val="4DF63713"/>
    <w:rsid w:val="4E0727A3"/>
    <w:rsid w:val="4E1B3100"/>
    <w:rsid w:val="4E1F4B41"/>
    <w:rsid w:val="4E393FCB"/>
    <w:rsid w:val="4E54216E"/>
    <w:rsid w:val="4E573921"/>
    <w:rsid w:val="4E683E6B"/>
    <w:rsid w:val="4E724CEA"/>
    <w:rsid w:val="4E7740AE"/>
    <w:rsid w:val="4E7779A7"/>
    <w:rsid w:val="4E82397E"/>
    <w:rsid w:val="4EA50C1B"/>
    <w:rsid w:val="4EB00282"/>
    <w:rsid w:val="4EB032D6"/>
    <w:rsid w:val="4EBD5F65"/>
    <w:rsid w:val="4EC015B1"/>
    <w:rsid w:val="4EC37C7D"/>
    <w:rsid w:val="4EE52608"/>
    <w:rsid w:val="4EFC6035"/>
    <w:rsid w:val="4F22226C"/>
    <w:rsid w:val="4F2809B4"/>
    <w:rsid w:val="4F402808"/>
    <w:rsid w:val="4F4E4E0F"/>
    <w:rsid w:val="4F521D8E"/>
    <w:rsid w:val="4F5C39D0"/>
    <w:rsid w:val="4F6D3BEF"/>
    <w:rsid w:val="4F756EEE"/>
    <w:rsid w:val="4F8922EB"/>
    <w:rsid w:val="4F905428"/>
    <w:rsid w:val="4F9473E3"/>
    <w:rsid w:val="4F9D6DAE"/>
    <w:rsid w:val="4FA709C3"/>
    <w:rsid w:val="4FA94734"/>
    <w:rsid w:val="4FAE6856"/>
    <w:rsid w:val="4FB13DD1"/>
    <w:rsid w:val="4FBA0FFE"/>
    <w:rsid w:val="4FD14647"/>
    <w:rsid w:val="4FE56AC6"/>
    <w:rsid w:val="5020424C"/>
    <w:rsid w:val="50236940"/>
    <w:rsid w:val="502441B0"/>
    <w:rsid w:val="50250266"/>
    <w:rsid w:val="502805DB"/>
    <w:rsid w:val="50632B3C"/>
    <w:rsid w:val="5069089B"/>
    <w:rsid w:val="506B19F1"/>
    <w:rsid w:val="507D6478"/>
    <w:rsid w:val="508618BA"/>
    <w:rsid w:val="508B739E"/>
    <w:rsid w:val="50A3447B"/>
    <w:rsid w:val="50C23D07"/>
    <w:rsid w:val="50CF3D2E"/>
    <w:rsid w:val="50D778BC"/>
    <w:rsid w:val="50E7673D"/>
    <w:rsid w:val="50F4058D"/>
    <w:rsid w:val="51004D18"/>
    <w:rsid w:val="51330760"/>
    <w:rsid w:val="514665D9"/>
    <w:rsid w:val="515643BC"/>
    <w:rsid w:val="516A1470"/>
    <w:rsid w:val="51791505"/>
    <w:rsid w:val="518A40F8"/>
    <w:rsid w:val="518C66BB"/>
    <w:rsid w:val="518F583E"/>
    <w:rsid w:val="519216B7"/>
    <w:rsid w:val="5194445B"/>
    <w:rsid w:val="519D5C0A"/>
    <w:rsid w:val="51A159FE"/>
    <w:rsid w:val="51A235E1"/>
    <w:rsid w:val="51AA348A"/>
    <w:rsid w:val="51C07297"/>
    <w:rsid w:val="51CD3A40"/>
    <w:rsid w:val="51D85615"/>
    <w:rsid w:val="51DA0BDC"/>
    <w:rsid w:val="51E710E2"/>
    <w:rsid w:val="51EB7649"/>
    <w:rsid w:val="51FC2B7B"/>
    <w:rsid w:val="520D2296"/>
    <w:rsid w:val="52397FF8"/>
    <w:rsid w:val="525C2453"/>
    <w:rsid w:val="526A01B2"/>
    <w:rsid w:val="52753E57"/>
    <w:rsid w:val="52780ACB"/>
    <w:rsid w:val="527D4FA3"/>
    <w:rsid w:val="52831274"/>
    <w:rsid w:val="52AF2069"/>
    <w:rsid w:val="52BC6534"/>
    <w:rsid w:val="52C20D8E"/>
    <w:rsid w:val="52C5363A"/>
    <w:rsid w:val="52CC4536"/>
    <w:rsid w:val="52D94894"/>
    <w:rsid w:val="52F91536"/>
    <w:rsid w:val="53000B16"/>
    <w:rsid w:val="5302488E"/>
    <w:rsid w:val="5325300A"/>
    <w:rsid w:val="532540D9"/>
    <w:rsid w:val="532A5B93"/>
    <w:rsid w:val="53484D00"/>
    <w:rsid w:val="534C78B7"/>
    <w:rsid w:val="535F3238"/>
    <w:rsid w:val="5360703D"/>
    <w:rsid w:val="53611404"/>
    <w:rsid w:val="536705F5"/>
    <w:rsid w:val="53683FB3"/>
    <w:rsid w:val="53684416"/>
    <w:rsid w:val="53740BBC"/>
    <w:rsid w:val="53784A9C"/>
    <w:rsid w:val="537C3AFB"/>
    <w:rsid w:val="537E7EE6"/>
    <w:rsid w:val="538452A3"/>
    <w:rsid w:val="538455F0"/>
    <w:rsid w:val="5398661A"/>
    <w:rsid w:val="53987C6B"/>
    <w:rsid w:val="53A616BE"/>
    <w:rsid w:val="53A85A70"/>
    <w:rsid w:val="53B04165"/>
    <w:rsid w:val="53B13BBE"/>
    <w:rsid w:val="53B37061"/>
    <w:rsid w:val="53DD2B28"/>
    <w:rsid w:val="53F6617F"/>
    <w:rsid w:val="53FC752F"/>
    <w:rsid w:val="54025590"/>
    <w:rsid w:val="54077A5A"/>
    <w:rsid w:val="54095DDA"/>
    <w:rsid w:val="540E381C"/>
    <w:rsid w:val="544762D1"/>
    <w:rsid w:val="544931DC"/>
    <w:rsid w:val="54547E1C"/>
    <w:rsid w:val="545632E9"/>
    <w:rsid w:val="546867FA"/>
    <w:rsid w:val="54771647"/>
    <w:rsid w:val="5484363F"/>
    <w:rsid w:val="548C426F"/>
    <w:rsid w:val="54901A26"/>
    <w:rsid w:val="54922E39"/>
    <w:rsid w:val="549A4653"/>
    <w:rsid w:val="549E2395"/>
    <w:rsid w:val="54A14D47"/>
    <w:rsid w:val="54AF45A2"/>
    <w:rsid w:val="54B43966"/>
    <w:rsid w:val="54B618B0"/>
    <w:rsid w:val="54B75123"/>
    <w:rsid w:val="54B942FC"/>
    <w:rsid w:val="54BA4CF5"/>
    <w:rsid w:val="54BD0F8F"/>
    <w:rsid w:val="54C85664"/>
    <w:rsid w:val="54D22CE3"/>
    <w:rsid w:val="550C3921"/>
    <w:rsid w:val="552A7FFA"/>
    <w:rsid w:val="5531145B"/>
    <w:rsid w:val="55450A62"/>
    <w:rsid w:val="554A6079"/>
    <w:rsid w:val="554C1057"/>
    <w:rsid w:val="554C211A"/>
    <w:rsid w:val="55522FCF"/>
    <w:rsid w:val="555D2250"/>
    <w:rsid w:val="55627866"/>
    <w:rsid w:val="556A671B"/>
    <w:rsid w:val="55864C77"/>
    <w:rsid w:val="558A2D2C"/>
    <w:rsid w:val="558F7F2F"/>
    <w:rsid w:val="559D43FA"/>
    <w:rsid w:val="55AF4640"/>
    <w:rsid w:val="55D07DAB"/>
    <w:rsid w:val="55EB160A"/>
    <w:rsid w:val="55F21D17"/>
    <w:rsid w:val="55FC72BB"/>
    <w:rsid w:val="56091A90"/>
    <w:rsid w:val="560A48A4"/>
    <w:rsid w:val="561843C9"/>
    <w:rsid w:val="561D6ED6"/>
    <w:rsid w:val="56242D6E"/>
    <w:rsid w:val="562B357A"/>
    <w:rsid w:val="566370A7"/>
    <w:rsid w:val="5671438A"/>
    <w:rsid w:val="56714628"/>
    <w:rsid w:val="56750E0A"/>
    <w:rsid w:val="567E3841"/>
    <w:rsid w:val="5681688C"/>
    <w:rsid w:val="569039D6"/>
    <w:rsid w:val="56953D8E"/>
    <w:rsid w:val="56BF4B93"/>
    <w:rsid w:val="56C11693"/>
    <w:rsid w:val="56C269F2"/>
    <w:rsid w:val="56C61B5C"/>
    <w:rsid w:val="56EB62F7"/>
    <w:rsid w:val="56F42740"/>
    <w:rsid w:val="56FB24A8"/>
    <w:rsid w:val="56FD6E02"/>
    <w:rsid w:val="5730310A"/>
    <w:rsid w:val="573266B1"/>
    <w:rsid w:val="57361328"/>
    <w:rsid w:val="57410F8C"/>
    <w:rsid w:val="5749134C"/>
    <w:rsid w:val="57563D2D"/>
    <w:rsid w:val="57635426"/>
    <w:rsid w:val="576D24F2"/>
    <w:rsid w:val="576D7109"/>
    <w:rsid w:val="5770384C"/>
    <w:rsid w:val="57725AAD"/>
    <w:rsid w:val="577B514B"/>
    <w:rsid w:val="578313D3"/>
    <w:rsid w:val="579B705F"/>
    <w:rsid w:val="57AD28EF"/>
    <w:rsid w:val="57AD60A6"/>
    <w:rsid w:val="57AF53EA"/>
    <w:rsid w:val="57B23D6F"/>
    <w:rsid w:val="57C4203E"/>
    <w:rsid w:val="57D3128D"/>
    <w:rsid w:val="57E75E01"/>
    <w:rsid w:val="57FE449B"/>
    <w:rsid w:val="57FE4CE2"/>
    <w:rsid w:val="58004212"/>
    <w:rsid w:val="5810561A"/>
    <w:rsid w:val="582428B4"/>
    <w:rsid w:val="582E1BE8"/>
    <w:rsid w:val="58313520"/>
    <w:rsid w:val="58381A4A"/>
    <w:rsid w:val="58445C19"/>
    <w:rsid w:val="585A673D"/>
    <w:rsid w:val="585F5E37"/>
    <w:rsid w:val="586E4FF2"/>
    <w:rsid w:val="587353B9"/>
    <w:rsid w:val="588C69A8"/>
    <w:rsid w:val="58902063"/>
    <w:rsid w:val="58965F8A"/>
    <w:rsid w:val="58AB0367"/>
    <w:rsid w:val="58BD6B62"/>
    <w:rsid w:val="58BF6D7E"/>
    <w:rsid w:val="58CA1AB9"/>
    <w:rsid w:val="58CA7BFC"/>
    <w:rsid w:val="58E8194F"/>
    <w:rsid w:val="59205344"/>
    <w:rsid w:val="5929225B"/>
    <w:rsid w:val="592B3A21"/>
    <w:rsid w:val="593908DE"/>
    <w:rsid w:val="593C3F2A"/>
    <w:rsid w:val="59505571"/>
    <w:rsid w:val="595E6596"/>
    <w:rsid w:val="596C7578"/>
    <w:rsid w:val="597053F3"/>
    <w:rsid w:val="59777B12"/>
    <w:rsid w:val="597B0EF6"/>
    <w:rsid w:val="59925576"/>
    <w:rsid w:val="59B368E2"/>
    <w:rsid w:val="59C03FFF"/>
    <w:rsid w:val="59C0622C"/>
    <w:rsid w:val="59CC01B7"/>
    <w:rsid w:val="59D60658"/>
    <w:rsid w:val="5A040EEC"/>
    <w:rsid w:val="5A1D4A47"/>
    <w:rsid w:val="5A1E1882"/>
    <w:rsid w:val="5A423290"/>
    <w:rsid w:val="5A4F04A4"/>
    <w:rsid w:val="5A50165F"/>
    <w:rsid w:val="5A5B2AD6"/>
    <w:rsid w:val="5A5B6C78"/>
    <w:rsid w:val="5A5D1A42"/>
    <w:rsid w:val="5A6220B6"/>
    <w:rsid w:val="5A6C60F1"/>
    <w:rsid w:val="5A703824"/>
    <w:rsid w:val="5A867B53"/>
    <w:rsid w:val="5A8944E2"/>
    <w:rsid w:val="5A971D60"/>
    <w:rsid w:val="5AB17793"/>
    <w:rsid w:val="5ABD5A58"/>
    <w:rsid w:val="5AC52C0D"/>
    <w:rsid w:val="5AC666EE"/>
    <w:rsid w:val="5AF23713"/>
    <w:rsid w:val="5AFA1C97"/>
    <w:rsid w:val="5B04316E"/>
    <w:rsid w:val="5B07516B"/>
    <w:rsid w:val="5B131C21"/>
    <w:rsid w:val="5B1C4013"/>
    <w:rsid w:val="5B303D3E"/>
    <w:rsid w:val="5B3B2787"/>
    <w:rsid w:val="5B6112AE"/>
    <w:rsid w:val="5B61282B"/>
    <w:rsid w:val="5B71338D"/>
    <w:rsid w:val="5BA4786C"/>
    <w:rsid w:val="5BAD037D"/>
    <w:rsid w:val="5BB52BA8"/>
    <w:rsid w:val="5BB66216"/>
    <w:rsid w:val="5BCB2C40"/>
    <w:rsid w:val="5BCD571B"/>
    <w:rsid w:val="5BED0BE1"/>
    <w:rsid w:val="5BF84404"/>
    <w:rsid w:val="5C0532A5"/>
    <w:rsid w:val="5C295588"/>
    <w:rsid w:val="5C301B36"/>
    <w:rsid w:val="5C35735F"/>
    <w:rsid w:val="5C4E7CE2"/>
    <w:rsid w:val="5C5477DD"/>
    <w:rsid w:val="5C593045"/>
    <w:rsid w:val="5C5F523E"/>
    <w:rsid w:val="5C783FFA"/>
    <w:rsid w:val="5C8310BE"/>
    <w:rsid w:val="5C84210D"/>
    <w:rsid w:val="5C895722"/>
    <w:rsid w:val="5C8C1741"/>
    <w:rsid w:val="5C9A276D"/>
    <w:rsid w:val="5CA813C0"/>
    <w:rsid w:val="5CAE773A"/>
    <w:rsid w:val="5CB847C3"/>
    <w:rsid w:val="5CC30D13"/>
    <w:rsid w:val="5CD87BC2"/>
    <w:rsid w:val="5CEB5C4E"/>
    <w:rsid w:val="5CF53766"/>
    <w:rsid w:val="5D02548B"/>
    <w:rsid w:val="5D043EBE"/>
    <w:rsid w:val="5D086F45"/>
    <w:rsid w:val="5D0E235E"/>
    <w:rsid w:val="5D1319BB"/>
    <w:rsid w:val="5D134D91"/>
    <w:rsid w:val="5D290C69"/>
    <w:rsid w:val="5D310765"/>
    <w:rsid w:val="5D3112EF"/>
    <w:rsid w:val="5D3F048D"/>
    <w:rsid w:val="5D440FA8"/>
    <w:rsid w:val="5D4455C2"/>
    <w:rsid w:val="5D567C0A"/>
    <w:rsid w:val="5D612327"/>
    <w:rsid w:val="5D6972B8"/>
    <w:rsid w:val="5D9A3915"/>
    <w:rsid w:val="5DAE1D8D"/>
    <w:rsid w:val="5DBE11AB"/>
    <w:rsid w:val="5DD532EB"/>
    <w:rsid w:val="5DDB01B6"/>
    <w:rsid w:val="5DE73E9F"/>
    <w:rsid w:val="5DF305F9"/>
    <w:rsid w:val="5DF50B4C"/>
    <w:rsid w:val="5DF82873"/>
    <w:rsid w:val="5E08649D"/>
    <w:rsid w:val="5E0D6DCC"/>
    <w:rsid w:val="5E2249E9"/>
    <w:rsid w:val="5E3F1072"/>
    <w:rsid w:val="5E4F2952"/>
    <w:rsid w:val="5E553241"/>
    <w:rsid w:val="5E655825"/>
    <w:rsid w:val="5E80568B"/>
    <w:rsid w:val="5EA33456"/>
    <w:rsid w:val="5EA73928"/>
    <w:rsid w:val="5EBD5E16"/>
    <w:rsid w:val="5EC20EB3"/>
    <w:rsid w:val="5EF17565"/>
    <w:rsid w:val="5EFC065E"/>
    <w:rsid w:val="5F023113"/>
    <w:rsid w:val="5F16521D"/>
    <w:rsid w:val="5F200137"/>
    <w:rsid w:val="5F2B1391"/>
    <w:rsid w:val="5F330F86"/>
    <w:rsid w:val="5F406362"/>
    <w:rsid w:val="5F5521EA"/>
    <w:rsid w:val="5F576AEB"/>
    <w:rsid w:val="5F981175"/>
    <w:rsid w:val="5FA5209F"/>
    <w:rsid w:val="5FB46F10"/>
    <w:rsid w:val="5FBB6E0B"/>
    <w:rsid w:val="5FDC0215"/>
    <w:rsid w:val="5FE80B44"/>
    <w:rsid w:val="60011BE0"/>
    <w:rsid w:val="600507DE"/>
    <w:rsid w:val="600C42E1"/>
    <w:rsid w:val="60193147"/>
    <w:rsid w:val="601B3ABE"/>
    <w:rsid w:val="602D34E0"/>
    <w:rsid w:val="60316D68"/>
    <w:rsid w:val="603911C4"/>
    <w:rsid w:val="603A4076"/>
    <w:rsid w:val="603D2140"/>
    <w:rsid w:val="603E5F06"/>
    <w:rsid w:val="60424C4A"/>
    <w:rsid w:val="60443FF5"/>
    <w:rsid w:val="60477D84"/>
    <w:rsid w:val="605129B1"/>
    <w:rsid w:val="605230F3"/>
    <w:rsid w:val="60641A81"/>
    <w:rsid w:val="6078146D"/>
    <w:rsid w:val="60917251"/>
    <w:rsid w:val="60AF0A0E"/>
    <w:rsid w:val="60B82A30"/>
    <w:rsid w:val="60BF6DD5"/>
    <w:rsid w:val="60BF7D8C"/>
    <w:rsid w:val="60CA1CF9"/>
    <w:rsid w:val="60CB0DBA"/>
    <w:rsid w:val="60D31618"/>
    <w:rsid w:val="60E30D2C"/>
    <w:rsid w:val="61117750"/>
    <w:rsid w:val="611C318D"/>
    <w:rsid w:val="61365606"/>
    <w:rsid w:val="613F0A5C"/>
    <w:rsid w:val="614222FA"/>
    <w:rsid w:val="61483047"/>
    <w:rsid w:val="615A3AE7"/>
    <w:rsid w:val="61915F1E"/>
    <w:rsid w:val="61923281"/>
    <w:rsid w:val="61A3724B"/>
    <w:rsid w:val="61A60ADB"/>
    <w:rsid w:val="61AE42F6"/>
    <w:rsid w:val="61AF3E33"/>
    <w:rsid w:val="61BA1C46"/>
    <w:rsid w:val="61DC78F0"/>
    <w:rsid w:val="61FA2BD4"/>
    <w:rsid w:val="62041B64"/>
    <w:rsid w:val="62157A0E"/>
    <w:rsid w:val="62281269"/>
    <w:rsid w:val="622F287E"/>
    <w:rsid w:val="62364F82"/>
    <w:rsid w:val="62483394"/>
    <w:rsid w:val="62546789"/>
    <w:rsid w:val="62554FFB"/>
    <w:rsid w:val="62571DD5"/>
    <w:rsid w:val="625E2F3A"/>
    <w:rsid w:val="62670500"/>
    <w:rsid w:val="62691B04"/>
    <w:rsid w:val="627174D7"/>
    <w:rsid w:val="6276422F"/>
    <w:rsid w:val="62830E1C"/>
    <w:rsid w:val="62861B77"/>
    <w:rsid w:val="628F56E0"/>
    <w:rsid w:val="62A349AE"/>
    <w:rsid w:val="62C41E40"/>
    <w:rsid w:val="62CB61B9"/>
    <w:rsid w:val="62CB754B"/>
    <w:rsid w:val="62CD4ACF"/>
    <w:rsid w:val="6308697F"/>
    <w:rsid w:val="631D7521"/>
    <w:rsid w:val="6333639E"/>
    <w:rsid w:val="633F12D6"/>
    <w:rsid w:val="63452778"/>
    <w:rsid w:val="634B3518"/>
    <w:rsid w:val="63554A0D"/>
    <w:rsid w:val="63584057"/>
    <w:rsid w:val="63632A4B"/>
    <w:rsid w:val="6369376B"/>
    <w:rsid w:val="636C5F14"/>
    <w:rsid w:val="63952E93"/>
    <w:rsid w:val="63AD5FAC"/>
    <w:rsid w:val="63B1070C"/>
    <w:rsid w:val="63D3192F"/>
    <w:rsid w:val="63DC7772"/>
    <w:rsid w:val="63E23006"/>
    <w:rsid w:val="63F20C47"/>
    <w:rsid w:val="63FA08FC"/>
    <w:rsid w:val="63FE4BFE"/>
    <w:rsid w:val="64112A9D"/>
    <w:rsid w:val="64161638"/>
    <w:rsid w:val="642279B4"/>
    <w:rsid w:val="6429154F"/>
    <w:rsid w:val="642D7F96"/>
    <w:rsid w:val="64371EBE"/>
    <w:rsid w:val="6441108B"/>
    <w:rsid w:val="644665A5"/>
    <w:rsid w:val="644F1CB2"/>
    <w:rsid w:val="6460382A"/>
    <w:rsid w:val="64643ACA"/>
    <w:rsid w:val="646B45F7"/>
    <w:rsid w:val="647D0ADB"/>
    <w:rsid w:val="648C521A"/>
    <w:rsid w:val="64917D45"/>
    <w:rsid w:val="64977570"/>
    <w:rsid w:val="64B36B21"/>
    <w:rsid w:val="64B72218"/>
    <w:rsid w:val="64BF6B8F"/>
    <w:rsid w:val="64C3704F"/>
    <w:rsid w:val="64C62CA5"/>
    <w:rsid w:val="64E831B8"/>
    <w:rsid w:val="64E976D8"/>
    <w:rsid w:val="64ED6615"/>
    <w:rsid w:val="64FE0F25"/>
    <w:rsid w:val="65035A40"/>
    <w:rsid w:val="65130235"/>
    <w:rsid w:val="651A6920"/>
    <w:rsid w:val="65271CA0"/>
    <w:rsid w:val="65293EFC"/>
    <w:rsid w:val="655D271B"/>
    <w:rsid w:val="655F3197"/>
    <w:rsid w:val="657C2032"/>
    <w:rsid w:val="657D7565"/>
    <w:rsid w:val="658566B1"/>
    <w:rsid w:val="658B50AB"/>
    <w:rsid w:val="659550EE"/>
    <w:rsid w:val="65975DB9"/>
    <w:rsid w:val="65A55DB7"/>
    <w:rsid w:val="65AA2E9F"/>
    <w:rsid w:val="65AF6FD5"/>
    <w:rsid w:val="65B35F8F"/>
    <w:rsid w:val="65BF660F"/>
    <w:rsid w:val="65C749F6"/>
    <w:rsid w:val="65D676FC"/>
    <w:rsid w:val="65EC4C54"/>
    <w:rsid w:val="65FE7137"/>
    <w:rsid w:val="661E1587"/>
    <w:rsid w:val="662326FA"/>
    <w:rsid w:val="662445B5"/>
    <w:rsid w:val="662B7800"/>
    <w:rsid w:val="6645236F"/>
    <w:rsid w:val="664A412A"/>
    <w:rsid w:val="664D0716"/>
    <w:rsid w:val="6673304D"/>
    <w:rsid w:val="66734E89"/>
    <w:rsid w:val="669B07F5"/>
    <w:rsid w:val="66B077FE"/>
    <w:rsid w:val="66B67513"/>
    <w:rsid w:val="66C42832"/>
    <w:rsid w:val="66C64D00"/>
    <w:rsid w:val="66CE1003"/>
    <w:rsid w:val="66CE78CB"/>
    <w:rsid w:val="66D431C5"/>
    <w:rsid w:val="66DE0D17"/>
    <w:rsid w:val="66E77D50"/>
    <w:rsid w:val="67016DE2"/>
    <w:rsid w:val="672A3759"/>
    <w:rsid w:val="67437B1B"/>
    <w:rsid w:val="675C5021"/>
    <w:rsid w:val="676F1572"/>
    <w:rsid w:val="6775314C"/>
    <w:rsid w:val="677E1BB2"/>
    <w:rsid w:val="67931B01"/>
    <w:rsid w:val="67A05FCC"/>
    <w:rsid w:val="67B67E9A"/>
    <w:rsid w:val="67BB60EE"/>
    <w:rsid w:val="67BC1058"/>
    <w:rsid w:val="67D46A21"/>
    <w:rsid w:val="67EA5450"/>
    <w:rsid w:val="680A7037"/>
    <w:rsid w:val="68120C78"/>
    <w:rsid w:val="681B74A6"/>
    <w:rsid w:val="68271593"/>
    <w:rsid w:val="682C42AE"/>
    <w:rsid w:val="682E0C6B"/>
    <w:rsid w:val="684F533F"/>
    <w:rsid w:val="68525518"/>
    <w:rsid w:val="68534DEC"/>
    <w:rsid w:val="688D0B09"/>
    <w:rsid w:val="68A60CB7"/>
    <w:rsid w:val="68A815DC"/>
    <w:rsid w:val="68BE2BAE"/>
    <w:rsid w:val="68CD216A"/>
    <w:rsid w:val="68EF4BB6"/>
    <w:rsid w:val="68FD5A3F"/>
    <w:rsid w:val="690835F9"/>
    <w:rsid w:val="692C02BD"/>
    <w:rsid w:val="692E64A8"/>
    <w:rsid w:val="69344C1E"/>
    <w:rsid w:val="69584DB0"/>
    <w:rsid w:val="69635503"/>
    <w:rsid w:val="697274F4"/>
    <w:rsid w:val="69900803"/>
    <w:rsid w:val="6990454A"/>
    <w:rsid w:val="69AD2A74"/>
    <w:rsid w:val="69AD3587"/>
    <w:rsid w:val="69B2279E"/>
    <w:rsid w:val="69BD1A42"/>
    <w:rsid w:val="69C238DC"/>
    <w:rsid w:val="69D5637B"/>
    <w:rsid w:val="69DA12FC"/>
    <w:rsid w:val="69EB6DCA"/>
    <w:rsid w:val="69ED2E35"/>
    <w:rsid w:val="69F755AC"/>
    <w:rsid w:val="6A0937AA"/>
    <w:rsid w:val="6A0A597F"/>
    <w:rsid w:val="6A1A3E14"/>
    <w:rsid w:val="6A2065A1"/>
    <w:rsid w:val="6A4F758F"/>
    <w:rsid w:val="6A576E16"/>
    <w:rsid w:val="6A6F1133"/>
    <w:rsid w:val="6A7C4ACE"/>
    <w:rsid w:val="6A7C687C"/>
    <w:rsid w:val="6A813E93"/>
    <w:rsid w:val="6AA70E28"/>
    <w:rsid w:val="6AA81420"/>
    <w:rsid w:val="6AAE27AE"/>
    <w:rsid w:val="6AC3782C"/>
    <w:rsid w:val="6AC66C4D"/>
    <w:rsid w:val="6AD22940"/>
    <w:rsid w:val="6AE461D0"/>
    <w:rsid w:val="6AE77783"/>
    <w:rsid w:val="6B013EB9"/>
    <w:rsid w:val="6B0C237E"/>
    <w:rsid w:val="6B0D1BCA"/>
    <w:rsid w:val="6B19383A"/>
    <w:rsid w:val="6B2579D2"/>
    <w:rsid w:val="6B345861"/>
    <w:rsid w:val="6B5359D4"/>
    <w:rsid w:val="6B67752D"/>
    <w:rsid w:val="6B694EA9"/>
    <w:rsid w:val="6B6A7665"/>
    <w:rsid w:val="6B7F270D"/>
    <w:rsid w:val="6B8137BE"/>
    <w:rsid w:val="6B874966"/>
    <w:rsid w:val="6B881251"/>
    <w:rsid w:val="6B8E4F61"/>
    <w:rsid w:val="6BA063DE"/>
    <w:rsid w:val="6BAD2A66"/>
    <w:rsid w:val="6BBD045D"/>
    <w:rsid w:val="6BC35DED"/>
    <w:rsid w:val="6BC94930"/>
    <w:rsid w:val="6BF57B6C"/>
    <w:rsid w:val="6BF90031"/>
    <w:rsid w:val="6BF97573"/>
    <w:rsid w:val="6BFC151F"/>
    <w:rsid w:val="6C007039"/>
    <w:rsid w:val="6C0560A8"/>
    <w:rsid w:val="6C0D1789"/>
    <w:rsid w:val="6C150D37"/>
    <w:rsid w:val="6C173A4F"/>
    <w:rsid w:val="6C1D182D"/>
    <w:rsid w:val="6C1D4C18"/>
    <w:rsid w:val="6C1F1BB5"/>
    <w:rsid w:val="6C311483"/>
    <w:rsid w:val="6C47110C"/>
    <w:rsid w:val="6C4F5B8C"/>
    <w:rsid w:val="6C522FE7"/>
    <w:rsid w:val="6C547FF7"/>
    <w:rsid w:val="6C5555D7"/>
    <w:rsid w:val="6C6D37B0"/>
    <w:rsid w:val="6C6E39A6"/>
    <w:rsid w:val="6C911875"/>
    <w:rsid w:val="6C95040D"/>
    <w:rsid w:val="6CA541A6"/>
    <w:rsid w:val="6CA67BE1"/>
    <w:rsid w:val="6CB0280D"/>
    <w:rsid w:val="6CC85DA9"/>
    <w:rsid w:val="6CD4595D"/>
    <w:rsid w:val="6CDE2770"/>
    <w:rsid w:val="6CE6684F"/>
    <w:rsid w:val="6CE83532"/>
    <w:rsid w:val="6CEB1A97"/>
    <w:rsid w:val="6CF15E5F"/>
    <w:rsid w:val="6CF95571"/>
    <w:rsid w:val="6D044A09"/>
    <w:rsid w:val="6D0A3F6D"/>
    <w:rsid w:val="6D107530"/>
    <w:rsid w:val="6D38269A"/>
    <w:rsid w:val="6D390EC0"/>
    <w:rsid w:val="6D435B54"/>
    <w:rsid w:val="6D4713C4"/>
    <w:rsid w:val="6D4C4EA1"/>
    <w:rsid w:val="6D536D97"/>
    <w:rsid w:val="6D655CEE"/>
    <w:rsid w:val="6D7C46B1"/>
    <w:rsid w:val="6D9028D0"/>
    <w:rsid w:val="6D9B170F"/>
    <w:rsid w:val="6D9F5FA5"/>
    <w:rsid w:val="6DA06BCC"/>
    <w:rsid w:val="6DA94F7E"/>
    <w:rsid w:val="6DAA3701"/>
    <w:rsid w:val="6DAD5D63"/>
    <w:rsid w:val="6DC5343F"/>
    <w:rsid w:val="6DC566CE"/>
    <w:rsid w:val="6DCA5B51"/>
    <w:rsid w:val="6DD80BDE"/>
    <w:rsid w:val="6DD95D94"/>
    <w:rsid w:val="6DDE36D6"/>
    <w:rsid w:val="6DF402A1"/>
    <w:rsid w:val="6E0B38F0"/>
    <w:rsid w:val="6E0B7381"/>
    <w:rsid w:val="6E182D60"/>
    <w:rsid w:val="6E195F1A"/>
    <w:rsid w:val="6E2870F0"/>
    <w:rsid w:val="6E2E7E8E"/>
    <w:rsid w:val="6E2F0141"/>
    <w:rsid w:val="6E3A3324"/>
    <w:rsid w:val="6E492F1A"/>
    <w:rsid w:val="6E597DC9"/>
    <w:rsid w:val="6E600263"/>
    <w:rsid w:val="6E624451"/>
    <w:rsid w:val="6E692F47"/>
    <w:rsid w:val="6E6E4A79"/>
    <w:rsid w:val="6E767BAA"/>
    <w:rsid w:val="6E7A0DBC"/>
    <w:rsid w:val="6E7D55DC"/>
    <w:rsid w:val="6E8757F0"/>
    <w:rsid w:val="6E921CE9"/>
    <w:rsid w:val="6EA42846"/>
    <w:rsid w:val="6EAF1E0E"/>
    <w:rsid w:val="6ECC0310"/>
    <w:rsid w:val="6EDB124E"/>
    <w:rsid w:val="6EEF2C37"/>
    <w:rsid w:val="6F057CF9"/>
    <w:rsid w:val="6F0B6421"/>
    <w:rsid w:val="6F28705A"/>
    <w:rsid w:val="6F3F02C3"/>
    <w:rsid w:val="6F4436E1"/>
    <w:rsid w:val="6F4750C8"/>
    <w:rsid w:val="6F4B1DF4"/>
    <w:rsid w:val="6F543924"/>
    <w:rsid w:val="6F571666"/>
    <w:rsid w:val="6F5E29F5"/>
    <w:rsid w:val="6F616041"/>
    <w:rsid w:val="6F6B44C9"/>
    <w:rsid w:val="6F6C3363"/>
    <w:rsid w:val="6F7F141A"/>
    <w:rsid w:val="6F977CB5"/>
    <w:rsid w:val="6FAF4FFE"/>
    <w:rsid w:val="6FB53C04"/>
    <w:rsid w:val="6FCF3AC9"/>
    <w:rsid w:val="6FE063EA"/>
    <w:rsid w:val="6FE078AE"/>
    <w:rsid w:val="6FE729EA"/>
    <w:rsid w:val="7007358F"/>
    <w:rsid w:val="70076F03"/>
    <w:rsid w:val="70231A8E"/>
    <w:rsid w:val="70257533"/>
    <w:rsid w:val="70333948"/>
    <w:rsid w:val="704936A5"/>
    <w:rsid w:val="705067E1"/>
    <w:rsid w:val="7055204A"/>
    <w:rsid w:val="70602FEC"/>
    <w:rsid w:val="70787AE6"/>
    <w:rsid w:val="707C6950"/>
    <w:rsid w:val="70A1528F"/>
    <w:rsid w:val="70A636C9"/>
    <w:rsid w:val="70A70738"/>
    <w:rsid w:val="70A86A93"/>
    <w:rsid w:val="70AE3508"/>
    <w:rsid w:val="70C74167"/>
    <w:rsid w:val="70C86C1F"/>
    <w:rsid w:val="70D4442E"/>
    <w:rsid w:val="70D867D7"/>
    <w:rsid w:val="70D959E5"/>
    <w:rsid w:val="70EC16BF"/>
    <w:rsid w:val="70EC2098"/>
    <w:rsid w:val="70EE7DA8"/>
    <w:rsid w:val="710F2F80"/>
    <w:rsid w:val="711041C2"/>
    <w:rsid w:val="7132580E"/>
    <w:rsid w:val="71493231"/>
    <w:rsid w:val="71663BE2"/>
    <w:rsid w:val="716B1BD6"/>
    <w:rsid w:val="717E112C"/>
    <w:rsid w:val="719A548B"/>
    <w:rsid w:val="71A16BC9"/>
    <w:rsid w:val="71AE1903"/>
    <w:rsid w:val="71B52674"/>
    <w:rsid w:val="720B5784"/>
    <w:rsid w:val="722E363D"/>
    <w:rsid w:val="72306EC0"/>
    <w:rsid w:val="725119E5"/>
    <w:rsid w:val="72514A93"/>
    <w:rsid w:val="72541E8D"/>
    <w:rsid w:val="72784686"/>
    <w:rsid w:val="727A08EF"/>
    <w:rsid w:val="727A3C18"/>
    <w:rsid w:val="7298621E"/>
    <w:rsid w:val="729C32F3"/>
    <w:rsid w:val="72A7531A"/>
    <w:rsid w:val="72AC3A77"/>
    <w:rsid w:val="72BC22AC"/>
    <w:rsid w:val="72BF541A"/>
    <w:rsid w:val="72DF2CFF"/>
    <w:rsid w:val="72E25F9B"/>
    <w:rsid w:val="72E70F53"/>
    <w:rsid w:val="72E7174A"/>
    <w:rsid w:val="72EE408F"/>
    <w:rsid w:val="72F958E2"/>
    <w:rsid w:val="73125FD0"/>
    <w:rsid w:val="731768EE"/>
    <w:rsid w:val="73465C7A"/>
    <w:rsid w:val="735812E0"/>
    <w:rsid w:val="73590214"/>
    <w:rsid w:val="735935F3"/>
    <w:rsid w:val="735A2CB3"/>
    <w:rsid w:val="736D76AA"/>
    <w:rsid w:val="73716C71"/>
    <w:rsid w:val="737532B7"/>
    <w:rsid w:val="737C2C8C"/>
    <w:rsid w:val="737E10A7"/>
    <w:rsid w:val="738B6B00"/>
    <w:rsid w:val="73A330CC"/>
    <w:rsid w:val="73A62BBC"/>
    <w:rsid w:val="73AD5CF9"/>
    <w:rsid w:val="73B40E35"/>
    <w:rsid w:val="73CA1773"/>
    <w:rsid w:val="73CD6FD8"/>
    <w:rsid w:val="73D74EB5"/>
    <w:rsid w:val="73D826E8"/>
    <w:rsid w:val="73D84708"/>
    <w:rsid w:val="73E01C2A"/>
    <w:rsid w:val="73F816C8"/>
    <w:rsid w:val="74044A4B"/>
    <w:rsid w:val="74100036"/>
    <w:rsid w:val="741E3048"/>
    <w:rsid w:val="74315285"/>
    <w:rsid w:val="743C7E11"/>
    <w:rsid w:val="745368A0"/>
    <w:rsid w:val="745A113A"/>
    <w:rsid w:val="745A5839"/>
    <w:rsid w:val="74640AAD"/>
    <w:rsid w:val="74642285"/>
    <w:rsid w:val="74725B06"/>
    <w:rsid w:val="748D7DBE"/>
    <w:rsid w:val="74967430"/>
    <w:rsid w:val="74AD2C65"/>
    <w:rsid w:val="74C165BB"/>
    <w:rsid w:val="74CB0B2C"/>
    <w:rsid w:val="74DA7617"/>
    <w:rsid w:val="75003489"/>
    <w:rsid w:val="75110645"/>
    <w:rsid w:val="75232716"/>
    <w:rsid w:val="752E2E69"/>
    <w:rsid w:val="753F55DD"/>
    <w:rsid w:val="754D1541"/>
    <w:rsid w:val="75546F0E"/>
    <w:rsid w:val="75681D33"/>
    <w:rsid w:val="75683A40"/>
    <w:rsid w:val="756920F3"/>
    <w:rsid w:val="756A08DC"/>
    <w:rsid w:val="756A5E7A"/>
    <w:rsid w:val="758D5049"/>
    <w:rsid w:val="75967508"/>
    <w:rsid w:val="759712C6"/>
    <w:rsid w:val="75A1188D"/>
    <w:rsid w:val="75B07D22"/>
    <w:rsid w:val="75B4494A"/>
    <w:rsid w:val="75C14F47"/>
    <w:rsid w:val="75D21F0E"/>
    <w:rsid w:val="75E53983"/>
    <w:rsid w:val="75E65816"/>
    <w:rsid w:val="75E8126A"/>
    <w:rsid w:val="75E825C1"/>
    <w:rsid w:val="76031C37"/>
    <w:rsid w:val="76296886"/>
    <w:rsid w:val="762A7F2C"/>
    <w:rsid w:val="763B31A3"/>
    <w:rsid w:val="764E625E"/>
    <w:rsid w:val="765032DA"/>
    <w:rsid w:val="766905FD"/>
    <w:rsid w:val="76964765"/>
    <w:rsid w:val="769A1F19"/>
    <w:rsid w:val="76A827A7"/>
    <w:rsid w:val="76D935B0"/>
    <w:rsid w:val="76E4419B"/>
    <w:rsid w:val="770352E0"/>
    <w:rsid w:val="77064B05"/>
    <w:rsid w:val="772649A0"/>
    <w:rsid w:val="773329B9"/>
    <w:rsid w:val="773A78A3"/>
    <w:rsid w:val="773D55E5"/>
    <w:rsid w:val="774312C7"/>
    <w:rsid w:val="77536BB7"/>
    <w:rsid w:val="775748F9"/>
    <w:rsid w:val="7764453D"/>
    <w:rsid w:val="77707FFC"/>
    <w:rsid w:val="777C430C"/>
    <w:rsid w:val="778356EE"/>
    <w:rsid w:val="778D20C9"/>
    <w:rsid w:val="77903967"/>
    <w:rsid w:val="77974721"/>
    <w:rsid w:val="77990AFB"/>
    <w:rsid w:val="77A45665"/>
    <w:rsid w:val="77B84C6C"/>
    <w:rsid w:val="77BC475C"/>
    <w:rsid w:val="77C2696E"/>
    <w:rsid w:val="77CC1A22"/>
    <w:rsid w:val="77CC6B1A"/>
    <w:rsid w:val="77E52E18"/>
    <w:rsid w:val="77EC4C26"/>
    <w:rsid w:val="77F54022"/>
    <w:rsid w:val="77F9775E"/>
    <w:rsid w:val="78140CF8"/>
    <w:rsid w:val="781B42C8"/>
    <w:rsid w:val="7828596B"/>
    <w:rsid w:val="783256B5"/>
    <w:rsid w:val="78397B5B"/>
    <w:rsid w:val="7840260B"/>
    <w:rsid w:val="78411105"/>
    <w:rsid w:val="78415502"/>
    <w:rsid w:val="78514DBB"/>
    <w:rsid w:val="78576DA0"/>
    <w:rsid w:val="7858069A"/>
    <w:rsid w:val="785B089F"/>
    <w:rsid w:val="78783AE0"/>
    <w:rsid w:val="787B1FC5"/>
    <w:rsid w:val="787C3EEC"/>
    <w:rsid w:val="787E7C64"/>
    <w:rsid w:val="78814FFE"/>
    <w:rsid w:val="788445BD"/>
    <w:rsid w:val="78A43B6E"/>
    <w:rsid w:val="78AA2807"/>
    <w:rsid w:val="78AE1E1E"/>
    <w:rsid w:val="78EF0B61"/>
    <w:rsid w:val="78FD502C"/>
    <w:rsid w:val="79022643"/>
    <w:rsid w:val="79036768"/>
    <w:rsid w:val="791F159A"/>
    <w:rsid w:val="794A6948"/>
    <w:rsid w:val="7950097F"/>
    <w:rsid w:val="79556147"/>
    <w:rsid w:val="795A5FDB"/>
    <w:rsid w:val="795F7248"/>
    <w:rsid w:val="79625346"/>
    <w:rsid w:val="797F0E4B"/>
    <w:rsid w:val="799C2A97"/>
    <w:rsid w:val="79AF4C07"/>
    <w:rsid w:val="79C21F95"/>
    <w:rsid w:val="79C35F41"/>
    <w:rsid w:val="79C43D9C"/>
    <w:rsid w:val="79C92052"/>
    <w:rsid w:val="79D97847"/>
    <w:rsid w:val="79DB357E"/>
    <w:rsid w:val="79E32A48"/>
    <w:rsid w:val="79EB57DC"/>
    <w:rsid w:val="79F36E99"/>
    <w:rsid w:val="7A0E4EF2"/>
    <w:rsid w:val="7A280C5D"/>
    <w:rsid w:val="7A391D45"/>
    <w:rsid w:val="7A5A1319"/>
    <w:rsid w:val="7A684B32"/>
    <w:rsid w:val="7A78524F"/>
    <w:rsid w:val="7A930A53"/>
    <w:rsid w:val="7A980B94"/>
    <w:rsid w:val="7AA37E55"/>
    <w:rsid w:val="7AA5597C"/>
    <w:rsid w:val="7AB14320"/>
    <w:rsid w:val="7AC36E7E"/>
    <w:rsid w:val="7ADB0320"/>
    <w:rsid w:val="7ADC0FD3"/>
    <w:rsid w:val="7AF638C2"/>
    <w:rsid w:val="7AFA710B"/>
    <w:rsid w:val="7AFC6FB6"/>
    <w:rsid w:val="7AFE016B"/>
    <w:rsid w:val="7B0D67CF"/>
    <w:rsid w:val="7B110E84"/>
    <w:rsid w:val="7B1953D2"/>
    <w:rsid w:val="7B2A7C2F"/>
    <w:rsid w:val="7B42766E"/>
    <w:rsid w:val="7B580C40"/>
    <w:rsid w:val="7B5A49B8"/>
    <w:rsid w:val="7B5B3E8D"/>
    <w:rsid w:val="7B6112F3"/>
    <w:rsid w:val="7B6E5147"/>
    <w:rsid w:val="7B8276BF"/>
    <w:rsid w:val="7B8408D3"/>
    <w:rsid w:val="7B8C6B3B"/>
    <w:rsid w:val="7B933648"/>
    <w:rsid w:val="7B964991"/>
    <w:rsid w:val="7B97389C"/>
    <w:rsid w:val="7B9B0B33"/>
    <w:rsid w:val="7BA5075E"/>
    <w:rsid w:val="7BAF18BE"/>
    <w:rsid w:val="7BBA2129"/>
    <w:rsid w:val="7BC03619"/>
    <w:rsid w:val="7BC6204D"/>
    <w:rsid w:val="7BC657AB"/>
    <w:rsid w:val="7BDF310F"/>
    <w:rsid w:val="7BDF340C"/>
    <w:rsid w:val="7BE73D72"/>
    <w:rsid w:val="7BFD3595"/>
    <w:rsid w:val="7C073499"/>
    <w:rsid w:val="7C074673"/>
    <w:rsid w:val="7C143A76"/>
    <w:rsid w:val="7C2522CA"/>
    <w:rsid w:val="7C3D1563"/>
    <w:rsid w:val="7C492048"/>
    <w:rsid w:val="7C5B1DFC"/>
    <w:rsid w:val="7C6D071B"/>
    <w:rsid w:val="7C79393B"/>
    <w:rsid w:val="7C866193"/>
    <w:rsid w:val="7C887453"/>
    <w:rsid w:val="7C8F243F"/>
    <w:rsid w:val="7C947033"/>
    <w:rsid w:val="7C964C41"/>
    <w:rsid w:val="7C991510"/>
    <w:rsid w:val="7C9C690A"/>
    <w:rsid w:val="7CAB77AD"/>
    <w:rsid w:val="7CB617E3"/>
    <w:rsid w:val="7CB65C1E"/>
    <w:rsid w:val="7CC0265F"/>
    <w:rsid w:val="7CD3299D"/>
    <w:rsid w:val="7CEC7720"/>
    <w:rsid w:val="7CED7C9A"/>
    <w:rsid w:val="7CEF7382"/>
    <w:rsid w:val="7D004FC6"/>
    <w:rsid w:val="7D051418"/>
    <w:rsid w:val="7D0821F2"/>
    <w:rsid w:val="7D250CC4"/>
    <w:rsid w:val="7D342FE7"/>
    <w:rsid w:val="7D44190F"/>
    <w:rsid w:val="7D497CCB"/>
    <w:rsid w:val="7D502EE3"/>
    <w:rsid w:val="7D543484"/>
    <w:rsid w:val="7D567401"/>
    <w:rsid w:val="7D7D5C6F"/>
    <w:rsid w:val="7D83069C"/>
    <w:rsid w:val="7D8775BA"/>
    <w:rsid w:val="7D904874"/>
    <w:rsid w:val="7D9D293A"/>
    <w:rsid w:val="7DAF12EE"/>
    <w:rsid w:val="7DB52379"/>
    <w:rsid w:val="7DBA173E"/>
    <w:rsid w:val="7DBE01F2"/>
    <w:rsid w:val="7DBE20E8"/>
    <w:rsid w:val="7DBE29EF"/>
    <w:rsid w:val="7DDA1DE0"/>
    <w:rsid w:val="7DE7403B"/>
    <w:rsid w:val="7DF06F0E"/>
    <w:rsid w:val="7DF10ED8"/>
    <w:rsid w:val="7E2404B3"/>
    <w:rsid w:val="7E2B1E68"/>
    <w:rsid w:val="7E2D4DD6"/>
    <w:rsid w:val="7E3029F8"/>
    <w:rsid w:val="7E3A63DB"/>
    <w:rsid w:val="7E472433"/>
    <w:rsid w:val="7E4E01DD"/>
    <w:rsid w:val="7E5008E7"/>
    <w:rsid w:val="7E5C27F5"/>
    <w:rsid w:val="7E5C59B5"/>
    <w:rsid w:val="7E624AF7"/>
    <w:rsid w:val="7E747C88"/>
    <w:rsid w:val="7E786B3E"/>
    <w:rsid w:val="7E7933A7"/>
    <w:rsid w:val="7E7A39CC"/>
    <w:rsid w:val="7EAF254D"/>
    <w:rsid w:val="7EB43D17"/>
    <w:rsid w:val="7EB663A9"/>
    <w:rsid w:val="7EBA3625"/>
    <w:rsid w:val="7EC42148"/>
    <w:rsid w:val="7ECD781F"/>
    <w:rsid w:val="7EE56FE1"/>
    <w:rsid w:val="7EF34F96"/>
    <w:rsid w:val="7F090428"/>
    <w:rsid w:val="7F14777D"/>
    <w:rsid w:val="7F183FF7"/>
    <w:rsid w:val="7F2623F3"/>
    <w:rsid w:val="7F3C54BA"/>
    <w:rsid w:val="7F5259A6"/>
    <w:rsid w:val="7F552A10"/>
    <w:rsid w:val="7F61222B"/>
    <w:rsid w:val="7F77201C"/>
    <w:rsid w:val="7F83434C"/>
    <w:rsid w:val="7F84697A"/>
    <w:rsid w:val="7F8B4A04"/>
    <w:rsid w:val="7FAE52D2"/>
    <w:rsid w:val="7FB34697"/>
    <w:rsid w:val="7FCE14D1"/>
    <w:rsid w:val="7FD011E5"/>
    <w:rsid w:val="7FD64F8C"/>
    <w:rsid w:val="7FDA7E75"/>
    <w:rsid w:val="7FDB3475"/>
    <w:rsid w:val="7FDF548C"/>
    <w:rsid w:val="7FF212CB"/>
    <w:rsid w:val="7FFA1E2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71"/>
    <w:qFormat/>
    <w:uiPriority w:val="0"/>
    <w:pPr>
      <w:keepNext/>
      <w:keepLines/>
      <w:spacing w:before="340" w:after="330" w:line="576" w:lineRule="auto"/>
      <w:jc w:val="center"/>
      <w:outlineLvl w:val="0"/>
    </w:pPr>
    <w:rPr>
      <w:rFonts w:eastAsia="黑体"/>
      <w:b/>
      <w:kern w:val="44"/>
      <w:sz w:val="36"/>
    </w:rPr>
  </w:style>
  <w:style w:type="paragraph" w:styleId="3">
    <w:name w:val="heading 2"/>
    <w:basedOn w:val="1"/>
    <w:next w:val="1"/>
    <w:link w:val="72"/>
    <w:qFormat/>
    <w:uiPriority w:val="0"/>
    <w:pPr>
      <w:keepNext/>
      <w:keepLines/>
      <w:spacing w:before="260" w:after="260" w:line="413" w:lineRule="auto"/>
      <w:jc w:val="center"/>
      <w:outlineLvl w:val="1"/>
    </w:pPr>
    <w:rPr>
      <w:rFonts w:ascii="Cambria" w:hAnsi="Cambria"/>
      <w:b/>
      <w:bCs/>
      <w:kern w:val="0"/>
      <w:sz w:val="32"/>
      <w:szCs w:val="32"/>
    </w:rPr>
  </w:style>
  <w:style w:type="paragraph" w:styleId="4">
    <w:name w:val="heading 3"/>
    <w:basedOn w:val="1"/>
    <w:next w:val="1"/>
    <w:link w:val="73"/>
    <w:qFormat/>
    <w:uiPriority w:val="0"/>
    <w:pPr>
      <w:keepNext/>
      <w:keepLines/>
      <w:tabs>
        <w:tab w:val="left" w:pos="5852"/>
      </w:tabs>
      <w:snapToGrid w:val="0"/>
      <w:spacing w:before="360" w:line="240" w:lineRule="exact"/>
      <w:ind w:left="425" w:hanging="425"/>
      <w:outlineLvl w:val="2"/>
    </w:pPr>
    <w:rPr>
      <w:b/>
      <w:sz w:val="28"/>
    </w:rPr>
  </w:style>
  <w:style w:type="paragraph" w:styleId="5">
    <w:name w:val="heading 4"/>
    <w:basedOn w:val="1"/>
    <w:next w:val="1"/>
    <w:link w:val="74"/>
    <w:qFormat/>
    <w:uiPriority w:val="0"/>
    <w:pPr>
      <w:keepNext/>
      <w:keepLines/>
      <w:tabs>
        <w:tab w:val="left" w:pos="425"/>
      </w:tabs>
      <w:spacing w:before="360" w:line="240" w:lineRule="exact"/>
      <w:ind w:left="425" w:hanging="425"/>
      <w:outlineLvl w:val="3"/>
    </w:pPr>
    <w:rPr>
      <w:rFonts w:ascii="宋体"/>
      <w:b/>
      <w:sz w:val="28"/>
    </w:rPr>
  </w:style>
  <w:style w:type="paragraph" w:styleId="6">
    <w:name w:val="heading 5"/>
    <w:basedOn w:val="1"/>
    <w:next w:val="7"/>
    <w:link w:val="75"/>
    <w:qFormat/>
    <w:uiPriority w:val="0"/>
    <w:pPr>
      <w:keepNext/>
      <w:keepLines/>
      <w:spacing w:before="280" w:after="290" w:line="372" w:lineRule="auto"/>
      <w:outlineLvl w:val="4"/>
    </w:pPr>
    <w:rPr>
      <w:b/>
      <w:sz w:val="28"/>
    </w:rPr>
  </w:style>
  <w:style w:type="paragraph" w:styleId="8">
    <w:name w:val="heading 6"/>
    <w:basedOn w:val="1"/>
    <w:next w:val="1"/>
    <w:link w:val="77"/>
    <w:qFormat/>
    <w:uiPriority w:val="0"/>
    <w:pPr>
      <w:keepNext/>
      <w:keepLines/>
      <w:spacing w:before="240" w:after="64" w:line="317" w:lineRule="auto"/>
      <w:outlineLvl w:val="5"/>
    </w:pPr>
    <w:rPr>
      <w:rFonts w:ascii="Arial" w:hAnsi="Arial" w:eastAsia="黑体"/>
      <w:b/>
      <w:sz w:val="24"/>
    </w:rPr>
  </w:style>
  <w:style w:type="paragraph" w:styleId="9">
    <w:name w:val="heading 7"/>
    <w:basedOn w:val="1"/>
    <w:next w:val="7"/>
    <w:link w:val="78"/>
    <w:qFormat/>
    <w:uiPriority w:val="0"/>
    <w:pPr>
      <w:keepNext/>
      <w:keepLines/>
      <w:spacing w:before="240" w:after="64" w:line="317" w:lineRule="auto"/>
      <w:outlineLvl w:val="6"/>
    </w:pPr>
    <w:rPr>
      <w:b/>
      <w:sz w:val="24"/>
    </w:rPr>
  </w:style>
  <w:style w:type="paragraph" w:styleId="10">
    <w:name w:val="heading 8"/>
    <w:basedOn w:val="1"/>
    <w:next w:val="7"/>
    <w:qFormat/>
    <w:uiPriority w:val="0"/>
    <w:pPr>
      <w:keepNext/>
      <w:keepLines/>
      <w:spacing w:before="240" w:after="64" w:line="317" w:lineRule="auto"/>
      <w:outlineLvl w:val="7"/>
    </w:pPr>
    <w:rPr>
      <w:rFonts w:ascii="Arial" w:hAnsi="Arial" w:eastAsia="黑体"/>
      <w:sz w:val="24"/>
    </w:rPr>
  </w:style>
  <w:style w:type="paragraph" w:styleId="11">
    <w:name w:val="heading 9"/>
    <w:basedOn w:val="1"/>
    <w:next w:val="7"/>
    <w:qFormat/>
    <w:uiPriority w:val="0"/>
    <w:pPr>
      <w:keepNext/>
      <w:keepLines/>
      <w:spacing w:before="240" w:after="64" w:line="317" w:lineRule="auto"/>
      <w:outlineLvl w:val="8"/>
    </w:pPr>
    <w:rPr>
      <w:rFonts w:ascii="Arial" w:hAnsi="Arial" w:eastAsia="黑体"/>
    </w:rPr>
  </w:style>
  <w:style w:type="character" w:default="1" w:styleId="51">
    <w:name w:val="Default Paragraph Font"/>
    <w:qFormat/>
    <w:uiPriority w:val="0"/>
  </w:style>
  <w:style w:type="table" w:default="1" w:styleId="49">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Normal Indent"/>
    <w:basedOn w:val="1"/>
    <w:link w:val="76"/>
    <w:qFormat/>
    <w:uiPriority w:val="0"/>
    <w:pPr>
      <w:ind w:firstLine="420"/>
    </w:pPr>
  </w:style>
  <w:style w:type="paragraph" w:styleId="12">
    <w:name w:val="List 3"/>
    <w:basedOn w:val="1"/>
    <w:qFormat/>
    <w:uiPriority w:val="0"/>
    <w:pPr>
      <w:ind w:left="100" w:leftChars="400" w:hanging="200" w:hangingChars="200"/>
    </w:pPr>
    <w:rPr>
      <w:szCs w:val="24"/>
    </w:rPr>
  </w:style>
  <w:style w:type="paragraph" w:styleId="13">
    <w:name w:val="toc 7"/>
    <w:basedOn w:val="1"/>
    <w:next w:val="1"/>
    <w:qFormat/>
    <w:uiPriority w:val="0"/>
    <w:pPr>
      <w:ind w:left="1260"/>
      <w:jc w:val="left"/>
    </w:pPr>
    <w:rPr>
      <w:sz w:val="18"/>
      <w:szCs w:val="18"/>
    </w:rPr>
  </w:style>
  <w:style w:type="paragraph" w:styleId="14">
    <w:name w:val="Note Heading"/>
    <w:basedOn w:val="1"/>
    <w:next w:val="1"/>
    <w:qFormat/>
    <w:uiPriority w:val="0"/>
    <w:pPr>
      <w:adjustRightInd w:val="0"/>
      <w:jc w:val="center"/>
      <w:textAlignment w:val="baseline"/>
    </w:pPr>
    <w:rPr>
      <w:rFonts w:ascii="宋体" w:hAnsi="宋体" w:eastAsia="Times New Roman"/>
      <w:kern w:val="0"/>
      <w:sz w:val="24"/>
      <w:szCs w:val="24"/>
    </w:rPr>
  </w:style>
  <w:style w:type="paragraph" w:styleId="15">
    <w:name w:val="List Bullet 4"/>
    <w:basedOn w:val="1"/>
    <w:qFormat/>
    <w:uiPriority w:val="0"/>
    <w:pPr>
      <w:numPr>
        <w:ilvl w:val="0"/>
        <w:numId w:val="1"/>
      </w:numPr>
      <w:tabs>
        <w:tab w:val="left" w:pos="1620"/>
      </w:tabs>
    </w:pPr>
    <w:rPr>
      <w:szCs w:val="24"/>
    </w:rPr>
  </w:style>
  <w:style w:type="paragraph" w:styleId="16">
    <w:name w:val="caption"/>
    <w:basedOn w:val="1"/>
    <w:next w:val="1"/>
    <w:qFormat/>
    <w:uiPriority w:val="0"/>
    <w:pPr>
      <w:spacing w:before="152" w:after="160"/>
    </w:pPr>
    <w:rPr>
      <w:rFonts w:ascii="Arial" w:hAnsi="Arial" w:eastAsia="黑体" w:cs="Arial"/>
      <w:snapToGrid w:val="0"/>
      <w:kern w:val="0"/>
      <w:sz w:val="20"/>
    </w:rPr>
  </w:style>
  <w:style w:type="paragraph" w:styleId="17">
    <w:name w:val="Document Map"/>
    <w:basedOn w:val="1"/>
    <w:qFormat/>
    <w:uiPriority w:val="0"/>
    <w:pPr>
      <w:shd w:val="clear" w:color="auto" w:fill="000080"/>
    </w:pPr>
  </w:style>
  <w:style w:type="paragraph" w:styleId="18">
    <w:name w:val="annotation text"/>
    <w:basedOn w:val="1"/>
    <w:qFormat/>
    <w:uiPriority w:val="0"/>
    <w:pPr>
      <w:jc w:val="left"/>
    </w:pPr>
  </w:style>
  <w:style w:type="paragraph" w:styleId="19">
    <w:name w:val="Body Text 3"/>
    <w:basedOn w:val="1"/>
    <w:qFormat/>
    <w:uiPriority w:val="0"/>
    <w:pPr>
      <w:adjustRightInd w:val="0"/>
      <w:spacing w:line="720" w:lineRule="exact"/>
      <w:jc w:val="center"/>
      <w:textAlignment w:val="baseline"/>
    </w:pPr>
    <w:rPr>
      <w:rFonts w:ascii="黑体" w:eastAsia="黑体"/>
      <w:sz w:val="84"/>
    </w:rPr>
  </w:style>
  <w:style w:type="paragraph" w:styleId="20">
    <w:name w:val="Body Text"/>
    <w:basedOn w:val="1"/>
    <w:next w:val="1"/>
    <w:qFormat/>
    <w:uiPriority w:val="0"/>
    <w:pPr>
      <w:spacing w:line="380" w:lineRule="exact"/>
    </w:pPr>
    <w:rPr>
      <w:sz w:val="24"/>
    </w:rPr>
  </w:style>
  <w:style w:type="paragraph" w:styleId="21">
    <w:name w:val="Body Text Indent"/>
    <w:basedOn w:val="1"/>
    <w:next w:val="1"/>
    <w:qFormat/>
    <w:uiPriority w:val="0"/>
    <w:pPr>
      <w:spacing w:after="120" w:afterLines="0" w:afterAutospacing="0"/>
      <w:ind w:left="420" w:leftChars="200"/>
    </w:pPr>
  </w:style>
  <w:style w:type="paragraph" w:styleId="22">
    <w:name w:val="List 2"/>
    <w:basedOn w:val="1"/>
    <w:qFormat/>
    <w:uiPriority w:val="0"/>
    <w:pPr>
      <w:ind w:left="100" w:leftChars="200" w:hanging="200" w:hangingChars="200"/>
    </w:pPr>
    <w:rPr>
      <w:szCs w:val="24"/>
    </w:rPr>
  </w:style>
  <w:style w:type="paragraph" w:styleId="23">
    <w:name w:val="Block Text"/>
    <w:basedOn w:val="1"/>
    <w:qFormat/>
    <w:uiPriority w:val="0"/>
    <w:pPr>
      <w:ind w:left="392" w:leftChars="131" w:right="-34" w:rightChars="-16" w:hanging="117" w:hangingChars="65"/>
    </w:pPr>
    <w:rPr>
      <w:sz w:val="18"/>
      <w:szCs w:val="24"/>
    </w:rPr>
  </w:style>
  <w:style w:type="paragraph" w:styleId="24">
    <w:name w:val="List Bullet 2"/>
    <w:basedOn w:val="1"/>
    <w:qFormat/>
    <w:uiPriority w:val="0"/>
    <w:pPr>
      <w:tabs>
        <w:tab w:val="left" w:pos="780"/>
      </w:tabs>
      <w:adjustRightInd w:val="0"/>
      <w:spacing w:line="500" w:lineRule="exact"/>
      <w:ind w:firstLine="562" w:firstLineChars="200"/>
      <w:textAlignment w:val="baseline"/>
    </w:pPr>
    <w:rPr>
      <w:rFonts w:ascii="宋体" w:hAnsi="宋体"/>
      <w:b/>
      <w:sz w:val="28"/>
      <w:szCs w:val="28"/>
    </w:rPr>
  </w:style>
  <w:style w:type="paragraph" w:styleId="25">
    <w:name w:val="toc 5"/>
    <w:basedOn w:val="1"/>
    <w:next w:val="1"/>
    <w:qFormat/>
    <w:uiPriority w:val="0"/>
    <w:pPr>
      <w:ind w:left="840"/>
      <w:jc w:val="left"/>
    </w:pPr>
    <w:rPr>
      <w:sz w:val="18"/>
      <w:szCs w:val="18"/>
    </w:rPr>
  </w:style>
  <w:style w:type="paragraph" w:styleId="26">
    <w:name w:val="toc 3"/>
    <w:basedOn w:val="1"/>
    <w:next w:val="1"/>
    <w:qFormat/>
    <w:uiPriority w:val="0"/>
    <w:pPr>
      <w:ind w:leftChars="400"/>
    </w:pPr>
    <w:rPr>
      <w:szCs w:val="24"/>
    </w:rPr>
  </w:style>
  <w:style w:type="paragraph" w:styleId="27">
    <w:name w:val="Plain Text"/>
    <w:basedOn w:val="1"/>
    <w:link w:val="79"/>
    <w:qFormat/>
    <w:uiPriority w:val="0"/>
    <w:rPr>
      <w:rFonts w:ascii="宋体" w:hAnsi="Courier New"/>
    </w:rPr>
  </w:style>
  <w:style w:type="paragraph" w:styleId="28">
    <w:name w:val="toc 8"/>
    <w:basedOn w:val="1"/>
    <w:next w:val="1"/>
    <w:qFormat/>
    <w:uiPriority w:val="0"/>
    <w:pPr>
      <w:ind w:left="1470"/>
      <w:jc w:val="left"/>
    </w:pPr>
    <w:rPr>
      <w:sz w:val="18"/>
      <w:szCs w:val="18"/>
    </w:rPr>
  </w:style>
  <w:style w:type="paragraph" w:styleId="29">
    <w:name w:val="Date"/>
    <w:basedOn w:val="1"/>
    <w:next w:val="1"/>
    <w:link w:val="80"/>
    <w:qFormat/>
    <w:uiPriority w:val="0"/>
    <w:rPr>
      <w:sz w:val="28"/>
    </w:rPr>
  </w:style>
  <w:style w:type="paragraph" w:styleId="30">
    <w:name w:val="Body Text Indent 2"/>
    <w:basedOn w:val="1"/>
    <w:qFormat/>
    <w:uiPriority w:val="0"/>
    <w:pPr>
      <w:spacing w:after="120" w:afterLines="0" w:afterAutospacing="0" w:line="480" w:lineRule="auto"/>
      <w:ind w:left="420" w:leftChars="200"/>
    </w:pPr>
  </w:style>
  <w:style w:type="paragraph" w:styleId="31">
    <w:name w:val="Balloon Text"/>
    <w:basedOn w:val="1"/>
    <w:qFormat/>
    <w:uiPriority w:val="0"/>
    <w:rPr>
      <w:sz w:val="18"/>
    </w:rPr>
  </w:style>
  <w:style w:type="paragraph" w:styleId="32">
    <w:name w:val="footer"/>
    <w:basedOn w:val="1"/>
    <w:qFormat/>
    <w:uiPriority w:val="0"/>
    <w:pPr>
      <w:tabs>
        <w:tab w:val="center" w:pos="4153"/>
        <w:tab w:val="right" w:pos="8306"/>
      </w:tabs>
      <w:snapToGrid w:val="0"/>
      <w:jc w:val="left"/>
    </w:pPr>
    <w:rPr>
      <w:sz w:val="18"/>
    </w:rPr>
  </w:style>
  <w:style w:type="paragraph" w:styleId="33">
    <w:name w:val="envelope return"/>
    <w:basedOn w:val="1"/>
    <w:qFormat/>
    <w:uiPriority w:val="0"/>
    <w:pPr>
      <w:snapToGrid w:val="0"/>
    </w:pPr>
    <w:rPr>
      <w:rFonts w:ascii="Arial" w:hAnsi="Arial"/>
    </w:rPr>
  </w:style>
  <w:style w:type="paragraph" w:styleId="34">
    <w:name w:val="header"/>
    <w:basedOn w:val="1"/>
    <w:qFormat/>
    <w:uiPriority w:val="0"/>
    <w:pPr>
      <w:pBdr>
        <w:bottom w:val="single" w:color="auto" w:sz="6" w:space="1"/>
      </w:pBdr>
      <w:tabs>
        <w:tab w:val="center" w:pos="4153"/>
        <w:tab w:val="right" w:pos="8306"/>
      </w:tabs>
      <w:snapToGrid w:val="0"/>
      <w:jc w:val="center"/>
    </w:pPr>
    <w:rPr>
      <w:sz w:val="18"/>
    </w:rPr>
  </w:style>
  <w:style w:type="paragraph" w:styleId="35">
    <w:name w:val="toc 1"/>
    <w:basedOn w:val="1"/>
    <w:next w:val="1"/>
    <w:qFormat/>
    <w:uiPriority w:val="0"/>
  </w:style>
  <w:style w:type="paragraph" w:styleId="36">
    <w:name w:val="toc 4"/>
    <w:basedOn w:val="1"/>
    <w:next w:val="1"/>
    <w:qFormat/>
    <w:uiPriority w:val="0"/>
    <w:pPr>
      <w:ind w:left="630"/>
      <w:jc w:val="left"/>
    </w:pPr>
    <w:rPr>
      <w:sz w:val="18"/>
      <w:szCs w:val="18"/>
    </w:rPr>
  </w:style>
  <w:style w:type="paragraph" w:styleId="37">
    <w:name w:val="Subtitle"/>
    <w:basedOn w:val="1"/>
    <w:qFormat/>
    <w:uiPriority w:val="0"/>
    <w:pPr>
      <w:keepNext/>
      <w:widowControl/>
      <w:suppressLineNumbers/>
      <w:suppressAutoHyphens/>
      <w:adjustRightInd w:val="0"/>
      <w:jc w:val="center"/>
      <w:textAlignment w:val="baseline"/>
    </w:pPr>
    <w:rPr>
      <w:rFonts w:ascii="宋体" w:hAnsi="Courier New"/>
      <w:szCs w:val="24"/>
    </w:rPr>
  </w:style>
  <w:style w:type="paragraph" w:styleId="38">
    <w:name w:val="toc 6"/>
    <w:basedOn w:val="1"/>
    <w:next w:val="1"/>
    <w:qFormat/>
    <w:uiPriority w:val="0"/>
    <w:pPr>
      <w:ind w:left="1050"/>
      <w:jc w:val="left"/>
    </w:pPr>
    <w:rPr>
      <w:sz w:val="18"/>
      <w:szCs w:val="18"/>
    </w:rPr>
  </w:style>
  <w:style w:type="paragraph" w:styleId="39">
    <w:name w:val="Body Text Indent 3"/>
    <w:basedOn w:val="1"/>
    <w:qFormat/>
    <w:uiPriority w:val="0"/>
    <w:pPr>
      <w:ind w:firstLine="560" w:firstLineChars="200"/>
    </w:pPr>
    <w:rPr>
      <w:rFonts w:ascii="Arial" w:hAnsi="Arial"/>
      <w:color w:val="000000"/>
      <w:sz w:val="28"/>
      <w:szCs w:val="24"/>
    </w:rPr>
  </w:style>
  <w:style w:type="paragraph" w:styleId="40">
    <w:name w:val="toc 2"/>
    <w:basedOn w:val="1"/>
    <w:next w:val="1"/>
    <w:qFormat/>
    <w:uiPriority w:val="0"/>
    <w:pPr>
      <w:ind w:left="420" w:leftChars="200"/>
    </w:pPr>
  </w:style>
  <w:style w:type="paragraph" w:styleId="41">
    <w:name w:val="toc 9"/>
    <w:basedOn w:val="1"/>
    <w:next w:val="1"/>
    <w:qFormat/>
    <w:uiPriority w:val="0"/>
    <w:pPr>
      <w:ind w:left="1680"/>
      <w:jc w:val="left"/>
    </w:pPr>
    <w:rPr>
      <w:sz w:val="18"/>
      <w:szCs w:val="18"/>
    </w:rPr>
  </w:style>
  <w:style w:type="paragraph" w:styleId="42">
    <w:name w:val="Body Text 2"/>
    <w:basedOn w:val="1"/>
    <w:qFormat/>
    <w:uiPriority w:val="0"/>
    <w:pPr>
      <w:adjustRightInd w:val="0"/>
      <w:snapToGrid w:val="0"/>
      <w:spacing w:line="360" w:lineRule="exact"/>
    </w:pPr>
    <w:rPr>
      <w:rFonts w:ascii="宋体" w:hAnsi="宋体"/>
      <w:color w:val="000000"/>
      <w:sz w:val="24"/>
      <w:szCs w:val="24"/>
    </w:rPr>
  </w:style>
  <w:style w:type="paragraph" w:styleId="43">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44">
    <w:name w:val="Normal (Web)"/>
    <w:basedOn w:val="1"/>
    <w:qFormat/>
    <w:uiPriority w:val="0"/>
    <w:pPr>
      <w:spacing w:line="300" w:lineRule="auto"/>
    </w:pPr>
    <w:rPr>
      <w:sz w:val="24"/>
    </w:rPr>
  </w:style>
  <w:style w:type="paragraph" w:styleId="45">
    <w:name w:val="Title"/>
    <w:basedOn w:val="1"/>
    <w:next w:val="1"/>
    <w:link w:val="82"/>
    <w:qFormat/>
    <w:uiPriority w:val="0"/>
    <w:pPr>
      <w:spacing w:before="240" w:after="60"/>
      <w:jc w:val="center"/>
      <w:outlineLvl w:val="0"/>
    </w:pPr>
    <w:rPr>
      <w:rFonts w:ascii="Cambria" w:hAnsi="Cambria"/>
      <w:b/>
      <w:bCs/>
      <w:sz w:val="32"/>
      <w:szCs w:val="32"/>
    </w:rPr>
  </w:style>
  <w:style w:type="paragraph" w:styleId="46">
    <w:name w:val="annotation subject"/>
    <w:basedOn w:val="18"/>
    <w:next w:val="18"/>
    <w:qFormat/>
    <w:uiPriority w:val="0"/>
    <w:rPr>
      <w:b/>
    </w:rPr>
  </w:style>
  <w:style w:type="paragraph" w:styleId="47">
    <w:name w:val="Body Text First Indent"/>
    <w:basedOn w:val="20"/>
    <w:link w:val="83"/>
    <w:qFormat/>
    <w:uiPriority w:val="0"/>
    <w:pPr>
      <w:spacing w:after="120" w:line="240" w:lineRule="auto"/>
      <w:ind w:firstLine="420" w:firstLineChars="100"/>
    </w:pPr>
    <w:rPr>
      <w:sz w:val="21"/>
      <w:szCs w:val="24"/>
    </w:rPr>
  </w:style>
  <w:style w:type="paragraph" w:styleId="48">
    <w:name w:val="Body Text First Indent 2"/>
    <w:basedOn w:val="21"/>
    <w:link w:val="70"/>
    <w:qFormat/>
    <w:uiPriority w:val="0"/>
    <w:pPr>
      <w:ind w:firstLine="420" w:firstLineChars="200"/>
    </w:pPr>
    <w:rPr>
      <w:szCs w:val="24"/>
    </w:rPr>
  </w:style>
  <w:style w:type="table" w:styleId="50">
    <w:name w:val="Table Grid"/>
    <w:basedOn w:val="4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basedOn w:val="51"/>
    <w:qFormat/>
    <w:uiPriority w:val="0"/>
    <w:rPr>
      <w:rFonts w:eastAsia="宋体"/>
      <w:b/>
      <w:bCs/>
      <w:kern w:val="2"/>
      <w:sz w:val="24"/>
      <w:szCs w:val="24"/>
      <w:lang w:val="en-US" w:eastAsia="zh-CN" w:bidi="ar-SA"/>
    </w:rPr>
  </w:style>
  <w:style w:type="character" w:styleId="53">
    <w:name w:val="page number"/>
    <w:qFormat/>
    <w:uiPriority w:val="0"/>
  </w:style>
  <w:style w:type="character" w:styleId="54">
    <w:name w:val="FollowedHyperlink"/>
    <w:qFormat/>
    <w:uiPriority w:val="0"/>
    <w:rPr>
      <w:color w:val="551A8B"/>
      <w:u w:val="none"/>
    </w:rPr>
  </w:style>
  <w:style w:type="character" w:styleId="55">
    <w:name w:val="Emphasis"/>
    <w:qFormat/>
    <w:uiPriority w:val="0"/>
    <w:rPr>
      <w:color w:val="CC0000"/>
    </w:rPr>
  </w:style>
  <w:style w:type="character" w:styleId="56">
    <w:name w:val="HTML Definition"/>
    <w:qFormat/>
    <w:uiPriority w:val="0"/>
    <w:rPr>
      <w:i/>
    </w:rPr>
  </w:style>
  <w:style w:type="character" w:styleId="57">
    <w:name w:val="Hyperlink"/>
    <w:qFormat/>
    <w:uiPriority w:val="0"/>
    <w:rPr>
      <w:color w:val="0000EE"/>
      <w:u w:val="none"/>
    </w:rPr>
  </w:style>
  <w:style w:type="character" w:styleId="58">
    <w:name w:val="HTML Code"/>
    <w:qFormat/>
    <w:uiPriority w:val="0"/>
    <w:rPr>
      <w:rFonts w:hint="default" w:ascii="monospace" w:hAnsi="monospace" w:eastAsia="monospace" w:cs="monospace"/>
      <w:sz w:val="21"/>
      <w:szCs w:val="21"/>
    </w:rPr>
  </w:style>
  <w:style w:type="character" w:styleId="59">
    <w:name w:val="annotation reference"/>
    <w:qFormat/>
    <w:uiPriority w:val="0"/>
    <w:rPr>
      <w:sz w:val="21"/>
    </w:rPr>
  </w:style>
  <w:style w:type="character" w:styleId="60">
    <w:name w:val="HTML Keyboard"/>
    <w:qFormat/>
    <w:uiPriority w:val="0"/>
    <w:rPr>
      <w:rFonts w:ascii="monospace" w:hAnsi="monospace" w:eastAsia="monospace" w:cs="monospace"/>
      <w:sz w:val="21"/>
      <w:szCs w:val="21"/>
    </w:rPr>
  </w:style>
  <w:style w:type="character" w:styleId="61">
    <w:name w:val="HTML Sample"/>
    <w:qFormat/>
    <w:uiPriority w:val="0"/>
    <w:rPr>
      <w:rFonts w:hint="default" w:ascii="monospace" w:hAnsi="monospace" w:eastAsia="monospace" w:cs="monospace"/>
      <w:sz w:val="21"/>
      <w:szCs w:val="21"/>
    </w:rPr>
  </w:style>
  <w:style w:type="paragraph" w:customStyle="1" w:styleId="62">
    <w:name w:val="Fließtext"/>
    <w:basedOn w:val="1"/>
    <w:qFormat/>
    <w:uiPriority w:val="0"/>
    <w:pPr>
      <w:overflowPunct w:val="0"/>
      <w:autoSpaceDE w:val="0"/>
      <w:autoSpaceDN w:val="0"/>
      <w:adjustRightInd w:val="0"/>
      <w:textAlignment w:val="baseline"/>
    </w:pPr>
    <w:rPr>
      <w:rFonts w:ascii="Times New Roman" w:hAnsi="Times New Roman" w:eastAsia="宋体" w:cs="Times New Roman"/>
      <w:kern w:val="28"/>
      <w:szCs w:val="20"/>
    </w:rPr>
  </w:style>
  <w:style w:type="paragraph" w:customStyle="1" w:styleId="63">
    <w:name w:val="样式 标题 3 + (中文) 黑体 小四 非加粗 段前: 7.8 磅 段后: 0 磅 行距: 固定值 20 磅"/>
    <w:basedOn w:val="4"/>
    <w:qFormat/>
    <w:uiPriority w:val="0"/>
    <w:pPr>
      <w:tabs>
        <w:tab w:val="left" w:pos="425"/>
        <w:tab w:val="clear" w:pos="5852"/>
      </w:tabs>
      <w:spacing w:before="0" w:after="0" w:line="400" w:lineRule="exact"/>
    </w:pPr>
    <w:rPr>
      <w:rFonts w:ascii="Times New Roman" w:hAnsi="Times New Roman" w:eastAsia="黑体" w:cs="宋体"/>
      <w:b w:val="0"/>
      <w:kern w:val="2"/>
      <w:sz w:val="24"/>
      <w:szCs w:val="20"/>
    </w:rPr>
  </w:style>
  <w:style w:type="paragraph" w:customStyle="1" w:styleId="64">
    <w:name w:val="样式 标题 3 + (中文) 黑体 小四 非加粗 段前: 7.8 磅 段后: 0 磅 行距: 固定值 20 磅_0"/>
    <w:basedOn w:val="65"/>
    <w:qFormat/>
    <w:uiPriority w:val="0"/>
    <w:pPr>
      <w:spacing w:before="0" w:after="0" w:line="400" w:lineRule="exact"/>
    </w:pPr>
    <w:rPr>
      <w:rFonts w:eastAsia="黑体" w:cs="宋体"/>
      <w:sz w:val="21"/>
      <w:szCs w:val="20"/>
    </w:rPr>
  </w:style>
  <w:style w:type="paragraph" w:customStyle="1" w:styleId="65">
    <w:name w:val="Heading 31"/>
    <w:basedOn w:val="66"/>
    <w:next w:val="66"/>
    <w:qFormat/>
    <w:uiPriority w:val="99"/>
    <w:pPr>
      <w:keepNext/>
      <w:keepLines/>
      <w:spacing w:before="260" w:after="260" w:line="412" w:lineRule="auto"/>
      <w:ind w:firstLine="137" w:firstLineChars="49"/>
      <w:outlineLvl w:val="2"/>
    </w:pPr>
    <w:rPr>
      <w:rFonts w:ascii="黑体" w:hAnsi="宋体" w:eastAsia="黑体" w:cs="黑体"/>
      <w:sz w:val="28"/>
      <w:szCs w:val="28"/>
    </w:rPr>
  </w:style>
  <w:style w:type="paragraph" w:customStyle="1" w:styleId="66">
    <w:name w:val="Normal1"/>
    <w:next w:val="67"/>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67">
    <w:name w:val="Body Text First Indent 21"/>
    <w:basedOn w:val="68"/>
    <w:next w:val="64"/>
    <w:qFormat/>
    <w:uiPriority w:val="99"/>
    <w:pPr>
      <w:ind w:firstLine="420" w:firstLineChars="200"/>
    </w:pPr>
  </w:style>
  <w:style w:type="paragraph" w:customStyle="1" w:styleId="68">
    <w:name w:val="Body Text Indent1"/>
    <w:basedOn w:val="66"/>
    <w:next w:val="66"/>
    <w:qFormat/>
    <w:uiPriority w:val="99"/>
    <w:pPr>
      <w:spacing w:after="120"/>
      <w:ind w:left="420" w:leftChars="200"/>
    </w:pPr>
  </w:style>
  <w:style w:type="paragraph" w:customStyle="1" w:styleId="69">
    <w:name w:val="Body Text First Indent1"/>
    <w:qFormat/>
    <w:uiPriority w:val="0"/>
    <w:pPr>
      <w:widowControl w:val="0"/>
      <w:spacing w:line="380" w:lineRule="exact"/>
      <w:ind w:firstLine="420" w:firstLineChars="100"/>
      <w:jc w:val="both"/>
    </w:pPr>
    <w:rPr>
      <w:rFonts w:ascii="Times New Roman" w:hAnsi="Times New Roman" w:eastAsia="宋体" w:cs="Times New Roman"/>
      <w:kern w:val="2"/>
      <w:sz w:val="24"/>
      <w:szCs w:val="24"/>
      <w:lang w:val="en-US" w:eastAsia="zh-CN" w:bidi="ar-SA"/>
    </w:rPr>
  </w:style>
  <w:style w:type="character" w:customStyle="1" w:styleId="70">
    <w:name w:val="正文首行缩进 2 Char"/>
    <w:link w:val="48"/>
    <w:qFormat/>
    <w:uiPriority w:val="0"/>
    <w:rPr>
      <w:rFonts w:eastAsia="宋体"/>
      <w:kern w:val="2"/>
      <w:sz w:val="21"/>
      <w:szCs w:val="24"/>
      <w:lang w:val="en-US" w:eastAsia="zh-CN" w:bidi="ar-SA"/>
    </w:rPr>
  </w:style>
  <w:style w:type="character" w:customStyle="1" w:styleId="71">
    <w:name w:val="标题 1 Char1"/>
    <w:link w:val="2"/>
    <w:qFormat/>
    <w:uiPriority w:val="0"/>
    <w:rPr>
      <w:rFonts w:eastAsia="黑体"/>
      <w:b/>
      <w:kern w:val="44"/>
      <w:sz w:val="36"/>
      <w:lang w:val="en-US" w:eastAsia="zh-CN" w:bidi="ar-SA"/>
    </w:rPr>
  </w:style>
  <w:style w:type="character" w:customStyle="1" w:styleId="72">
    <w:name w:val="标题 2 Char1"/>
    <w:link w:val="3"/>
    <w:qFormat/>
    <w:uiPriority w:val="0"/>
    <w:rPr>
      <w:rFonts w:ascii="Cambria" w:hAnsi="Cambria" w:eastAsia="宋体" w:cs="Times New Roman"/>
      <w:b/>
      <w:bCs/>
      <w:sz w:val="32"/>
      <w:szCs w:val="32"/>
    </w:rPr>
  </w:style>
  <w:style w:type="character" w:customStyle="1" w:styleId="73">
    <w:name w:val="标题 3 Char"/>
    <w:link w:val="4"/>
    <w:qFormat/>
    <w:uiPriority w:val="0"/>
    <w:rPr>
      <w:rFonts w:eastAsia="宋体"/>
      <w:b/>
      <w:kern w:val="2"/>
      <w:sz w:val="28"/>
      <w:lang w:val="en-US" w:eastAsia="zh-CN" w:bidi="ar-SA"/>
    </w:rPr>
  </w:style>
  <w:style w:type="character" w:customStyle="1" w:styleId="74">
    <w:name w:val="标题 4 Char"/>
    <w:link w:val="5"/>
    <w:semiHidden/>
    <w:qFormat/>
    <w:uiPriority w:val="0"/>
    <w:rPr>
      <w:rFonts w:ascii="宋体" w:eastAsia="宋体"/>
      <w:b/>
      <w:kern w:val="2"/>
      <w:sz w:val="28"/>
      <w:lang w:val="en-US" w:eastAsia="zh-CN" w:bidi="ar-SA"/>
    </w:rPr>
  </w:style>
  <w:style w:type="character" w:customStyle="1" w:styleId="75">
    <w:name w:val="标题 5 Char"/>
    <w:link w:val="6"/>
    <w:qFormat/>
    <w:uiPriority w:val="0"/>
    <w:rPr>
      <w:rFonts w:eastAsia="宋体"/>
      <w:b/>
      <w:kern w:val="2"/>
      <w:sz w:val="28"/>
      <w:lang w:val="en-US" w:eastAsia="zh-CN" w:bidi="ar-SA"/>
    </w:rPr>
  </w:style>
  <w:style w:type="character" w:customStyle="1" w:styleId="76">
    <w:name w:val="正文缩进 Char"/>
    <w:link w:val="7"/>
    <w:qFormat/>
    <w:locked/>
    <w:uiPriority w:val="0"/>
    <w:rPr>
      <w:rFonts w:eastAsia="宋体"/>
      <w:kern w:val="2"/>
      <w:sz w:val="21"/>
      <w:lang w:val="en-US" w:eastAsia="zh-CN" w:bidi="ar-SA"/>
    </w:rPr>
  </w:style>
  <w:style w:type="character" w:customStyle="1" w:styleId="77">
    <w:name w:val="标题 6 Char"/>
    <w:link w:val="8"/>
    <w:qFormat/>
    <w:uiPriority w:val="0"/>
    <w:rPr>
      <w:rFonts w:ascii="Arial" w:hAnsi="Arial" w:eastAsia="黑体"/>
      <w:b/>
      <w:kern w:val="2"/>
      <w:sz w:val="24"/>
      <w:lang w:val="en-US" w:eastAsia="zh-CN" w:bidi="ar-SA"/>
    </w:rPr>
  </w:style>
  <w:style w:type="character" w:customStyle="1" w:styleId="78">
    <w:name w:val="标题 7 Char"/>
    <w:link w:val="9"/>
    <w:qFormat/>
    <w:uiPriority w:val="0"/>
    <w:rPr>
      <w:rFonts w:eastAsia="宋体"/>
      <w:b/>
      <w:kern w:val="2"/>
      <w:sz w:val="24"/>
      <w:lang w:val="en-US" w:eastAsia="zh-CN" w:bidi="ar-SA"/>
    </w:rPr>
  </w:style>
  <w:style w:type="character" w:customStyle="1" w:styleId="79">
    <w:name w:val="纯文本 Char"/>
    <w:link w:val="27"/>
    <w:semiHidden/>
    <w:qFormat/>
    <w:uiPriority w:val="0"/>
    <w:rPr>
      <w:rFonts w:ascii="宋体" w:hAnsi="Courier New" w:eastAsia="宋体"/>
      <w:kern w:val="2"/>
      <w:sz w:val="21"/>
      <w:lang w:val="en-US" w:eastAsia="zh-CN" w:bidi="ar-SA"/>
    </w:rPr>
  </w:style>
  <w:style w:type="character" w:customStyle="1" w:styleId="80">
    <w:name w:val="日期 Char"/>
    <w:link w:val="29"/>
    <w:qFormat/>
    <w:uiPriority w:val="0"/>
    <w:rPr>
      <w:rFonts w:eastAsia="宋体"/>
      <w:kern w:val="2"/>
      <w:sz w:val="28"/>
      <w:lang w:val="en-US" w:eastAsia="zh-CN" w:bidi="ar-SA"/>
    </w:rPr>
  </w:style>
  <w:style w:type="character" w:customStyle="1" w:styleId="81">
    <w:name w:val="HTML 预设格式 Char"/>
    <w:link w:val="43"/>
    <w:qFormat/>
    <w:uiPriority w:val="0"/>
    <w:rPr>
      <w:rFonts w:ascii="宋体" w:hAnsi="宋体" w:eastAsia="宋体" w:cs="宋体"/>
      <w:sz w:val="24"/>
      <w:szCs w:val="24"/>
      <w:lang w:val="en-US" w:eastAsia="zh-CN" w:bidi="ar-SA"/>
    </w:rPr>
  </w:style>
  <w:style w:type="character" w:customStyle="1" w:styleId="82">
    <w:name w:val="标题 Char"/>
    <w:link w:val="45"/>
    <w:qFormat/>
    <w:uiPriority w:val="0"/>
    <w:rPr>
      <w:rFonts w:ascii="Cambria" w:hAnsi="Cambria" w:eastAsia="宋体"/>
      <w:b/>
      <w:bCs/>
      <w:kern w:val="2"/>
      <w:sz w:val="32"/>
      <w:szCs w:val="32"/>
      <w:lang w:val="en-US" w:eastAsia="zh-CN" w:bidi="ar-SA"/>
    </w:rPr>
  </w:style>
  <w:style w:type="character" w:customStyle="1" w:styleId="83">
    <w:name w:val="正文首行缩进 Char"/>
    <w:link w:val="47"/>
    <w:qFormat/>
    <w:uiPriority w:val="0"/>
    <w:rPr>
      <w:rFonts w:eastAsia="宋体"/>
      <w:kern w:val="2"/>
      <w:sz w:val="21"/>
      <w:szCs w:val="24"/>
      <w:lang w:val="en-US" w:eastAsia="zh-CN" w:bidi="ar-SA"/>
    </w:rPr>
  </w:style>
  <w:style w:type="paragraph" w:customStyle="1" w:styleId="8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85">
    <w:name w:val="表格文字"/>
    <w:basedOn w:val="1"/>
    <w:qFormat/>
    <w:uiPriority w:val="0"/>
    <w:pPr>
      <w:autoSpaceDE w:val="0"/>
      <w:autoSpaceDN w:val="0"/>
      <w:adjustRightInd w:val="0"/>
      <w:spacing w:line="420" w:lineRule="atLeast"/>
      <w:textAlignment w:val="baseline"/>
    </w:pPr>
    <w:rPr>
      <w:rFonts w:ascii="Times New Roman" w:hAnsi="Times New Roman" w:eastAsia="宋体" w:cs="Times New Roman"/>
      <w:kern w:val="0"/>
      <w:szCs w:val="20"/>
      <w:lang w:val="zh-CN" w:bidi="zh-CN"/>
    </w:rPr>
  </w:style>
  <w:style w:type="paragraph" w:customStyle="1" w:styleId="86">
    <w:name w:val="链接"/>
    <w:qFormat/>
    <w:uiPriority w:val="99"/>
    <w:pPr>
      <w:widowControl w:val="0"/>
      <w:autoSpaceDE w:val="0"/>
      <w:autoSpaceDN w:val="0"/>
      <w:adjustRightInd w:val="0"/>
      <w:ind w:left="720"/>
    </w:pPr>
    <w:rPr>
      <w:rFonts w:ascii="Times New Roman" w:hAnsi="Times New Roman" w:eastAsia="宋体" w:cs="Times New Roman"/>
      <w:color w:val="0000FF"/>
      <w:sz w:val="21"/>
      <w:szCs w:val="21"/>
      <w:u w:val="single"/>
      <w:lang w:val="en-US" w:eastAsia="zh-CN" w:bidi="ar-SA"/>
    </w:rPr>
  </w:style>
  <w:style w:type="character" w:customStyle="1" w:styleId="87">
    <w:name w:val="样式91"/>
    <w:qFormat/>
    <w:uiPriority w:val="0"/>
    <w:rPr>
      <w:rFonts w:eastAsia="宋体"/>
      <w:kern w:val="2"/>
      <w:sz w:val="14"/>
      <w:szCs w:val="14"/>
      <w:lang w:val="en-US" w:eastAsia="zh-CN" w:bidi="ar-SA"/>
    </w:rPr>
  </w:style>
  <w:style w:type="character" w:customStyle="1" w:styleId="88">
    <w:name w:val="case31"/>
    <w:qFormat/>
    <w:uiPriority w:val="0"/>
    <w:rPr>
      <w:rFonts w:ascii="ˎ̥" w:hAnsi="ˎ̥" w:eastAsia="宋体"/>
      <w:kern w:val="2"/>
      <w:sz w:val="24"/>
      <w:szCs w:val="24"/>
      <w:lang w:val="en-US" w:eastAsia="zh-CN" w:bidi="ar-SA"/>
    </w:rPr>
  </w:style>
  <w:style w:type="character" w:customStyle="1" w:styleId="89">
    <w:name w:val="标题 6 Char Char"/>
    <w:qFormat/>
    <w:uiPriority w:val="0"/>
    <w:rPr>
      <w:rFonts w:ascii="宋体" w:hAnsi="宋体" w:eastAsia="宋体"/>
      <w:b/>
      <w:bCs/>
      <w:kern w:val="2"/>
      <w:sz w:val="24"/>
      <w:szCs w:val="21"/>
      <w:lang w:val="en-US" w:eastAsia="zh-CN" w:bidi="ar-SA"/>
    </w:rPr>
  </w:style>
  <w:style w:type="character" w:customStyle="1" w:styleId="90">
    <w:name w:val="b titlename wangputoptitle"/>
    <w:qFormat/>
    <w:uiPriority w:val="0"/>
  </w:style>
  <w:style w:type="character" w:customStyle="1" w:styleId="91">
    <w:name w:val="样式 (西文) 宋体 小四 首行缩进:  2 字符1 Char Char Char Char Char"/>
    <w:qFormat/>
    <w:uiPriority w:val="0"/>
    <w:rPr>
      <w:rFonts w:ascii="宋体" w:hAnsi="宋体" w:eastAsia="宋体" w:cs="宋体"/>
      <w:kern w:val="2"/>
      <w:sz w:val="24"/>
      <w:lang w:val="en-US" w:eastAsia="zh-CN" w:bidi="ar-SA"/>
    </w:rPr>
  </w:style>
  <w:style w:type="character" w:customStyle="1" w:styleId="92">
    <w:name w:val="纯文本 Char Char_2"/>
    <w:link w:val="93"/>
    <w:qFormat/>
    <w:uiPriority w:val="0"/>
    <w:rPr>
      <w:rFonts w:ascii="宋体" w:hAnsi="Courier New" w:eastAsia="宋体"/>
      <w:kern w:val="2"/>
      <w:sz w:val="21"/>
      <w:lang w:val="en-US" w:eastAsia="zh-CN" w:bidi="ar-SA"/>
    </w:rPr>
  </w:style>
  <w:style w:type="paragraph" w:customStyle="1" w:styleId="93">
    <w:name w:val="纯文本_2"/>
    <w:basedOn w:val="1"/>
    <w:link w:val="92"/>
    <w:qFormat/>
    <w:uiPriority w:val="0"/>
    <w:rPr>
      <w:rFonts w:ascii="宋体" w:hAnsi="Courier New"/>
    </w:rPr>
  </w:style>
  <w:style w:type="character" w:customStyle="1" w:styleId="94">
    <w:name w:val="样式81"/>
    <w:qFormat/>
    <w:uiPriority w:val="0"/>
    <w:rPr>
      <w:rFonts w:eastAsia="宋体"/>
      <w:color w:val="FF9A00"/>
      <w:kern w:val="2"/>
      <w:sz w:val="24"/>
      <w:szCs w:val="24"/>
      <w:lang w:val="en-US" w:eastAsia="zh-CN" w:bidi="ar-SA"/>
    </w:rPr>
  </w:style>
  <w:style w:type="character" w:customStyle="1" w:styleId="95">
    <w:name w:val=" Char Char5"/>
    <w:qFormat/>
    <w:uiPriority w:val="0"/>
    <w:rPr>
      <w:rFonts w:ascii="宋体" w:hAnsi="宋体" w:eastAsia="宋体"/>
      <w:b/>
      <w:kern w:val="2"/>
      <w:sz w:val="24"/>
      <w:szCs w:val="24"/>
      <w:lang w:val="en-US" w:eastAsia="zh-CN" w:bidi="ar-SA"/>
    </w:rPr>
  </w:style>
  <w:style w:type="character" w:customStyle="1" w:styleId="96">
    <w:name w:val=" Char Char11"/>
    <w:qFormat/>
    <w:uiPriority w:val="0"/>
    <w:rPr>
      <w:rFonts w:ascii="Arial" w:hAnsi="Arial" w:eastAsia="黑体"/>
      <w:b/>
      <w:bCs/>
      <w:kern w:val="2"/>
      <w:sz w:val="28"/>
      <w:szCs w:val="28"/>
      <w:lang w:val="en-US" w:eastAsia="zh-CN" w:bidi="ar-SA"/>
    </w:rPr>
  </w:style>
  <w:style w:type="character" w:customStyle="1" w:styleId="97">
    <w:name w:val="正文文本 Char Char"/>
    <w:qFormat/>
    <w:uiPriority w:val="0"/>
    <w:rPr>
      <w:rFonts w:eastAsia="宋体"/>
      <w:kern w:val="2"/>
      <w:sz w:val="21"/>
      <w:szCs w:val="24"/>
      <w:lang w:val="en-US" w:eastAsia="zh-CN" w:bidi="ar-SA"/>
    </w:rPr>
  </w:style>
  <w:style w:type="character" w:customStyle="1" w:styleId="98">
    <w:name w:val="样式 (西文) 宋体 小四 首行缩进:  2 字符1 Char Char Char"/>
    <w:qFormat/>
    <w:uiPriority w:val="0"/>
    <w:rPr>
      <w:rFonts w:ascii="宋体" w:hAnsi="宋体" w:eastAsia="宋体" w:cs="宋体"/>
      <w:kern w:val="2"/>
      <w:sz w:val="24"/>
      <w:lang w:val="en-US" w:eastAsia="zh-CN" w:bidi="ar-SA"/>
    </w:rPr>
  </w:style>
  <w:style w:type="character" w:customStyle="1" w:styleId="99">
    <w:name w:val="表格内容 Char"/>
    <w:link w:val="100"/>
    <w:qFormat/>
    <w:uiPriority w:val="0"/>
    <w:rPr>
      <w:rFonts w:ascii="宋体" w:eastAsia="宋体"/>
      <w:kern w:val="2"/>
      <w:sz w:val="24"/>
      <w:lang w:val="en-US" w:eastAsia="zh-CN" w:bidi="ar-SA"/>
    </w:rPr>
  </w:style>
  <w:style w:type="paragraph" w:customStyle="1" w:styleId="100">
    <w:name w:val="表格内容"/>
    <w:basedOn w:val="1"/>
    <w:link w:val="99"/>
    <w:qFormat/>
    <w:uiPriority w:val="0"/>
    <w:pPr>
      <w:jc w:val="center"/>
    </w:pPr>
    <w:rPr>
      <w:rFonts w:ascii="宋体"/>
      <w:sz w:val="24"/>
    </w:rPr>
  </w:style>
  <w:style w:type="character" w:customStyle="1" w:styleId="101">
    <w:name w:val="段落 Char"/>
    <w:link w:val="102"/>
    <w:qFormat/>
    <w:uiPriority w:val="0"/>
    <w:rPr>
      <w:rFonts w:eastAsia="仿宋_GB2312"/>
      <w:kern w:val="2"/>
      <w:sz w:val="24"/>
      <w:lang w:val="en-US" w:eastAsia="zh-CN" w:bidi="ar-SA"/>
    </w:rPr>
  </w:style>
  <w:style w:type="paragraph" w:customStyle="1" w:styleId="102">
    <w:name w:val="段落"/>
    <w:link w:val="101"/>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lang w:val="en-US" w:eastAsia="zh-CN" w:bidi="ar-SA"/>
    </w:rPr>
  </w:style>
  <w:style w:type="character" w:customStyle="1" w:styleId="103">
    <w:name w:val="webdict1"/>
    <w:qFormat/>
    <w:uiPriority w:val="0"/>
    <w:rPr>
      <w:b/>
      <w:bCs/>
    </w:rPr>
  </w:style>
  <w:style w:type="character" w:customStyle="1" w:styleId="104">
    <w:name w:val="font-121"/>
    <w:qFormat/>
    <w:uiPriority w:val="0"/>
    <w:rPr>
      <w:rFonts w:eastAsia="宋体"/>
      <w:color w:val="666666"/>
      <w:kern w:val="2"/>
      <w:sz w:val="18"/>
      <w:szCs w:val="24"/>
      <w:u w:val="none"/>
      <w:lang w:val="en-US" w:eastAsia="zh-CN" w:bidi="ar-SA"/>
    </w:rPr>
  </w:style>
  <w:style w:type="character" w:customStyle="1" w:styleId="105">
    <w:name w:val="样式 (西文) 宋体 小四 首行缩进:  2 字符1 Char1"/>
    <w:qFormat/>
    <w:uiPriority w:val="0"/>
    <w:rPr>
      <w:rFonts w:ascii="宋体" w:hAnsi="宋体" w:eastAsia="宋体" w:cs="宋体"/>
      <w:kern w:val="2"/>
      <w:sz w:val="24"/>
      <w:lang w:val="en-US" w:eastAsia="zh-CN" w:bidi="ar-SA"/>
    </w:rPr>
  </w:style>
  <w:style w:type="character" w:customStyle="1" w:styleId="106">
    <w:name w:val="首行缩进 Char"/>
    <w:link w:val="107"/>
    <w:qFormat/>
    <w:uiPriority w:val="0"/>
    <w:rPr>
      <w:rFonts w:ascii="宋体" w:hAnsi="宋体" w:eastAsia="宋体"/>
      <w:kern w:val="2"/>
      <w:sz w:val="21"/>
      <w:lang w:val="en-US" w:eastAsia="zh-CN"/>
    </w:rPr>
  </w:style>
  <w:style w:type="paragraph" w:customStyle="1" w:styleId="107">
    <w:name w:val="首行缩进"/>
    <w:basedOn w:val="1"/>
    <w:link w:val="106"/>
    <w:qFormat/>
    <w:uiPriority w:val="0"/>
    <w:pPr>
      <w:spacing w:line="360" w:lineRule="auto"/>
      <w:ind w:firstLine="200" w:firstLineChars="200"/>
    </w:pPr>
    <w:rPr>
      <w:rFonts w:ascii="宋体" w:hAnsi="宋体"/>
    </w:rPr>
  </w:style>
  <w:style w:type="character" w:customStyle="1" w:styleId="108">
    <w:name w:val="正文格式 Char"/>
    <w:link w:val="109"/>
    <w:qFormat/>
    <w:uiPriority w:val="0"/>
    <w:rPr>
      <w:rFonts w:ascii="宋体" w:hAnsi="宋体" w:eastAsia="宋体" w:cs="宋体"/>
      <w:sz w:val="24"/>
      <w:lang w:val="en-US" w:eastAsia="zh-CN" w:bidi="ar-SA"/>
    </w:rPr>
  </w:style>
  <w:style w:type="paragraph" w:customStyle="1" w:styleId="109">
    <w:name w:val="正文格式"/>
    <w:basedOn w:val="1"/>
    <w:link w:val="108"/>
    <w:qFormat/>
    <w:uiPriority w:val="0"/>
    <w:pPr>
      <w:widowControl/>
      <w:adjustRightInd w:val="0"/>
      <w:snapToGrid w:val="0"/>
      <w:spacing w:line="360" w:lineRule="atLeast"/>
      <w:ind w:firstLine="482"/>
      <w:textAlignment w:val="baseline"/>
    </w:pPr>
    <w:rPr>
      <w:rFonts w:ascii="宋体" w:hAnsi="宋体" w:cs="宋体"/>
      <w:kern w:val="0"/>
      <w:sz w:val="24"/>
    </w:rPr>
  </w:style>
  <w:style w:type="character" w:customStyle="1" w:styleId="110">
    <w:name w:val=" Char Char4"/>
    <w:qFormat/>
    <w:uiPriority w:val="0"/>
    <w:rPr>
      <w:rFonts w:eastAsia="宋体"/>
      <w:b/>
      <w:kern w:val="2"/>
      <w:sz w:val="24"/>
      <w:szCs w:val="24"/>
      <w:lang w:val="en-US" w:eastAsia="zh-CN" w:bidi="ar-SA"/>
    </w:rPr>
  </w:style>
  <w:style w:type="character" w:customStyle="1" w:styleId="111">
    <w:name w:val="main12"/>
    <w:qFormat/>
    <w:uiPriority w:val="0"/>
    <w:rPr>
      <w:rFonts w:eastAsia="宋体"/>
      <w:kern w:val="2"/>
      <w:sz w:val="24"/>
      <w:szCs w:val="24"/>
      <w:lang w:val="en-US" w:eastAsia="zh-CN" w:bidi="ar-SA"/>
    </w:rPr>
  </w:style>
  <w:style w:type="character" w:customStyle="1" w:styleId="112">
    <w:name w:val="len-22 txt12p"/>
    <w:qFormat/>
    <w:uiPriority w:val="0"/>
    <w:rPr>
      <w:rFonts w:eastAsia="宋体"/>
      <w:kern w:val="2"/>
      <w:sz w:val="24"/>
      <w:szCs w:val="24"/>
      <w:lang w:val="en-US" w:eastAsia="zh-CN" w:bidi="ar-SA"/>
    </w:rPr>
  </w:style>
  <w:style w:type="character" w:customStyle="1" w:styleId="113">
    <w:name w:val="font01"/>
    <w:basedOn w:val="51"/>
    <w:qFormat/>
    <w:uiPriority w:val="0"/>
    <w:rPr>
      <w:rFonts w:hint="eastAsia" w:ascii="宋体" w:hAnsi="宋体" w:eastAsia="宋体" w:cs="宋体"/>
      <w:color w:val="000000"/>
      <w:sz w:val="24"/>
      <w:szCs w:val="24"/>
      <w:u w:val="none"/>
    </w:rPr>
  </w:style>
  <w:style w:type="character" w:customStyle="1" w:styleId="114">
    <w:name w:val="main1"/>
    <w:qFormat/>
    <w:uiPriority w:val="0"/>
  </w:style>
  <w:style w:type="character" w:customStyle="1" w:styleId="115">
    <w:name w:val="bigword1"/>
    <w:qFormat/>
    <w:uiPriority w:val="0"/>
    <w:rPr>
      <w:sz w:val="21"/>
      <w:szCs w:val="21"/>
    </w:rPr>
  </w:style>
  <w:style w:type="character" w:customStyle="1" w:styleId="116">
    <w:name w:val=" Char Char10"/>
    <w:qFormat/>
    <w:uiPriority w:val="0"/>
    <w:rPr>
      <w:rFonts w:ascii="宋体" w:hAnsi="Courier New" w:eastAsia="宋体"/>
      <w:kern w:val="2"/>
      <w:sz w:val="21"/>
      <w:lang w:val="en-US" w:eastAsia="zh-CN" w:bidi="ar-SA"/>
    </w:rPr>
  </w:style>
  <w:style w:type="character" w:customStyle="1" w:styleId="117">
    <w:name w:val="Table Text Char Char"/>
    <w:link w:val="118"/>
    <w:qFormat/>
    <w:uiPriority w:val="0"/>
    <w:rPr>
      <w:rFonts w:ascii="Arial" w:hAnsi="Arial" w:eastAsia="Times New Roman"/>
      <w:sz w:val="18"/>
      <w:lang w:val="en-US" w:eastAsia="zh-CN" w:bidi="ar-SA"/>
    </w:rPr>
  </w:style>
  <w:style w:type="paragraph" w:customStyle="1" w:styleId="118">
    <w:name w:val="Table Text Char"/>
    <w:link w:val="117"/>
    <w:qFormat/>
    <w:uiPriority w:val="0"/>
    <w:pPr>
      <w:snapToGrid w:val="0"/>
      <w:spacing w:before="80" w:after="80"/>
    </w:pPr>
    <w:rPr>
      <w:rFonts w:ascii="Arial" w:hAnsi="Arial" w:eastAsia="Times New Roman" w:cs="Times New Roman"/>
      <w:sz w:val="18"/>
      <w:lang w:val="en-US" w:eastAsia="zh-CN" w:bidi="ar-SA"/>
    </w:rPr>
  </w:style>
  <w:style w:type="character" w:customStyle="1" w:styleId="119">
    <w:name w:val="章 Char Char"/>
    <w:qFormat/>
    <w:uiPriority w:val="0"/>
    <w:rPr>
      <w:rFonts w:eastAsia="宋体"/>
      <w:b/>
      <w:bCs/>
      <w:kern w:val="44"/>
      <w:sz w:val="44"/>
      <w:szCs w:val="44"/>
      <w:lang w:val="en-US" w:eastAsia="zh-CN" w:bidi="ar-SA"/>
    </w:rPr>
  </w:style>
  <w:style w:type="character" w:customStyle="1" w:styleId="120">
    <w:name w:val="样式 (西文) 宋体 小四 首行缩进:  2 字符1 Char Char Char Char Char2"/>
    <w:qFormat/>
    <w:uiPriority w:val="0"/>
    <w:rPr>
      <w:rFonts w:ascii="宋体" w:hAnsi="宋体" w:eastAsia="宋体" w:cs="宋体"/>
      <w:kern w:val="2"/>
      <w:sz w:val="24"/>
      <w:szCs w:val="24"/>
      <w:lang w:val="en-US" w:eastAsia="zh-CN" w:bidi="ar-SA"/>
    </w:rPr>
  </w:style>
  <w:style w:type="character" w:customStyle="1" w:styleId="121">
    <w:name w:val="header odd Char"/>
    <w:qFormat/>
    <w:locked/>
    <w:uiPriority w:val="0"/>
    <w:rPr>
      <w:rFonts w:eastAsia="宋体"/>
      <w:kern w:val="2"/>
      <w:sz w:val="18"/>
      <w:lang w:val="en-US" w:eastAsia="zh-CN" w:bidi="ar-SA"/>
    </w:rPr>
  </w:style>
  <w:style w:type="character" w:customStyle="1" w:styleId="122">
    <w:name w:val="paragraph1 Char"/>
    <w:link w:val="123"/>
    <w:qFormat/>
    <w:uiPriority w:val="0"/>
    <w:rPr>
      <w:rFonts w:ascii="Arial" w:hAnsi="Arial" w:eastAsia="宋体"/>
      <w:kern w:val="2"/>
      <w:sz w:val="21"/>
      <w:szCs w:val="24"/>
      <w:lang w:val="en-US" w:eastAsia="zh-CN" w:bidi="ar-SA"/>
    </w:rPr>
  </w:style>
  <w:style w:type="paragraph" w:customStyle="1" w:styleId="123">
    <w:name w:val="paragraph1"/>
    <w:basedOn w:val="1"/>
    <w:link w:val="122"/>
    <w:qFormat/>
    <w:uiPriority w:val="0"/>
    <w:pPr>
      <w:spacing w:after="93" w:afterLines="30" w:line="360" w:lineRule="auto"/>
      <w:ind w:firstLine="480" w:firstLineChars="200"/>
    </w:pPr>
    <w:rPr>
      <w:rFonts w:ascii="Arial" w:hAnsi="Arial"/>
      <w:szCs w:val="24"/>
    </w:rPr>
  </w:style>
  <w:style w:type="character" w:customStyle="1" w:styleId="124">
    <w:name w:val="trans"/>
    <w:qFormat/>
    <w:uiPriority w:val="0"/>
  </w:style>
  <w:style w:type="character" w:customStyle="1" w:styleId="125">
    <w:name w:val="apple-converted-space"/>
    <w:qFormat/>
    <w:uiPriority w:val="0"/>
  </w:style>
  <w:style w:type="character" w:customStyle="1" w:styleId="126">
    <w:name w:val=" Char Char2"/>
    <w:qFormat/>
    <w:uiPriority w:val="0"/>
    <w:rPr>
      <w:rFonts w:ascii="宋体" w:hAnsi="宋体" w:eastAsia="宋体" w:cs="宋体"/>
      <w:sz w:val="24"/>
      <w:szCs w:val="24"/>
      <w:lang w:val="en-US" w:eastAsia="zh-CN" w:bidi="ar-SA"/>
    </w:rPr>
  </w:style>
  <w:style w:type="character" w:customStyle="1" w:styleId="127">
    <w:name w:val="h"/>
    <w:qFormat/>
    <w:uiPriority w:val="0"/>
  </w:style>
  <w:style w:type="character" w:customStyle="1" w:styleId="128">
    <w:name w:val="标题 7 Char Char"/>
    <w:qFormat/>
    <w:uiPriority w:val="0"/>
    <w:rPr>
      <w:rFonts w:ascii="宋体" w:hAnsi="宋体" w:eastAsia="宋体"/>
      <w:b/>
      <w:bCs/>
      <w:kern w:val="2"/>
      <w:sz w:val="24"/>
      <w:szCs w:val="24"/>
      <w:lang w:val="en-US" w:eastAsia="zh-CN" w:bidi="ar-SA"/>
    </w:rPr>
  </w:style>
  <w:style w:type="character" w:customStyle="1" w:styleId="129">
    <w:name w:val="font12-blue-bold1"/>
    <w:qFormat/>
    <w:uiPriority w:val="0"/>
    <w:rPr>
      <w:rFonts w:eastAsia="宋体"/>
      <w:b/>
      <w:bCs/>
      <w:color w:val="0249A5"/>
      <w:kern w:val="2"/>
      <w:sz w:val="18"/>
      <w:szCs w:val="18"/>
      <w:u w:val="none"/>
      <w:lang w:val="en-US" w:eastAsia="zh-CN" w:bidi="ar-SA"/>
    </w:rPr>
  </w:style>
  <w:style w:type="character" w:customStyle="1" w:styleId="130">
    <w:name w:val="样式 (西文) 宋体 小四 首行缩进:  2 字符1 Char2"/>
    <w:qFormat/>
    <w:uiPriority w:val="0"/>
    <w:rPr>
      <w:rFonts w:ascii="宋体" w:hAnsi="宋体" w:eastAsia="宋体" w:cs="宋体"/>
      <w:kern w:val="2"/>
      <w:sz w:val="24"/>
      <w:lang w:val="en-US" w:eastAsia="zh-CN" w:bidi="ar-SA"/>
    </w:rPr>
  </w:style>
  <w:style w:type="character" w:customStyle="1" w:styleId="131">
    <w:name w:val="a1"/>
    <w:qFormat/>
    <w:uiPriority w:val="0"/>
    <w:rPr>
      <w:rFonts w:eastAsia="宋体"/>
      <w:kern w:val="2"/>
      <w:sz w:val="24"/>
      <w:szCs w:val="24"/>
      <w:u w:val="none"/>
      <w:lang w:val="en-US" w:eastAsia="zh-CN" w:bidi="ar-SA"/>
    </w:rPr>
  </w:style>
  <w:style w:type="character" w:customStyle="1" w:styleId="132">
    <w:name w:val="标题 2 Char"/>
    <w:qFormat/>
    <w:uiPriority w:val="0"/>
    <w:rPr>
      <w:rFonts w:ascii="CG Times" w:hAnsi="CG Times" w:eastAsia="宋体"/>
      <w:b/>
      <w:kern w:val="2"/>
      <w:sz w:val="30"/>
      <w:lang w:val="en-US" w:eastAsia="zh-CN" w:bidi="ar-SA"/>
    </w:rPr>
  </w:style>
  <w:style w:type="character" w:customStyle="1" w:styleId="133">
    <w:name w:val=" Char Char8"/>
    <w:qFormat/>
    <w:uiPriority w:val="0"/>
    <w:rPr>
      <w:rFonts w:ascii="宋体" w:hAnsi="宋体" w:eastAsia="宋体" w:cs="宋体"/>
      <w:sz w:val="24"/>
      <w:szCs w:val="24"/>
      <w:lang w:val="en-US" w:eastAsia="zh-CN" w:bidi="ar-SA"/>
    </w:rPr>
  </w:style>
  <w:style w:type="character" w:customStyle="1" w:styleId="134">
    <w:name w:val="分类格式 Char"/>
    <w:link w:val="135"/>
    <w:qFormat/>
    <w:uiPriority w:val="0"/>
    <w:rPr>
      <w:rFonts w:ascii="宋体" w:hAnsi="宋体" w:eastAsia="宋体"/>
      <w:kern w:val="2"/>
      <w:sz w:val="24"/>
      <w:lang w:val="en-US" w:eastAsia="zh-CN" w:bidi="ar-SA"/>
    </w:rPr>
  </w:style>
  <w:style w:type="paragraph" w:customStyle="1" w:styleId="135">
    <w:name w:val="分类格式"/>
    <w:basedOn w:val="1"/>
    <w:link w:val="134"/>
    <w:qFormat/>
    <w:uiPriority w:val="0"/>
    <w:pPr>
      <w:tabs>
        <w:tab w:val="left" w:pos="170"/>
      </w:tabs>
      <w:spacing w:line="360" w:lineRule="auto"/>
      <w:ind w:left="200" w:leftChars="100" w:hanging="100" w:hangingChars="100"/>
    </w:pPr>
    <w:rPr>
      <w:rFonts w:ascii="宋体" w:hAnsi="宋体"/>
      <w:sz w:val="24"/>
    </w:rPr>
  </w:style>
  <w:style w:type="character" w:customStyle="1" w:styleId="136">
    <w:name w:val="正文首行缩进 Char Char"/>
    <w:qFormat/>
    <w:uiPriority w:val="0"/>
    <w:rPr>
      <w:lang w:val="en-US" w:eastAsia="zh-CN" w:bidi="ar-SA"/>
    </w:rPr>
  </w:style>
  <w:style w:type="character" w:customStyle="1" w:styleId="137">
    <w:name w:val="小 Char Char"/>
    <w:qFormat/>
    <w:uiPriority w:val="0"/>
    <w:rPr>
      <w:rFonts w:ascii="宋体" w:hAnsi="Courier New" w:eastAsia="宋体" w:cs="Courier New"/>
      <w:kern w:val="2"/>
      <w:sz w:val="21"/>
      <w:szCs w:val="21"/>
      <w:lang w:val="en-US" w:eastAsia="zh-CN" w:bidi="ar-SA"/>
    </w:rPr>
  </w:style>
  <w:style w:type="character" w:customStyle="1" w:styleId="138">
    <w:name w:val="标题 5 Char Char"/>
    <w:qFormat/>
    <w:uiPriority w:val="0"/>
    <w:rPr>
      <w:rFonts w:eastAsia="宋体"/>
      <w:b/>
      <w:kern w:val="2"/>
      <w:sz w:val="24"/>
      <w:szCs w:val="24"/>
      <w:lang w:val="en-US" w:eastAsia="zh-CN" w:bidi="ar-SA"/>
    </w:rPr>
  </w:style>
  <w:style w:type="character" w:customStyle="1" w:styleId="139">
    <w:name w:val="样式31"/>
    <w:qFormat/>
    <w:uiPriority w:val="0"/>
    <w:rPr>
      <w:rFonts w:eastAsia="宋体"/>
      <w:color w:val="FFFFFF"/>
      <w:kern w:val="2"/>
      <w:sz w:val="24"/>
      <w:szCs w:val="24"/>
      <w:lang w:val="en-US" w:eastAsia="zh-CN" w:bidi="ar-SA"/>
    </w:rPr>
  </w:style>
  <w:style w:type="character" w:customStyle="1" w:styleId="140">
    <w:name w:val="标题 3 Char Char Char"/>
    <w:qFormat/>
    <w:uiPriority w:val="0"/>
    <w:rPr>
      <w:rFonts w:ascii="宋体" w:hAnsi="宋体" w:eastAsia="宋体"/>
      <w:b/>
      <w:bCs/>
      <w:kern w:val="2"/>
      <w:sz w:val="30"/>
      <w:szCs w:val="32"/>
      <w:lang w:val="en-US" w:eastAsia="zh-CN" w:bidi="ar-SA"/>
    </w:rPr>
  </w:style>
  <w:style w:type="character" w:customStyle="1" w:styleId="141">
    <w:name w:val="样式 (西文) 宋体 小四 首行缩进:  2 字符1 Char Char"/>
    <w:qFormat/>
    <w:uiPriority w:val="0"/>
    <w:rPr>
      <w:rFonts w:ascii="宋体" w:hAnsi="宋体" w:eastAsia="宋体" w:cs="宋体"/>
      <w:kern w:val="2"/>
      <w:sz w:val="24"/>
      <w:lang w:val="en-US" w:eastAsia="zh-CN" w:bidi="ar-SA"/>
    </w:rPr>
  </w:style>
  <w:style w:type="character" w:customStyle="1" w:styleId="142">
    <w:name w:val="apple-style-span"/>
    <w:qFormat/>
    <w:uiPriority w:val="0"/>
  </w:style>
  <w:style w:type="character" w:customStyle="1" w:styleId="143">
    <w:name w:val="大汉方案正文 Char1"/>
    <w:link w:val="144"/>
    <w:qFormat/>
    <w:uiPriority w:val="0"/>
    <w:rPr>
      <w:rFonts w:ascii="Arial" w:hAnsi="Arial" w:eastAsia="宋体"/>
      <w:kern w:val="2"/>
      <w:sz w:val="24"/>
      <w:szCs w:val="24"/>
      <w:lang w:val="en-US" w:eastAsia="zh-CN" w:bidi="ar-SA"/>
    </w:rPr>
  </w:style>
  <w:style w:type="paragraph" w:customStyle="1" w:styleId="144">
    <w:name w:val="大汉方案正文"/>
    <w:basedOn w:val="1"/>
    <w:link w:val="143"/>
    <w:qFormat/>
    <w:uiPriority w:val="0"/>
    <w:pPr>
      <w:spacing w:line="360" w:lineRule="auto"/>
      <w:ind w:firstLine="200" w:firstLineChars="200"/>
    </w:pPr>
    <w:rPr>
      <w:rFonts w:ascii="Arial" w:hAnsi="Arial"/>
      <w:sz w:val="24"/>
      <w:szCs w:val="24"/>
    </w:rPr>
  </w:style>
  <w:style w:type="character" w:customStyle="1" w:styleId="145">
    <w:name w:val="标题 1 Char"/>
    <w:qFormat/>
    <w:uiPriority w:val="0"/>
    <w:rPr>
      <w:rFonts w:ascii="宋体" w:eastAsia="宋体"/>
      <w:b/>
      <w:bCs/>
      <w:kern w:val="44"/>
      <w:sz w:val="44"/>
      <w:szCs w:val="44"/>
      <w:lang w:val="en-US" w:eastAsia="zh-CN" w:bidi="ar-SA"/>
    </w:rPr>
  </w:style>
  <w:style w:type="character" w:customStyle="1" w:styleId="146">
    <w:name w:val=" Char Char9"/>
    <w:qFormat/>
    <w:uiPriority w:val="0"/>
    <w:rPr>
      <w:rFonts w:ascii="Arial" w:hAnsi="Arial" w:eastAsia="宋体"/>
      <w:b/>
      <w:sz w:val="40"/>
      <w:szCs w:val="21"/>
      <w:lang w:val="en-GB" w:eastAsia="en-US" w:bidi="ar-SA"/>
    </w:rPr>
  </w:style>
  <w:style w:type="character" w:customStyle="1" w:styleId="147">
    <w:name w:val="ourfont1"/>
    <w:qFormat/>
    <w:uiPriority w:val="0"/>
    <w:rPr>
      <w:sz w:val="18"/>
      <w:szCs w:val="18"/>
    </w:rPr>
  </w:style>
  <w:style w:type="character" w:customStyle="1" w:styleId="148">
    <w:name w:val="标题 8 Char Char"/>
    <w:qFormat/>
    <w:uiPriority w:val="0"/>
    <w:rPr>
      <w:rFonts w:ascii="宋体" w:hAnsi="宋体" w:eastAsia="宋体"/>
      <w:b/>
      <w:kern w:val="2"/>
      <w:sz w:val="24"/>
      <w:szCs w:val="24"/>
      <w:lang w:val="en-US" w:bidi="ar-SA"/>
    </w:rPr>
  </w:style>
  <w:style w:type="character" w:customStyle="1" w:styleId="149">
    <w:name w:val="着重 Char"/>
    <w:link w:val="150"/>
    <w:qFormat/>
    <w:uiPriority w:val="0"/>
    <w:rPr>
      <w:rFonts w:ascii="宋体" w:hAnsi="宋体" w:eastAsia="宋体" w:cs="宋体"/>
      <w:b/>
      <w:bCs/>
      <w:kern w:val="2"/>
      <w:sz w:val="24"/>
      <w:szCs w:val="24"/>
      <w:u w:val="single"/>
      <w:lang w:val="en-US" w:eastAsia="zh-CN" w:bidi="ar-SA"/>
    </w:rPr>
  </w:style>
  <w:style w:type="paragraph" w:customStyle="1" w:styleId="150">
    <w:name w:val="着重"/>
    <w:basedOn w:val="109"/>
    <w:next w:val="109"/>
    <w:link w:val="149"/>
    <w:qFormat/>
    <w:uiPriority w:val="0"/>
    <w:pPr>
      <w:spacing w:line="360" w:lineRule="auto"/>
    </w:pPr>
    <w:rPr>
      <w:b/>
      <w:bCs/>
      <w:kern w:val="2"/>
      <w:szCs w:val="24"/>
      <w:u w:val="single"/>
    </w:rPr>
  </w:style>
  <w:style w:type="character" w:customStyle="1" w:styleId="151">
    <w:name w:val="样式 (西文) 宋体 小四 首行缩进:  2 字符1 Char Char Char Char Char1"/>
    <w:qFormat/>
    <w:uiPriority w:val="0"/>
    <w:rPr>
      <w:rFonts w:ascii="宋体" w:hAnsi="宋体" w:eastAsia="宋体" w:cs="宋体"/>
      <w:kern w:val="2"/>
      <w:sz w:val="24"/>
      <w:lang w:val="en-US" w:eastAsia="zh-CN" w:bidi="ar-SA"/>
    </w:rPr>
  </w:style>
  <w:style w:type="character" w:customStyle="1" w:styleId="152">
    <w:name w:val="Char3"/>
    <w:qFormat/>
    <w:uiPriority w:val="0"/>
    <w:rPr>
      <w:rFonts w:ascii="宋体" w:hAnsi="宋体" w:eastAsia="宋体"/>
      <w:b/>
      <w:kern w:val="2"/>
      <w:sz w:val="24"/>
      <w:szCs w:val="24"/>
      <w:lang w:val="en-US" w:eastAsia="zh-CN" w:bidi="ar-SA"/>
    </w:rPr>
  </w:style>
  <w:style w:type="character" w:customStyle="1" w:styleId="153">
    <w:name w:val="com-1"/>
    <w:qFormat/>
    <w:uiPriority w:val="0"/>
  </w:style>
  <w:style w:type="character" w:customStyle="1" w:styleId="154">
    <w:name w:val="Item Step in Table Char"/>
    <w:link w:val="155"/>
    <w:qFormat/>
    <w:uiPriority w:val="0"/>
    <w:rPr>
      <w:rFonts w:ascii="Arial" w:hAnsi="Arial" w:eastAsia="Times New Roman" w:cs="Arial"/>
      <w:sz w:val="18"/>
      <w:szCs w:val="18"/>
      <w:lang w:val="en-US" w:eastAsia="zh-CN" w:bidi="ar-SA"/>
    </w:rPr>
  </w:style>
  <w:style w:type="paragraph" w:customStyle="1" w:styleId="155">
    <w:name w:val="Item Step in Table"/>
    <w:link w:val="154"/>
    <w:qFormat/>
    <w:uiPriority w:val="0"/>
    <w:pPr>
      <w:tabs>
        <w:tab w:val="left" w:pos="397"/>
      </w:tabs>
      <w:spacing w:before="40" w:after="40"/>
      <w:ind w:left="397" w:hanging="397"/>
      <w:jc w:val="both"/>
    </w:pPr>
    <w:rPr>
      <w:rFonts w:ascii="Arial" w:hAnsi="Arial" w:eastAsia="Times New Roman" w:cs="Arial"/>
      <w:sz w:val="18"/>
      <w:szCs w:val="18"/>
      <w:lang w:val="en-US" w:eastAsia="zh-CN" w:bidi="ar-SA"/>
    </w:rPr>
  </w:style>
  <w:style w:type="character" w:customStyle="1" w:styleId="156">
    <w:name w:val="列出段落 Char"/>
    <w:link w:val="157"/>
    <w:qFormat/>
    <w:uiPriority w:val="0"/>
    <w:rPr>
      <w:rFonts w:ascii="Calibri" w:hAnsi="Calibri" w:eastAsia="宋体"/>
      <w:kern w:val="2"/>
      <w:sz w:val="21"/>
      <w:szCs w:val="22"/>
      <w:lang w:val="en-US" w:eastAsia="zh-CN" w:bidi="ar-SA"/>
    </w:rPr>
  </w:style>
  <w:style w:type="paragraph" w:customStyle="1" w:styleId="157">
    <w:name w:val="List Paragraph1"/>
    <w:basedOn w:val="1"/>
    <w:link w:val="156"/>
    <w:qFormat/>
    <w:uiPriority w:val="0"/>
    <w:pPr>
      <w:ind w:firstLine="420" w:firstLineChars="200"/>
    </w:pPr>
    <w:rPr>
      <w:rFonts w:ascii="Calibri" w:hAnsi="Calibri"/>
      <w:szCs w:val="22"/>
    </w:rPr>
  </w:style>
  <w:style w:type="character" w:customStyle="1" w:styleId="158">
    <w:name w:val="FA正文 Char Char"/>
    <w:link w:val="159"/>
    <w:qFormat/>
    <w:uiPriority w:val="0"/>
    <w:rPr>
      <w:rFonts w:hAnsi="宋体" w:eastAsia="宋体"/>
      <w:snapToGrid w:val="0"/>
      <w:sz w:val="21"/>
      <w:szCs w:val="21"/>
      <w:lang w:val="en-US" w:eastAsia="zh-CN" w:bidi="ar-SA"/>
    </w:rPr>
  </w:style>
  <w:style w:type="paragraph" w:customStyle="1" w:styleId="159">
    <w:name w:val="FA正文"/>
    <w:basedOn w:val="1"/>
    <w:link w:val="158"/>
    <w:qFormat/>
    <w:uiPriority w:val="0"/>
    <w:pPr>
      <w:spacing w:line="360" w:lineRule="auto"/>
      <w:ind w:firstLine="473" w:firstLineChars="225"/>
    </w:pPr>
    <w:rPr>
      <w:rFonts w:hAnsi="宋体"/>
      <w:snapToGrid w:val="0"/>
      <w:kern w:val="0"/>
      <w:szCs w:val="21"/>
    </w:rPr>
  </w:style>
  <w:style w:type="character" w:customStyle="1" w:styleId="160">
    <w:name w:val="txt14p1"/>
    <w:qFormat/>
    <w:uiPriority w:val="0"/>
    <w:rPr>
      <w:rFonts w:eastAsia="宋体"/>
      <w:kern w:val="2"/>
      <w:sz w:val="21"/>
      <w:szCs w:val="21"/>
      <w:lang w:val="en-US" w:eastAsia="zh-CN" w:bidi="ar-SA"/>
    </w:rPr>
  </w:style>
  <w:style w:type="character" w:customStyle="1" w:styleId="161">
    <w:name w:val="content3"/>
    <w:qFormat/>
    <w:uiPriority w:val="0"/>
    <w:rPr>
      <w:rFonts w:ascii="ˎ̥" w:hAnsi="ˎ̥" w:eastAsia="宋体"/>
      <w:kern w:val="2"/>
      <w:sz w:val="14"/>
      <w:szCs w:val="14"/>
      <w:u w:val="none"/>
      <w:lang w:val="en-US" w:eastAsia="zh-CN" w:bidi="ar-SA"/>
    </w:rPr>
  </w:style>
  <w:style w:type="character" w:customStyle="1" w:styleId="162">
    <w:name w:val="样式3 Char Char"/>
    <w:link w:val="163"/>
    <w:qFormat/>
    <w:uiPriority w:val="0"/>
    <w:rPr>
      <w:rFonts w:ascii="宋体" w:hAnsi="Courier New" w:eastAsia="宋体"/>
      <w:kern w:val="2"/>
      <w:sz w:val="28"/>
      <w:lang w:val="en-US" w:eastAsia="zh-CN" w:bidi="ar-SA"/>
    </w:rPr>
  </w:style>
  <w:style w:type="paragraph" w:customStyle="1" w:styleId="163">
    <w:name w:val="样式3"/>
    <w:basedOn w:val="27"/>
    <w:link w:val="162"/>
    <w:qFormat/>
    <w:uiPriority w:val="0"/>
    <w:pPr>
      <w:spacing w:line="0" w:lineRule="atLeast"/>
      <w:outlineLvl w:val="0"/>
    </w:pPr>
    <w:rPr>
      <w:sz w:val="28"/>
    </w:rPr>
  </w:style>
  <w:style w:type="paragraph" w:customStyle="1" w:styleId="164">
    <w:name w:val="Char2"/>
    <w:basedOn w:val="1"/>
    <w:qFormat/>
    <w:uiPriority w:val="0"/>
    <w:pPr>
      <w:ind w:left="432" w:hanging="432"/>
    </w:pPr>
    <w:rPr>
      <w:sz w:val="24"/>
      <w:szCs w:val="24"/>
    </w:rPr>
  </w:style>
  <w:style w:type="paragraph" w:customStyle="1" w:styleId="165">
    <w:name w:val="xl32"/>
    <w:basedOn w:val="1"/>
    <w:qFormat/>
    <w:uiPriority w:val="0"/>
    <w:pPr>
      <w:pBdr>
        <w:top w:val="single" w:color="auto" w:sz="4" w:space="0"/>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kern w:val="0"/>
      <w:sz w:val="20"/>
      <w:szCs w:val="21"/>
    </w:rPr>
  </w:style>
  <w:style w:type="paragraph" w:customStyle="1" w:styleId="166">
    <w:name w:val="Item List in Table"/>
    <w:qFormat/>
    <w:uiPriority w:val="0"/>
    <w:pPr>
      <w:tabs>
        <w:tab w:val="left" w:pos="284"/>
      </w:tabs>
      <w:spacing w:before="40" w:after="40"/>
      <w:ind w:left="284" w:hanging="284"/>
      <w:jc w:val="both"/>
    </w:pPr>
    <w:rPr>
      <w:rFonts w:ascii="Arial" w:hAnsi="Arial" w:eastAsia="宋体" w:cs="Arial"/>
      <w:sz w:val="18"/>
      <w:szCs w:val="18"/>
      <w:lang w:val="en-US" w:eastAsia="zh-CN" w:bidi="ar-SA"/>
    </w:rPr>
  </w:style>
  <w:style w:type="paragraph" w:customStyle="1" w:styleId="167">
    <w:name w:val="font7"/>
    <w:basedOn w:val="1"/>
    <w:qFormat/>
    <w:uiPriority w:val="0"/>
    <w:pPr>
      <w:adjustRightInd w:val="0"/>
      <w:spacing w:before="100" w:beforeAutospacing="1" w:after="100" w:afterAutospacing="1"/>
      <w:textAlignment w:val="baseline"/>
    </w:pPr>
    <w:rPr>
      <w:rFonts w:hint="eastAsia" w:ascii="宋体" w:hAnsi="宋体"/>
      <w:color w:val="FF0000"/>
      <w:kern w:val="0"/>
      <w:sz w:val="20"/>
      <w:szCs w:val="21"/>
    </w:rPr>
  </w:style>
  <w:style w:type="paragraph" w:customStyle="1" w:styleId="168">
    <w:name w:val="xl36"/>
    <w:basedOn w:val="1"/>
    <w:qFormat/>
    <w:uiPriority w:val="0"/>
    <w:pPr>
      <w:pBdr>
        <w:bottom w:val="single" w:color="auto" w:sz="4" w:space="0"/>
        <w:right w:val="single" w:color="auto" w:sz="4" w:space="0"/>
      </w:pBdr>
      <w:shd w:val="clear" w:color="auto" w:fill="FFFF99"/>
      <w:adjustRightInd w:val="0"/>
      <w:spacing w:before="100" w:beforeAutospacing="1" w:after="100" w:afterAutospacing="1"/>
      <w:textAlignment w:val="baseline"/>
    </w:pPr>
    <w:rPr>
      <w:rFonts w:ascii="宋体" w:hAnsi="宋体"/>
      <w:color w:val="008000"/>
      <w:kern w:val="0"/>
      <w:sz w:val="20"/>
      <w:szCs w:val="21"/>
    </w:rPr>
  </w:style>
  <w:style w:type="paragraph" w:customStyle="1" w:styleId="169">
    <w:name w:val="样式 小四 左侧:  2.86 厘米 首行缩进:  2 字符"/>
    <w:basedOn w:val="1"/>
    <w:qFormat/>
    <w:uiPriority w:val="0"/>
    <w:pPr>
      <w:ind w:firstLine="480" w:firstLineChars="200"/>
    </w:pPr>
    <w:rPr>
      <w:rFonts w:cs="宋体"/>
      <w:sz w:val="24"/>
      <w:szCs w:val="24"/>
    </w:rPr>
  </w:style>
  <w:style w:type="paragraph" w:customStyle="1" w:styleId="170">
    <w:name w:val="样式 标题 4 + 小四"/>
    <w:basedOn w:val="5"/>
    <w:qFormat/>
    <w:uiPriority w:val="0"/>
    <w:pPr>
      <w:keepNext w:val="0"/>
      <w:keepLines w:val="0"/>
      <w:tabs>
        <w:tab w:val="clear" w:pos="425"/>
      </w:tabs>
      <w:spacing w:before="0" w:line="240" w:lineRule="auto"/>
      <w:ind w:left="0" w:firstLine="0"/>
    </w:pPr>
    <w:rPr>
      <w:rFonts w:ascii="Times New Roman"/>
      <w:b w:val="0"/>
      <w:sz w:val="24"/>
      <w:szCs w:val="24"/>
    </w:rPr>
  </w:style>
  <w:style w:type="paragraph" w:customStyle="1" w:styleId="171">
    <w:name w:val="wtext"/>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172">
    <w:name w:val="xl24"/>
    <w:basedOn w:val="1"/>
    <w:qFormat/>
    <w:uiPriority w:val="0"/>
    <w:pPr>
      <w:widowControl/>
      <w:spacing w:before="100" w:beforeAutospacing="1" w:after="100" w:afterAutospacing="1"/>
      <w:jc w:val="center"/>
      <w:textAlignment w:val="center"/>
    </w:pPr>
    <w:rPr>
      <w:rFonts w:ascii="宋体" w:hAnsi="宋体"/>
      <w:kern w:val="0"/>
      <w:sz w:val="24"/>
      <w:szCs w:val="24"/>
    </w:rPr>
  </w:style>
  <w:style w:type="paragraph" w:customStyle="1" w:styleId="173">
    <w:name w:val="缺省文本"/>
    <w:basedOn w:val="1"/>
    <w:qFormat/>
    <w:uiPriority w:val="0"/>
    <w:pPr>
      <w:autoSpaceDE w:val="0"/>
      <w:autoSpaceDN w:val="0"/>
      <w:adjustRightInd w:val="0"/>
      <w:spacing w:before="20" w:after="20" w:line="400" w:lineRule="exact"/>
      <w:ind w:firstLine="504"/>
      <w:jc w:val="left"/>
    </w:pPr>
    <w:rPr>
      <w:kern w:val="0"/>
      <w:sz w:val="24"/>
    </w:rPr>
  </w:style>
  <w:style w:type="paragraph" w:customStyle="1" w:styleId="174">
    <w:name w:val="沈阳系统组成编号"/>
    <w:basedOn w:val="47"/>
    <w:qFormat/>
    <w:uiPriority w:val="0"/>
    <w:pPr>
      <w:numPr>
        <w:ilvl w:val="0"/>
        <w:numId w:val="2"/>
      </w:numPr>
      <w:tabs>
        <w:tab w:val="left" w:pos="0"/>
        <w:tab w:val="left" w:pos="360"/>
        <w:tab w:val="left" w:pos="1387"/>
      </w:tabs>
      <w:adjustRightInd w:val="0"/>
      <w:spacing w:after="0" w:line="300" w:lineRule="auto"/>
      <w:ind w:left="0" w:firstLine="420" w:firstLineChars="0"/>
      <w:textAlignment w:val="baseline"/>
    </w:pPr>
    <w:rPr>
      <w:kern w:val="0"/>
      <w:szCs w:val="21"/>
    </w:rPr>
  </w:style>
  <w:style w:type="paragraph" w:customStyle="1" w:styleId="175">
    <w:name w:val="Default Paragraph Font Para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76">
    <w:name w:val="正文空2格  1."/>
    <w:basedOn w:val="1"/>
    <w:qFormat/>
    <w:uiPriority w:val="0"/>
    <w:pPr>
      <w:adjustRightInd w:val="0"/>
      <w:spacing w:line="360" w:lineRule="auto"/>
      <w:ind w:firstLine="480" w:firstLineChars="200"/>
      <w:textAlignment w:val="baseline"/>
    </w:pPr>
    <w:rPr>
      <w:rFonts w:ascii="宋体" w:eastAsia="仿宋" w:cs="宋体"/>
      <w:kern w:val="0"/>
      <w:sz w:val="28"/>
    </w:rPr>
  </w:style>
  <w:style w:type="paragraph" w:customStyle="1" w:styleId="177">
    <w:name w:val="WPSOffice手动目录 2"/>
    <w:qFormat/>
    <w:uiPriority w:val="0"/>
    <w:pPr>
      <w:ind w:leftChars="200"/>
    </w:pPr>
    <w:rPr>
      <w:rFonts w:ascii="Times New Roman" w:hAnsi="Times New Roman" w:eastAsia="宋体" w:cs="Times New Roman"/>
      <w:lang w:val="en-US" w:eastAsia="zh-CN" w:bidi="ar-SA"/>
    </w:rPr>
  </w:style>
  <w:style w:type="paragraph" w:customStyle="1" w:styleId="178">
    <w:name w:val="列项——（一级）"/>
    <w:qFormat/>
    <w:uiPriority w:val="0"/>
    <w:pPr>
      <w:widowControl w:val="0"/>
      <w:tabs>
        <w:tab w:val="left" w:pos="1140"/>
        <w:tab w:val="left" w:pos="3420"/>
      </w:tabs>
      <w:adjustRightInd w:val="0"/>
      <w:spacing w:line="560" w:lineRule="exact"/>
      <w:ind w:left="1140" w:hanging="720"/>
      <w:jc w:val="both"/>
      <w:textAlignment w:val="baseline"/>
    </w:pPr>
    <w:rPr>
      <w:rFonts w:ascii="宋体" w:hAnsi="宋体" w:eastAsia="宋体" w:cs="Times New Roman"/>
      <w:color w:val="000000"/>
      <w:kern w:val="2"/>
      <w:sz w:val="24"/>
      <w:lang w:val="en-US" w:eastAsia="zh-CN" w:bidi="ar-SA"/>
    </w:rPr>
  </w:style>
  <w:style w:type="paragraph" w:customStyle="1" w:styleId="179">
    <w:name w:val="phead"/>
    <w:basedOn w:val="1"/>
    <w:qFormat/>
    <w:uiPriority w:val="0"/>
    <w:pPr>
      <w:widowControl/>
      <w:numPr>
        <w:ilvl w:val="0"/>
        <w:numId w:val="3"/>
      </w:numPr>
      <w:spacing w:before="100" w:beforeAutospacing="1" w:after="100" w:afterAutospacing="1"/>
      <w:ind w:left="0" w:firstLine="0"/>
      <w:jc w:val="left"/>
    </w:pPr>
    <w:rPr>
      <w:rFonts w:ascii="Verdana" w:hAnsi="Verdana" w:cs="宋体"/>
      <w:color w:val="000000"/>
      <w:kern w:val="0"/>
      <w:sz w:val="20"/>
    </w:rPr>
  </w:style>
  <w:style w:type="paragraph" w:customStyle="1" w:styleId="180">
    <w:name w:val="数字标题2"/>
    <w:basedOn w:val="3"/>
    <w:next w:val="1"/>
    <w:qFormat/>
    <w:uiPriority w:val="0"/>
    <w:pPr>
      <w:spacing w:before="0" w:after="0" w:line="416" w:lineRule="auto"/>
      <w:jc w:val="both"/>
    </w:pPr>
    <w:rPr>
      <w:rFonts w:ascii="宋体" w:hAnsi="宋体"/>
      <w:bCs w:val="0"/>
      <w:sz w:val="24"/>
      <w:szCs w:val="24"/>
    </w:rPr>
  </w:style>
  <w:style w:type="paragraph" w:customStyle="1" w:styleId="181">
    <w:name w:val="xl38"/>
    <w:basedOn w:val="1"/>
    <w:qFormat/>
    <w:uiPriority w:val="0"/>
    <w:pPr>
      <w:pBdr>
        <w:top w:val="single" w:color="auto" w:sz="4" w:space="0"/>
        <w:left w:val="single" w:color="auto" w:sz="4" w:space="0"/>
        <w:bottom w:val="single" w:color="auto" w:sz="4" w:space="0"/>
        <w:right w:val="single" w:color="auto" w:sz="4" w:space="0"/>
      </w:pBdr>
      <w:shd w:val="clear" w:color="auto" w:fill="FFFF99"/>
      <w:adjustRightInd w:val="0"/>
      <w:spacing w:before="100" w:beforeAutospacing="1" w:after="100" w:afterAutospacing="1"/>
      <w:textAlignment w:val="baseline"/>
    </w:pPr>
    <w:rPr>
      <w:rFonts w:ascii="宋体" w:hAnsi="宋体"/>
      <w:color w:val="0000FF"/>
      <w:kern w:val="0"/>
      <w:sz w:val="20"/>
      <w:szCs w:val="21"/>
    </w:rPr>
  </w:style>
  <w:style w:type="paragraph" w:customStyle="1" w:styleId="182">
    <w:name w:val=" Char1 Char Char"/>
    <w:basedOn w:val="1"/>
    <w:qFormat/>
    <w:uiPriority w:val="0"/>
    <w:rPr>
      <w:rFonts w:ascii="Tahoma" w:hAnsi="Tahoma"/>
      <w:sz w:val="24"/>
    </w:rPr>
  </w:style>
  <w:style w:type="paragraph" w:customStyle="1" w:styleId="183">
    <w:name w:val=" Char Char Char"/>
    <w:basedOn w:val="1"/>
    <w:qFormat/>
    <w:uiPriority w:val="0"/>
    <w:rPr>
      <w:rFonts w:ascii="Tahoma" w:hAnsi="Tahoma"/>
      <w:sz w:val="24"/>
    </w:rPr>
  </w:style>
  <w:style w:type="paragraph" w:customStyle="1" w:styleId="184">
    <w:name w:val="列表2"/>
    <w:basedOn w:val="1"/>
    <w:next w:val="1"/>
    <w:qFormat/>
    <w:uiPriority w:val="0"/>
    <w:pPr>
      <w:tabs>
        <w:tab w:val="left" w:pos="798"/>
      </w:tabs>
      <w:spacing w:line="360" w:lineRule="auto"/>
      <w:ind w:left="420" w:hanging="420"/>
    </w:pPr>
  </w:style>
  <w:style w:type="paragraph" w:customStyle="1" w:styleId="185">
    <w:name w:val="正文2"/>
    <w:basedOn w:val="1"/>
    <w:qFormat/>
    <w:uiPriority w:val="0"/>
    <w:pPr>
      <w:adjustRightInd w:val="0"/>
      <w:spacing w:before="156" w:line="360" w:lineRule="auto"/>
      <w:ind w:firstLine="510" w:firstLineChars="200"/>
      <w:textAlignment w:val="baseline"/>
    </w:pPr>
    <w:rPr>
      <w:sz w:val="24"/>
    </w:rPr>
  </w:style>
  <w:style w:type="paragraph" w:styleId="186">
    <w:name w:val="List Paragraph"/>
    <w:basedOn w:val="1"/>
    <w:qFormat/>
    <w:uiPriority w:val="34"/>
    <w:pPr>
      <w:ind w:firstLine="420" w:firstLineChars="200"/>
    </w:pPr>
    <w:rPr>
      <w:szCs w:val="24"/>
    </w:rPr>
  </w:style>
  <w:style w:type="paragraph" w:customStyle="1" w:styleId="187">
    <w:name w:val=" Char Char Char Char Char Char Char"/>
    <w:basedOn w:val="1"/>
    <w:qFormat/>
    <w:uiPriority w:val="0"/>
    <w:rPr>
      <w:rFonts w:ascii="Tahoma" w:hAnsi="Tahoma"/>
      <w:sz w:val="24"/>
    </w:rPr>
  </w:style>
  <w:style w:type="paragraph" w:customStyle="1" w:styleId="188">
    <w:name w:val="样式5"/>
    <w:basedOn w:val="6"/>
    <w:qFormat/>
    <w:uiPriority w:val="0"/>
    <w:pPr>
      <w:numPr>
        <w:ilvl w:val="0"/>
        <w:numId w:val="4"/>
      </w:numPr>
      <w:tabs>
        <w:tab w:val="left" w:pos="1130"/>
      </w:tabs>
      <w:spacing w:before="0" w:after="0" w:line="360" w:lineRule="auto"/>
      <w:ind w:firstLineChars="200"/>
    </w:pPr>
    <w:rPr>
      <w:rFonts w:ascii="宋体" w:hAnsi="宋体"/>
      <w:b w:val="0"/>
      <w:sz w:val="24"/>
      <w:szCs w:val="24"/>
    </w:rPr>
  </w:style>
  <w:style w:type="paragraph" w:customStyle="1" w:styleId="189">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90">
    <w:name w:val=" Char Char2 Char Char Char Char Char Char Char Char Char Char"/>
    <w:basedOn w:val="1"/>
    <w:qFormat/>
    <w:uiPriority w:val="0"/>
    <w:rPr>
      <w:rFonts w:ascii="Tahoma" w:hAnsi="Tahoma"/>
      <w:sz w:val="24"/>
    </w:rPr>
  </w:style>
  <w:style w:type="paragraph" w:customStyle="1" w:styleId="191">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rPr>
  </w:style>
  <w:style w:type="paragraph" w:customStyle="1" w:styleId="192">
    <w:name w:val="标题(小)"/>
    <w:basedOn w:val="1"/>
    <w:next w:val="1"/>
    <w:qFormat/>
    <w:uiPriority w:val="0"/>
    <w:pPr>
      <w:adjustRightInd w:val="0"/>
      <w:spacing w:line="360" w:lineRule="atLeast"/>
      <w:jc w:val="center"/>
      <w:textAlignment w:val="baseline"/>
    </w:pPr>
    <w:rPr>
      <w:rFonts w:ascii="黑体" w:eastAsia="黑体"/>
      <w:sz w:val="32"/>
    </w:rPr>
  </w:style>
  <w:style w:type="paragraph" w:customStyle="1" w:styleId="193">
    <w:name w:val="xl37"/>
    <w:basedOn w:val="1"/>
    <w:qFormat/>
    <w:uiPriority w:val="0"/>
    <w:pPr>
      <w:pBdr>
        <w:top w:val="single" w:color="auto" w:sz="4" w:space="0"/>
        <w:left w:val="single" w:color="auto" w:sz="4" w:space="0"/>
        <w:bottom w:val="single" w:color="auto" w:sz="4" w:space="0"/>
        <w:right w:val="single" w:color="auto" w:sz="4" w:space="0"/>
      </w:pBdr>
      <w:shd w:val="clear" w:color="auto" w:fill="FFFF99"/>
      <w:adjustRightInd w:val="0"/>
      <w:spacing w:before="100" w:beforeAutospacing="1" w:after="100" w:afterAutospacing="1"/>
      <w:textAlignment w:val="baseline"/>
    </w:pPr>
    <w:rPr>
      <w:rFonts w:ascii="宋体" w:hAnsi="宋体"/>
      <w:kern w:val="0"/>
      <w:sz w:val="20"/>
      <w:szCs w:val="21"/>
    </w:rPr>
  </w:style>
  <w:style w:type="paragraph" w:customStyle="1" w:styleId="194">
    <w:name w:val="xl30"/>
    <w:basedOn w:val="1"/>
    <w:qFormat/>
    <w:uiPriority w:val="0"/>
    <w:pPr>
      <w:widowControl/>
      <w:pBdr>
        <w:bottom w:val="single" w:color="auto" w:sz="4" w:space="0"/>
        <w:right w:val="single" w:color="auto" w:sz="4" w:space="0"/>
      </w:pBdr>
      <w:spacing w:before="100" w:beforeLines="0" w:beforeAutospacing="1" w:after="100" w:afterLines="0" w:afterAutospacing="1"/>
    </w:pPr>
    <w:rPr>
      <w:kern w:val="0"/>
    </w:rPr>
  </w:style>
  <w:style w:type="paragraph" w:customStyle="1" w:styleId="195">
    <w:name w:val=" Char1 Char Char Char Char Char Char"/>
    <w:basedOn w:val="1"/>
    <w:qFormat/>
    <w:uiPriority w:val="0"/>
    <w:rPr>
      <w:rFonts w:ascii="Tahoma" w:hAnsi="Tahoma"/>
      <w:sz w:val="24"/>
    </w:rPr>
  </w:style>
  <w:style w:type="paragraph" w:customStyle="1" w:styleId="196">
    <w:name w:val="样式2"/>
    <w:basedOn w:val="20"/>
    <w:qFormat/>
    <w:uiPriority w:val="0"/>
    <w:pPr>
      <w:spacing w:line="500" w:lineRule="exact"/>
      <w:jc w:val="center"/>
    </w:pPr>
    <w:rPr>
      <w:rFonts w:ascii="宋体" w:hAnsi="宋体"/>
      <w:b/>
      <w:kern w:val="44"/>
      <w:sz w:val="32"/>
      <w:szCs w:val="32"/>
      <w:lang w:val="en-GB"/>
    </w:rPr>
  </w:style>
  <w:style w:type="paragraph" w:customStyle="1" w:styleId="197">
    <w:name w:val="xl26"/>
    <w:basedOn w:val="1"/>
    <w:qFormat/>
    <w:uiPriority w:val="0"/>
    <w:pPr>
      <w:pBdr>
        <w:top w:val="double" w:color="auto" w:sz="6" w:space="0"/>
        <w:left w:val="single" w:color="auto" w:sz="4" w:space="0"/>
        <w:bottom w:val="double" w:color="auto" w:sz="6" w:space="0"/>
        <w:right w:val="double" w:color="auto" w:sz="6" w:space="0"/>
      </w:pBdr>
      <w:shd w:val="clear" w:color="auto" w:fill="FFFF99"/>
      <w:adjustRightInd w:val="0"/>
      <w:spacing w:before="100" w:beforeAutospacing="1" w:after="100" w:afterAutospacing="1"/>
      <w:jc w:val="center"/>
      <w:textAlignment w:val="baseline"/>
    </w:pPr>
    <w:rPr>
      <w:rFonts w:ascii="宋体" w:hAnsi="宋体"/>
      <w:b/>
      <w:bCs/>
      <w:kern w:val="0"/>
      <w:szCs w:val="24"/>
    </w:rPr>
  </w:style>
  <w:style w:type="paragraph" w:customStyle="1" w:styleId="198">
    <w:name w:val="6 Char Char Char Char Char Char Char1 Char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99">
    <w:name w:val="Char Char Char Char Char Char Char Char Char1 Char Char Char Char Char Char Char Char Char Char"/>
    <w:basedOn w:val="1"/>
    <w:qFormat/>
    <w:uiPriority w:val="0"/>
    <w:pPr>
      <w:widowControl/>
      <w:adjustRightInd w:val="0"/>
      <w:spacing w:after="160" w:line="240" w:lineRule="exact"/>
      <w:jc w:val="left"/>
      <w:textAlignment w:val="baseline"/>
    </w:pPr>
    <w:rPr>
      <w:rFonts w:ascii="Verdana" w:hAnsi="Verdana" w:eastAsia="仿宋_GB2312"/>
      <w:kern w:val="0"/>
      <w:sz w:val="28"/>
      <w:lang w:eastAsia="en-US"/>
    </w:rPr>
  </w:style>
  <w:style w:type="paragraph" w:customStyle="1" w:styleId="200">
    <w:name w:val="标题5"/>
    <w:basedOn w:val="7"/>
    <w:qFormat/>
    <w:uiPriority w:val="0"/>
    <w:pPr>
      <w:keepNext/>
      <w:keepLines/>
      <w:spacing w:line="360" w:lineRule="auto"/>
      <w:ind w:hanging="420" w:firstLineChars="200"/>
      <w:outlineLvl w:val="4"/>
    </w:pPr>
    <w:rPr>
      <w:sz w:val="24"/>
      <w:szCs w:val="28"/>
    </w:rPr>
  </w:style>
  <w:style w:type="paragraph" w:customStyle="1" w:styleId="201">
    <w:name w:val="正文_0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2">
    <w:name w:val="目录标题"/>
    <w:basedOn w:val="1"/>
    <w:next w:val="1"/>
    <w:qFormat/>
    <w:uiPriority w:val="0"/>
    <w:pPr>
      <w:adjustRightInd w:val="0"/>
      <w:spacing w:before="240" w:after="240"/>
      <w:jc w:val="center"/>
      <w:textAlignment w:val="baseline"/>
    </w:pPr>
    <w:rPr>
      <w:rFonts w:eastAsia="黑体"/>
      <w:b/>
      <w:sz w:val="28"/>
      <w:szCs w:val="28"/>
    </w:rPr>
  </w:style>
  <w:style w:type="paragraph" w:customStyle="1" w:styleId="203">
    <w:name w:val="Char1"/>
    <w:basedOn w:val="1"/>
    <w:qFormat/>
    <w:uiPriority w:val="0"/>
    <w:rPr>
      <w:rFonts w:ascii="Tahoma" w:hAnsi="Tahoma"/>
      <w:sz w:val="24"/>
    </w:rPr>
  </w:style>
  <w:style w:type="paragraph" w:customStyle="1" w:styleId="204">
    <w:name w:val="样式2潘"/>
    <w:basedOn w:val="1"/>
    <w:qFormat/>
    <w:uiPriority w:val="0"/>
    <w:rPr>
      <w:rFonts w:ascii="Arial" w:hAnsi="Arial" w:eastAsia="仿宋_GB2312"/>
      <w:szCs w:val="24"/>
    </w:rPr>
  </w:style>
  <w:style w:type="paragraph" w:customStyle="1" w:styleId="205">
    <w:name w:val="Plain Text"/>
    <w:basedOn w:val="1"/>
    <w:qFormat/>
    <w:uiPriority w:val="0"/>
    <w:rPr>
      <w:rFonts w:ascii="宋体" w:hAnsi="Courier New"/>
      <w:kern w:val="0"/>
      <w:sz w:val="20"/>
      <w:szCs w:val="21"/>
    </w:rPr>
  </w:style>
  <w:style w:type="paragraph" w:customStyle="1" w:styleId="206">
    <w:name w:val=" Char1"/>
    <w:basedOn w:val="1"/>
    <w:qFormat/>
    <w:uiPriority w:val="0"/>
    <w:rPr>
      <w:rFonts w:ascii="Tahoma" w:hAnsi="Tahoma"/>
      <w:sz w:val="24"/>
    </w:rPr>
  </w:style>
  <w:style w:type="paragraph" w:customStyle="1" w:styleId="207">
    <w:name w:val="样式 正文首行缩进 + 首行缩进:  1 字符2"/>
    <w:basedOn w:val="47"/>
    <w:qFormat/>
    <w:uiPriority w:val="0"/>
    <w:pPr>
      <w:adjustRightInd w:val="0"/>
      <w:spacing w:after="0" w:line="300" w:lineRule="auto"/>
      <w:ind w:firstLine="200" w:firstLineChars="200"/>
      <w:textAlignment w:val="baseline"/>
    </w:pPr>
    <w:rPr>
      <w:rFonts w:cs="宋体"/>
      <w:kern w:val="0"/>
      <w:szCs w:val="21"/>
    </w:rPr>
  </w:style>
  <w:style w:type="paragraph" w:customStyle="1" w:styleId="208">
    <w:name w:val="样式 标题 3 + 段前: 0 磅 段后: 0 磅 行距: 单倍行距"/>
    <w:basedOn w:val="4"/>
    <w:next w:val="1"/>
    <w:qFormat/>
    <w:uiPriority w:val="0"/>
    <w:pPr>
      <w:keepLines w:val="0"/>
      <w:tabs>
        <w:tab w:val="clear" w:pos="5852"/>
      </w:tabs>
      <w:snapToGrid/>
      <w:spacing w:before="0" w:line="240" w:lineRule="auto"/>
      <w:ind w:left="360" w:firstLine="0"/>
    </w:pPr>
    <w:rPr>
      <w:rFonts w:ascii="宋体" w:hAnsi="宋体"/>
      <w:bCs/>
      <w:sz w:val="30"/>
      <w:szCs w:val="32"/>
    </w:rPr>
  </w:style>
  <w:style w:type="paragraph" w:customStyle="1" w:styleId="209">
    <w:name w:val="样式 标题 2第一章 标题 2Heading 2 HiddenHeading 2 CCBSheading 2H2h2..."/>
    <w:basedOn w:val="3"/>
    <w:qFormat/>
    <w:uiPriority w:val="0"/>
    <w:pPr>
      <w:keepNext w:val="0"/>
      <w:tabs>
        <w:tab w:val="left" w:pos="510"/>
        <w:tab w:val="left" w:pos="840"/>
      </w:tabs>
      <w:adjustRightInd w:val="0"/>
      <w:spacing w:line="415" w:lineRule="auto"/>
      <w:ind w:left="840" w:hanging="420"/>
      <w:jc w:val="both"/>
      <w:textAlignment w:val="baseline"/>
    </w:pPr>
    <w:rPr>
      <w:rFonts w:ascii="Arial" w:hAnsi="Arial" w:eastAsia="黑体"/>
      <w:snapToGrid w:val="0"/>
      <w:sz w:val="32"/>
      <w:szCs w:val="24"/>
    </w:rPr>
  </w:style>
  <w:style w:type="paragraph" w:customStyle="1" w:styleId="210">
    <w:name w:val="font10"/>
    <w:basedOn w:val="1"/>
    <w:qFormat/>
    <w:uiPriority w:val="0"/>
    <w:pPr>
      <w:adjustRightInd w:val="0"/>
      <w:spacing w:before="100" w:beforeAutospacing="1" w:after="100" w:afterAutospacing="1"/>
      <w:textAlignment w:val="baseline"/>
    </w:pPr>
    <w:rPr>
      <w:color w:val="0000FF"/>
      <w:kern w:val="0"/>
      <w:sz w:val="20"/>
      <w:szCs w:val="21"/>
    </w:rPr>
  </w:style>
  <w:style w:type="paragraph" w:customStyle="1" w:styleId="211">
    <w:name w:val="图题2"/>
    <w:basedOn w:val="212"/>
    <w:next w:val="1"/>
    <w:qFormat/>
    <w:uiPriority w:val="0"/>
    <w:pPr>
      <w:numPr>
        <w:ilvl w:val="1"/>
        <w:numId w:val="5"/>
      </w:numPr>
      <w:tabs>
        <w:tab w:val="left" w:pos="720"/>
      </w:tabs>
      <w:snapToGrid/>
    </w:pPr>
  </w:style>
  <w:style w:type="paragraph" w:customStyle="1" w:styleId="212">
    <w:name w:val="图题"/>
    <w:basedOn w:val="1"/>
    <w:next w:val="1"/>
    <w:qFormat/>
    <w:uiPriority w:val="0"/>
    <w:pPr>
      <w:adjustRightInd w:val="0"/>
      <w:snapToGrid w:val="0"/>
      <w:spacing w:before="50" w:after="50"/>
      <w:jc w:val="center"/>
      <w:textAlignment w:val="baseline"/>
    </w:pPr>
    <w:rPr>
      <w:b/>
      <w:sz w:val="18"/>
      <w:szCs w:val="21"/>
    </w:rPr>
  </w:style>
  <w:style w:type="paragraph" w:customStyle="1" w:styleId="213">
    <w:name w:val="9001"/>
    <w:basedOn w:val="1"/>
    <w:qFormat/>
    <w:uiPriority w:val="0"/>
    <w:pPr>
      <w:tabs>
        <w:tab w:val="left" w:pos="885"/>
      </w:tabs>
      <w:adjustRightInd w:val="0"/>
      <w:spacing w:before="40" w:after="40" w:line="360" w:lineRule="auto"/>
      <w:ind w:left="885" w:right="210" w:hanging="360"/>
      <w:textAlignment w:val="baseline"/>
    </w:pPr>
    <w:rPr>
      <w:szCs w:val="21"/>
    </w:rPr>
  </w:style>
  <w:style w:type="paragraph" w:customStyle="1" w:styleId="214">
    <w:name w:val="Noident"/>
    <w:basedOn w:val="1"/>
    <w:qFormat/>
    <w:uiPriority w:val="0"/>
    <w:pPr>
      <w:widowControl/>
      <w:spacing w:line="300" w:lineRule="auto"/>
    </w:pPr>
    <w:rPr>
      <w:sz w:val="24"/>
    </w:rPr>
  </w:style>
  <w:style w:type="paragraph" w:customStyle="1" w:styleId="215">
    <w:name w:val="正文_5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6">
    <w:name w:val="章标题"/>
    <w:next w:val="1"/>
    <w:qFormat/>
    <w:uiPriority w:val="0"/>
    <w:pPr>
      <w:tabs>
        <w:tab w:val="left" w:pos="1145"/>
      </w:tabs>
      <w:spacing w:before="156" w:beforeLines="50" w:after="156" w:afterLines="50"/>
      <w:ind w:left="1145" w:hanging="420"/>
      <w:jc w:val="both"/>
      <w:outlineLvl w:val="1"/>
    </w:pPr>
    <w:rPr>
      <w:rFonts w:ascii="黑体" w:hAnsi="Times New Roman" w:eastAsia="黑体" w:cs="Times New Roman"/>
      <w:sz w:val="21"/>
      <w:lang w:val="en-US" w:eastAsia="zh-CN" w:bidi="ar-SA"/>
    </w:rPr>
  </w:style>
  <w:style w:type="paragraph" w:customStyle="1" w:styleId="217">
    <w:name w:val="封面标题"/>
    <w:basedOn w:val="1"/>
    <w:qFormat/>
    <w:uiPriority w:val="0"/>
    <w:pPr>
      <w:adjustRightInd w:val="0"/>
      <w:snapToGrid w:val="0"/>
      <w:spacing w:line="360" w:lineRule="auto"/>
      <w:jc w:val="center"/>
      <w:textAlignment w:val="baseline"/>
    </w:pPr>
    <w:rPr>
      <w:rFonts w:eastAsia="黑体"/>
      <w:kern w:val="0"/>
      <w:sz w:val="52"/>
      <w:szCs w:val="21"/>
    </w:rPr>
  </w:style>
  <w:style w:type="paragraph" w:customStyle="1" w:styleId="218">
    <w:name w:val="Table Heading Char"/>
    <w:qFormat/>
    <w:uiPriority w:val="0"/>
    <w:pPr>
      <w:snapToGrid w:val="0"/>
      <w:jc w:val="center"/>
    </w:pPr>
    <w:rPr>
      <w:rFonts w:ascii="Arial" w:hAnsi="Arial" w:eastAsia="黑体" w:cs="Times New Roman"/>
      <w:sz w:val="18"/>
      <w:lang w:val="en-US" w:eastAsia="zh-CN" w:bidi="ar-SA"/>
    </w:rPr>
  </w:style>
  <w:style w:type="paragraph" w:customStyle="1" w:styleId="219">
    <w:name w:val="xl29"/>
    <w:basedOn w:val="1"/>
    <w:qFormat/>
    <w:uiPriority w:val="0"/>
    <w:pPr>
      <w:pBdr>
        <w:left w:val="single" w:color="auto" w:sz="4" w:space="0"/>
        <w:bottom w:val="single" w:color="auto" w:sz="4" w:space="0"/>
        <w:right w:val="double" w:color="auto" w:sz="6" w:space="0"/>
      </w:pBdr>
      <w:adjustRightInd w:val="0"/>
      <w:spacing w:before="100" w:beforeAutospacing="1" w:after="100" w:afterAutospacing="1"/>
      <w:textAlignment w:val="baseline"/>
    </w:pPr>
    <w:rPr>
      <w:rFonts w:ascii="宋体" w:hAnsi="宋体"/>
      <w:kern w:val="0"/>
      <w:sz w:val="20"/>
      <w:szCs w:val="21"/>
    </w:rPr>
  </w:style>
  <w:style w:type="paragraph" w:customStyle="1" w:styleId="220">
    <w:name w:val="默认段落字体 Para Char"/>
    <w:basedOn w:val="1"/>
    <w:qFormat/>
    <w:uiPriority w:val="0"/>
    <w:pPr>
      <w:adjustRightInd w:val="0"/>
      <w:spacing w:line="360" w:lineRule="auto"/>
    </w:pPr>
    <w:rPr>
      <w:kern w:val="0"/>
      <w:sz w:val="24"/>
    </w:rPr>
  </w:style>
  <w:style w:type="paragraph" w:customStyle="1" w:styleId="221">
    <w:name w:val="xl31"/>
    <w:basedOn w:val="1"/>
    <w:qFormat/>
    <w:uiPriority w:val="0"/>
    <w:pPr>
      <w:pBdr>
        <w:top w:val="single" w:color="auto" w:sz="4" w:space="0"/>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kern w:val="0"/>
      <w:sz w:val="20"/>
      <w:szCs w:val="21"/>
    </w:rPr>
  </w:style>
  <w:style w:type="paragraph" w:customStyle="1" w:styleId="222">
    <w:name w:val="lq_标题2"/>
    <w:basedOn w:val="1"/>
    <w:qFormat/>
    <w:uiPriority w:val="0"/>
    <w:pPr>
      <w:snapToGrid w:val="0"/>
      <w:spacing w:line="360" w:lineRule="auto"/>
      <w:ind w:firstLine="200" w:firstLineChars="200"/>
    </w:pPr>
    <w:rPr>
      <w:rFonts w:ascii="仿宋_GB2312" w:hAnsi="宋体" w:eastAsia="仿宋_GB2312"/>
      <w:b/>
      <w:bCs/>
      <w:color w:val="000000"/>
      <w:sz w:val="28"/>
      <w:szCs w:val="28"/>
    </w:rPr>
  </w:style>
  <w:style w:type="paragraph" w:customStyle="1" w:styleId="223">
    <w:name w:val="表文"/>
    <w:qFormat/>
    <w:uiPriority w:val="0"/>
    <w:rPr>
      <w:rFonts w:ascii="Times New Roman" w:hAnsi="Times New Roman" w:eastAsia="宋体" w:cs="Times New Roman"/>
      <w:bCs/>
      <w:sz w:val="24"/>
      <w:lang w:val="en-US" w:eastAsia="zh-CN" w:bidi="ar-SA"/>
    </w:rPr>
  </w:style>
  <w:style w:type="paragraph" w:customStyle="1" w:styleId="224">
    <w:name w:val="样式 正文文字缩进 + 左侧:  0.75 厘米 首行缩进:  1.12 厘米"/>
    <w:basedOn w:val="21"/>
    <w:qFormat/>
    <w:uiPriority w:val="0"/>
    <w:pPr>
      <w:adjustRightInd w:val="0"/>
      <w:spacing w:after="0" w:line="300" w:lineRule="auto"/>
      <w:ind w:left="0" w:leftChars="0" w:firstLine="200" w:firstLineChars="200"/>
      <w:textAlignment w:val="baseline"/>
    </w:pPr>
    <w:rPr>
      <w:szCs w:val="21"/>
    </w:rPr>
  </w:style>
  <w:style w:type="paragraph" w:customStyle="1" w:styleId="225">
    <w:name w:val="样式 标题 1 + 小二 非加粗"/>
    <w:basedOn w:val="2"/>
    <w:qFormat/>
    <w:uiPriority w:val="0"/>
    <w:pPr>
      <w:spacing w:line="578" w:lineRule="auto"/>
      <w:ind w:left="425" w:hanging="425"/>
      <w:jc w:val="both"/>
    </w:pPr>
    <w:rPr>
      <w:rFonts w:eastAsia="宋体"/>
      <w:szCs w:val="44"/>
    </w:rPr>
  </w:style>
  <w:style w:type="paragraph" w:customStyle="1" w:styleId="226">
    <w:name w:val=" Char2 Char Char Char"/>
    <w:basedOn w:val="1"/>
    <w:qFormat/>
    <w:uiPriority w:val="0"/>
    <w:rPr>
      <w:rFonts w:ascii="Tahoma" w:hAnsi="Tahoma"/>
      <w:sz w:val="24"/>
    </w:rPr>
  </w:style>
  <w:style w:type="paragraph" w:customStyle="1" w:styleId="227">
    <w:name w:val="样式 图题 + Helvetica 五号 段前: 7.8 磅 段后: 7.8 磅"/>
    <w:basedOn w:val="212"/>
    <w:qFormat/>
    <w:uiPriority w:val="0"/>
    <w:pPr>
      <w:snapToGrid/>
      <w:spacing w:before="0" w:after="0"/>
    </w:pPr>
    <w:rPr>
      <w:rFonts w:ascii="Helvetica" w:hAnsi="Helvetica"/>
      <w:bCs/>
      <w:sz w:val="21"/>
    </w:rPr>
  </w:style>
  <w:style w:type="paragraph" w:customStyle="1" w:styleId="228">
    <w:name w:val="Char"/>
    <w:basedOn w:val="1"/>
    <w:qFormat/>
    <w:uiPriority w:val="0"/>
    <w:rPr>
      <w:rFonts w:ascii="Tahoma" w:hAnsi="Tahoma"/>
      <w:sz w:val="24"/>
    </w:rPr>
  </w:style>
  <w:style w:type="paragraph" w:customStyle="1" w:styleId="229">
    <w:name w:val="纯文本 New"/>
    <w:basedOn w:val="230"/>
    <w:qFormat/>
    <w:uiPriority w:val="0"/>
    <w:pPr>
      <w:widowControl/>
      <w:jc w:val="left"/>
    </w:pPr>
    <w:rPr>
      <w:rFonts w:ascii="宋体" w:hAnsi="Courier New"/>
    </w:rPr>
  </w:style>
  <w:style w:type="paragraph" w:customStyle="1" w:styleId="2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1">
    <w:name w:val=" Char Char Char Char Char Char"/>
    <w:basedOn w:val="1"/>
    <w:qFormat/>
    <w:uiPriority w:val="0"/>
    <w:rPr>
      <w:rFonts w:ascii="Tahoma" w:hAnsi="Tahoma"/>
      <w:sz w:val="24"/>
    </w:rPr>
  </w:style>
  <w:style w:type="paragraph" w:customStyle="1" w:styleId="232">
    <w:name w:val="Char Char Char Char"/>
    <w:basedOn w:val="17"/>
    <w:qFormat/>
    <w:uiPriority w:val="0"/>
    <w:pPr>
      <w:adjustRightInd w:val="0"/>
      <w:snapToGrid w:val="0"/>
      <w:spacing w:line="360" w:lineRule="auto"/>
    </w:pPr>
    <w:rPr>
      <w:rFonts w:ascii="Tahoma" w:hAnsi="Tahoma"/>
      <w:sz w:val="24"/>
    </w:rPr>
  </w:style>
  <w:style w:type="paragraph" w:customStyle="1" w:styleId="233">
    <w:name w:val="投标 - 引用表格"/>
    <w:basedOn w:val="1"/>
    <w:qFormat/>
    <w:uiPriority w:val="0"/>
    <w:pPr>
      <w:adjustRightInd w:val="0"/>
      <w:snapToGrid w:val="0"/>
      <w:textAlignment w:val="baseline"/>
    </w:pPr>
    <w:rPr>
      <w:b/>
      <w:bCs/>
      <w:i/>
      <w:kern w:val="0"/>
      <w:szCs w:val="21"/>
    </w:rPr>
  </w:style>
  <w:style w:type="paragraph" w:customStyle="1" w:styleId="234">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5">
    <w:name w:val="沈阳系统功能编号"/>
    <w:basedOn w:val="47"/>
    <w:qFormat/>
    <w:uiPriority w:val="0"/>
    <w:pPr>
      <w:numPr>
        <w:ilvl w:val="0"/>
        <w:numId w:val="6"/>
      </w:numPr>
      <w:tabs>
        <w:tab w:val="left" w:pos="360"/>
        <w:tab w:val="left" w:pos="1387"/>
      </w:tabs>
      <w:adjustRightInd w:val="0"/>
      <w:spacing w:after="0" w:line="300" w:lineRule="auto"/>
      <w:ind w:left="0" w:firstLine="420" w:firstLineChars="0"/>
      <w:textAlignment w:val="baseline"/>
    </w:pPr>
    <w:rPr>
      <w:kern w:val="0"/>
      <w:szCs w:val="21"/>
    </w:rPr>
  </w:style>
  <w:style w:type="paragraph" w:customStyle="1" w:styleId="236">
    <w:name w:val="数字标题4"/>
    <w:basedOn w:val="5"/>
    <w:qFormat/>
    <w:uiPriority w:val="0"/>
    <w:pPr>
      <w:numPr>
        <w:ilvl w:val="4"/>
        <w:numId w:val="7"/>
      </w:numPr>
      <w:tabs>
        <w:tab w:val="left" w:pos="2520"/>
        <w:tab w:val="clear" w:pos="425"/>
      </w:tabs>
      <w:spacing w:before="0" w:line="376" w:lineRule="auto"/>
      <w:ind w:left="0" w:firstLine="0"/>
    </w:pPr>
    <w:rPr>
      <w:rFonts w:hAnsi="宋体"/>
      <w:bCs/>
      <w:sz w:val="24"/>
      <w:szCs w:val="24"/>
    </w:rPr>
  </w:style>
  <w:style w:type="paragraph" w:customStyle="1" w:styleId="237">
    <w:name w:val="样式 行距: 多倍行距 1.25 字行"/>
    <w:basedOn w:val="1"/>
    <w:qFormat/>
    <w:uiPriority w:val="0"/>
    <w:pPr>
      <w:adjustRightInd w:val="0"/>
      <w:spacing w:line="300" w:lineRule="auto"/>
      <w:ind w:firstLine="200" w:firstLineChars="200"/>
      <w:textAlignment w:val="baseline"/>
    </w:pPr>
    <w:rPr>
      <w:rFonts w:cs="宋体"/>
      <w:kern w:val="0"/>
      <w:szCs w:val="21"/>
    </w:rPr>
  </w:style>
  <w:style w:type="paragraph" w:customStyle="1" w:styleId="238">
    <w:name w:val="数字标题6"/>
    <w:basedOn w:val="8"/>
    <w:next w:val="1"/>
    <w:qFormat/>
    <w:uiPriority w:val="0"/>
    <w:pPr>
      <w:spacing w:line="320" w:lineRule="auto"/>
      <w:ind w:left="3002" w:hanging="420"/>
    </w:pPr>
    <w:rPr>
      <w:rFonts w:ascii="Times New Roman" w:hAnsi="Times New Roman" w:eastAsia="宋体"/>
      <w:bCs/>
      <w:i/>
      <w:szCs w:val="24"/>
    </w:rPr>
  </w:style>
  <w:style w:type="paragraph" w:customStyle="1" w:styleId="239">
    <w:name w:val="数字标题5"/>
    <w:basedOn w:val="6"/>
    <w:next w:val="1"/>
    <w:qFormat/>
    <w:uiPriority w:val="0"/>
    <w:pPr>
      <w:numPr>
        <w:ilvl w:val="5"/>
        <w:numId w:val="7"/>
      </w:numPr>
      <w:tabs>
        <w:tab w:val="left" w:pos="1440"/>
      </w:tabs>
      <w:spacing w:line="376" w:lineRule="auto"/>
      <w:ind w:left="1440"/>
    </w:pPr>
    <w:rPr>
      <w:bCs/>
      <w:szCs w:val="28"/>
    </w:rPr>
  </w:style>
  <w:style w:type="paragraph" w:customStyle="1" w:styleId="240">
    <w:name w:val="正文0"/>
    <w:basedOn w:val="1"/>
    <w:qFormat/>
    <w:uiPriority w:val="0"/>
    <w:pPr>
      <w:autoSpaceDE w:val="0"/>
      <w:autoSpaceDN w:val="0"/>
      <w:adjustRightInd w:val="0"/>
      <w:spacing w:before="240" w:after="60" w:line="360" w:lineRule="atLeast"/>
    </w:pPr>
    <w:rPr>
      <w:b/>
      <w:kern w:val="0"/>
      <w:sz w:val="24"/>
    </w:rPr>
  </w:style>
  <w:style w:type="paragraph" w:customStyle="1" w:styleId="241">
    <w:name w:val="Table Text"/>
    <w:qFormat/>
    <w:uiPriority w:val="0"/>
    <w:pPr>
      <w:snapToGrid w:val="0"/>
      <w:spacing w:before="80" w:after="80"/>
    </w:pPr>
    <w:rPr>
      <w:rFonts w:ascii="Arial" w:hAnsi="Arial" w:eastAsia="宋体" w:cs="Times New Roman"/>
      <w:sz w:val="18"/>
      <w:lang w:val="en-US" w:eastAsia="en-US" w:bidi="ar-SA"/>
    </w:rPr>
  </w:style>
  <w:style w:type="paragraph" w:customStyle="1" w:styleId="242">
    <w:name w:val="Char2 Char Char Char"/>
    <w:basedOn w:val="1"/>
    <w:qFormat/>
    <w:uiPriority w:val="0"/>
    <w:rPr>
      <w:rFonts w:ascii="Tahoma" w:hAnsi="Tahoma"/>
      <w:sz w:val="24"/>
    </w:rPr>
  </w:style>
  <w:style w:type="paragraph" w:customStyle="1" w:styleId="243">
    <w:name w:val="Char Char Char Char Char Char Char Char Char Char Char Char Char Char Char Char Char Char Char"/>
    <w:basedOn w:val="1"/>
    <w:qFormat/>
    <w:uiPriority w:val="0"/>
    <w:pPr>
      <w:numPr>
        <w:ilvl w:val="0"/>
        <w:numId w:val="8"/>
      </w:numPr>
      <w:tabs>
        <w:tab w:val="left" w:pos="907"/>
      </w:tabs>
      <w:ind w:left="907" w:hanging="453"/>
    </w:pPr>
    <w:rPr>
      <w:sz w:val="24"/>
      <w:szCs w:val="24"/>
    </w:rPr>
  </w:style>
  <w:style w:type="paragraph" w:customStyle="1" w:styleId="244">
    <w:name w:val="xl27"/>
    <w:basedOn w:val="1"/>
    <w:qFormat/>
    <w:uiPriority w:val="0"/>
    <w:pPr>
      <w:pBdr>
        <w:left w:val="double" w:color="auto" w:sz="6" w:space="0"/>
        <w:bottom w:val="single" w:color="auto" w:sz="4" w:space="0"/>
        <w:right w:val="single" w:color="auto" w:sz="4" w:space="0"/>
      </w:pBdr>
      <w:adjustRightInd w:val="0"/>
      <w:spacing w:before="100" w:beforeAutospacing="1" w:after="100" w:afterAutospacing="1"/>
      <w:jc w:val="center"/>
      <w:textAlignment w:val="baseline"/>
    </w:pPr>
    <w:rPr>
      <w:rFonts w:ascii="宋体" w:hAnsi="宋体"/>
      <w:kern w:val="0"/>
      <w:sz w:val="20"/>
      <w:szCs w:val="21"/>
    </w:rPr>
  </w:style>
  <w:style w:type="paragraph" w:customStyle="1" w:styleId="245">
    <w:name w:val="正文首行缩进1"/>
    <w:basedOn w:val="1"/>
    <w:qFormat/>
    <w:uiPriority w:val="0"/>
    <w:pPr>
      <w:adjustRightInd w:val="0"/>
      <w:spacing w:line="300" w:lineRule="auto"/>
      <w:ind w:firstLine="200" w:firstLineChars="200"/>
      <w:textAlignment w:val="baseline"/>
    </w:pPr>
    <w:rPr>
      <w:rFonts w:cs="宋体"/>
      <w:kern w:val="0"/>
      <w:szCs w:val="21"/>
    </w:rPr>
  </w:style>
  <w:style w:type="paragraph" w:customStyle="1" w:styleId="246">
    <w:name w:val="沈阳设备性能编号"/>
    <w:basedOn w:val="247"/>
    <w:qFormat/>
    <w:uiPriority w:val="0"/>
    <w:pPr>
      <w:tabs>
        <w:tab w:val="left" w:pos="360"/>
        <w:tab w:val="left" w:pos="420"/>
        <w:tab w:val="left" w:pos="1387"/>
      </w:tabs>
    </w:pPr>
  </w:style>
  <w:style w:type="paragraph" w:customStyle="1" w:styleId="247">
    <w:name w:val="沈阳设备组成编号"/>
    <w:basedOn w:val="47"/>
    <w:qFormat/>
    <w:uiPriority w:val="0"/>
    <w:pPr>
      <w:numPr>
        <w:ilvl w:val="0"/>
        <w:numId w:val="9"/>
      </w:numPr>
      <w:tabs>
        <w:tab w:val="left" w:pos="360"/>
        <w:tab w:val="left" w:pos="1387"/>
      </w:tabs>
      <w:adjustRightInd w:val="0"/>
      <w:spacing w:after="0" w:line="300" w:lineRule="auto"/>
      <w:ind w:left="0" w:firstLine="420" w:firstLineChars="0"/>
      <w:textAlignment w:val="baseline"/>
    </w:pPr>
    <w:rPr>
      <w:kern w:val="0"/>
      <w:szCs w:val="21"/>
    </w:rPr>
  </w:style>
  <w:style w:type="paragraph" w:customStyle="1" w:styleId="248">
    <w:name w:val="数字标题1"/>
    <w:basedOn w:val="2"/>
    <w:next w:val="1"/>
    <w:qFormat/>
    <w:uiPriority w:val="0"/>
    <w:pPr>
      <w:spacing w:before="0" w:after="0" w:line="360" w:lineRule="auto"/>
      <w:ind w:firstLine="241" w:firstLineChars="100"/>
      <w:jc w:val="both"/>
    </w:pPr>
    <w:rPr>
      <w:rFonts w:ascii="宋体" w:hAnsi="宋体" w:eastAsia="宋体"/>
      <w:bCs/>
      <w:sz w:val="24"/>
      <w:szCs w:val="24"/>
    </w:rPr>
  </w:style>
  <w:style w:type="paragraph" w:customStyle="1" w:styleId="249">
    <w:name w:val="xl39"/>
    <w:basedOn w:val="1"/>
    <w:qFormat/>
    <w:uiPriority w:val="0"/>
    <w:pPr>
      <w:pBdr>
        <w:top w:val="single" w:color="auto" w:sz="4" w:space="0"/>
        <w:left w:val="single" w:color="auto" w:sz="4" w:space="0"/>
        <w:bottom w:val="single" w:color="auto" w:sz="4" w:space="0"/>
        <w:right w:val="double" w:color="auto" w:sz="6" w:space="0"/>
      </w:pBdr>
      <w:shd w:val="clear" w:color="auto" w:fill="FFFF99"/>
      <w:adjustRightInd w:val="0"/>
      <w:spacing w:before="100" w:beforeAutospacing="1" w:after="100" w:afterAutospacing="1"/>
      <w:textAlignment w:val="baseline"/>
    </w:pPr>
    <w:rPr>
      <w:rFonts w:ascii="宋体" w:hAnsi="宋体"/>
      <w:kern w:val="0"/>
      <w:sz w:val="20"/>
      <w:szCs w:val="21"/>
    </w:rPr>
  </w:style>
  <w:style w:type="paragraph" w:customStyle="1" w:styleId="250">
    <w:name w:val="样式 (西文) 宋体 小四 首行缩进:  2 字符1 Char Char Char Char"/>
    <w:basedOn w:val="1"/>
    <w:qFormat/>
    <w:uiPriority w:val="0"/>
    <w:pPr>
      <w:ind w:firstLine="480" w:firstLineChars="200"/>
    </w:pPr>
    <w:rPr>
      <w:rFonts w:ascii="宋体" w:hAnsi="宋体" w:cs="宋体"/>
      <w:sz w:val="24"/>
      <w:szCs w:val="24"/>
    </w:rPr>
  </w:style>
  <w:style w:type="paragraph" w:customStyle="1" w:styleId="251">
    <w:name w:val="正文1级项目符号"/>
    <w:basedOn w:val="20"/>
    <w:qFormat/>
    <w:uiPriority w:val="0"/>
    <w:pPr>
      <w:adjustRightInd w:val="0"/>
      <w:spacing w:before="120" w:after="120" w:line="360" w:lineRule="exact"/>
      <w:textAlignment w:val="baseline"/>
    </w:pPr>
    <w:rPr>
      <w:kern w:val="0"/>
      <w:sz w:val="21"/>
      <w:szCs w:val="21"/>
    </w:rPr>
  </w:style>
  <w:style w:type="paragraph" w:customStyle="1" w:styleId="252">
    <w:name w:val="WPSOffice手动目录 3"/>
    <w:qFormat/>
    <w:uiPriority w:val="0"/>
    <w:pPr>
      <w:ind w:leftChars="400"/>
    </w:pPr>
    <w:rPr>
      <w:rFonts w:ascii="Times New Roman" w:hAnsi="Times New Roman" w:eastAsia="宋体" w:cs="Times New Roman"/>
      <w:lang w:val="en-US" w:eastAsia="zh-CN" w:bidi="ar-SA"/>
    </w:rPr>
  </w:style>
  <w:style w:type="paragraph" w:customStyle="1" w:styleId="253">
    <w:name w:val="普通正文"/>
    <w:basedOn w:val="1"/>
    <w:qFormat/>
    <w:uiPriority w:val="0"/>
    <w:pPr>
      <w:adjustRightInd w:val="0"/>
      <w:spacing w:before="120" w:after="120" w:line="360" w:lineRule="auto"/>
      <w:ind w:firstLine="480"/>
      <w:jc w:val="left"/>
      <w:textAlignment w:val="baseline"/>
    </w:pPr>
    <w:rPr>
      <w:rFonts w:ascii="Arial" w:hAnsi="Arial"/>
      <w:kern w:val="0"/>
      <w:sz w:val="28"/>
      <w:szCs w:val="24"/>
    </w:rPr>
  </w:style>
  <w:style w:type="paragraph" w:customStyle="1" w:styleId="254">
    <w:name w:val="沈阳系统性能编号"/>
    <w:basedOn w:val="174"/>
    <w:qFormat/>
    <w:uiPriority w:val="0"/>
    <w:pPr>
      <w:numPr>
        <w:ilvl w:val="0"/>
        <w:numId w:val="10"/>
      </w:numPr>
      <w:tabs>
        <w:tab w:val="clear" w:pos="0"/>
        <w:tab w:val="clear" w:pos="1387"/>
      </w:tabs>
      <w:ind w:left="0" w:firstLine="420"/>
    </w:pPr>
  </w:style>
  <w:style w:type="paragraph" w:customStyle="1" w:styleId="25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6">
    <w:name w:val="Char Char Char Char Char Char Char Char Char Char Char Char Char"/>
    <w:basedOn w:val="1"/>
    <w:qFormat/>
    <w:uiPriority w:val="0"/>
    <w:rPr>
      <w:rFonts w:ascii="Tahoma" w:hAnsi="Tahoma"/>
      <w:sz w:val="24"/>
    </w:rPr>
  </w:style>
  <w:style w:type="paragraph" w:customStyle="1" w:styleId="257">
    <w:name w:val="Char Char"/>
    <w:basedOn w:val="1"/>
    <w:qFormat/>
    <w:uiPriority w:val="0"/>
    <w:pPr>
      <w:adjustRightInd w:val="0"/>
      <w:spacing w:line="360" w:lineRule="auto"/>
    </w:pPr>
    <w:rPr>
      <w:kern w:val="0"/>
      <w:sz w:val="24"/>
    </w:rPr>
  </w:style>
  <w:style w:type="paragraph" w:customStyle="1" w:styleId="258">
    <w:name w:val="Char Char Char Char Char Char Char"/>
    <w:basedOn w:val="1"/>
    <w:qFormat/>
    <w:uiPriority w:val="0"/>
    <w:pPr>
      <w:widowControl/>
      <w:spacing w:after="160" w:line="240" w:lineRule="exact"/>
      <w:jc w:val="left"/>
    </w:pPr>
    <w:rPr>
      <w:szCs w:val="24"/>
    </w:rPr>
  </w:style>
  <w:style w:type="paragraph" w:customStyle="1" w:styleId="259">
    <w:name w:val="1 Char"/>
    <w:basedOn w:val="1"/>
    <w:qFormat/>
    <w:uiPriority w:val="0"/>
    <w:pPr>
      <w:tabs>
        <w:tab w:val="left" w:pos="1571"/>
      </w:tabs>
      <w:ind w:left="1571" w:hanging="851"/>
    </w:pPr>
    <w:rPr>
      <w:sz w:val="24"/>
      <w:szCs w:val="24"/>
    </w:rPr>
  </w:style>
  <w:style w:type="paragraph" w:customStyle="1" w:styleId="260">
    <w:name w:val="图1"/>
    <w:basedOn w:val="1"/>
    <w:next w:val="1"/>
    <w:qFormat/>
    <w:uiPriority w:val="0"/>
    <w:pPr>
      <w:tabs>
        <w:tab w:val="left" w:pos="425"/>
      </w:tabs>
      <w:spacing w:before="156" w:beforeLines="50" w:after="312" w:afterLines="100" w:line="360" w:lineRule="auto"/>
      <w:ind w:left="1105" w:hanging="748"/>
    </w:pPr>
    <w:rPr>
      <w:kern w:val="0"/>
      <w:sz w:val="24"/>
      <w:szCs w:val="24"/>
    </w:rPr>
  </w:style>
  <w:style w:type="paragraph" w:customStyle="1" w:styleId="261">
    <w:name w:val=" Char Char Char Char Char Char Char Char Char Char Char Char Char Char Char Char Char Char Char Char Char Char"/>
    <w:basedOn w:val="1"/>
    <w:qFormat/>
    <w:uiPriority w:val="0"/>
    <w:rPr>
      <w:rFonts w:ascii="Tahoma" w:hAnsi="Tahoma"/>
      <w:sz w:val="24"/>
    </w:rPr>
  </w:style>
  <w:style w:type="paragraph" w:customStyle="1" w:styleId="262">
    <w:name w:val="标题 9 + 小四"/>
    <w:basedOn w:val="11"/>
    <w:qFormat/>
    <w:uiPriority w:val="0"/>
    <w:pPr>
      <w:spacing w:line="320" w:lineRule="auto"/>
      <w:ind w:left="359" w:leftChars="171" w:hanging="420"/>
    </w:pPr>
    <w:rPr>
      <w:sz w:val="24"/>
      <w:szCs w:val="24"/>
    </w:rPr>
  </w:style>
  <w:style w:type="paragraph" w:customStyle="1" w:styleId="263">
    <w:name w:val="文档标题"/>
    <w:basedOn w:val="1"/>
    <w:qFormat/>
    <w:uiPriority w:val="0"/>
    <w:pPr>
      <w:tabs>
        <w:tab w:val="left" w:pos="0"/>
      </w:tabs>
      <w:autoSpaceDE w:val="0"/>
      <w:autoSpaceDN w:val="0"/>
      <w:adjustRightInd w:val="0"/>
      <w:spacing w:before="300" w:after="300" w:line="360" w:lineRule="auto"/>
      <w:jc w:val="center"/>
    </w:pPr>
    <w:rPr>
      <w:rFonts w:ascii="Arial" w:hAnsi="Arial" w:eastAsia="黑体"/>
      <w:snapToGrid w:val="0"/>
      <w:kern w:val="0"/>
      <w:sz w:val="36"/>
      <w:szCs w:val="36"/>
    </w:rPr>
  </w:style>
  <w:style w:type="paragraph" w:customStyle="1" w:styleId="264">
    <w:name w:val="样式1"/>
    <w:basedOn w:val="2"/>
    <w:qFormat/>
    <w:uiPriority w:val="0"/>
    <w:pPr>
      <w:spacing w:line="0" w:lineRule="atLeast"/>
    </w:pPr>
    <w:rPr>
      <w:b w:val="0"/>
    </w:rPr>
  </w:style>
  <w:style w:type="paragraph" w:customStyle="1" w:styleId="265">
    <w:name w:val="样式 正文首行缩进 + 首行缩进:  1 字符1"/>
    <w:basedOn w:val="47"/>
    <w:qFormat/>
    <w:uiPriority w:val="0"/>
    <w:pPr>
      <w:adjustRightInd w:val="0"/>
      <w:spacing w:after="0" w:line="300" w:lineRule="auto"/>
      <w:ind w:firstLine="200" w:firstLineChars="200"/>
      <w:textAlignment w:val="baseline"/>
    </w:pPr>
    <w:rPr>
      <w:rFonts w:cs="宋体"/>
      <w:kern w:val="0"/>
      <w:szCs w:val="21"/>
    </w:rPr>
  </w:style>
  <w:style w:type="paragraph" w:customStyle="1" w:styleId="266">
    <w:name w:val=" 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67">
    <w:name w:val=" Char Char Char Char Char Char Char Char Char1 Char Char Char Char"/>
    <w:basedOn w:val="1"/>
    <w:qFormat/>
    <w:uiPriority w:val="0"/>
    <w:rPr>
      <w:rFonts w:ascii="Tahoma" w:hAnsi="Tahoma"/>
      <w:sz w:val="24"/>
    </w:rPr>
  </w:style>
  <w:style w:type="paragraph" w:customStyle="1" w:styleId="268">
    <w:name w:val="正文_35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
    <w:name w:val="样式 标题 7标题 7 Char + 行距: 固定值 18 磅"/>
    <w:basedOn w:val="9"/>
    <w:qFormat/>
    <w:uiPriority w:val="0"/>
    <w:pPr>
      <w:spacing w:before="0" w:after="0" w:line="360" w:lineRule="exact"/>
      <w:ind w:firstLine="357"/>
    </w:pPr>
    <w:rPr>
      <w:rFonts w:ascii="宋体" w:hAnsi="宋体" w:eastAsia="黑体" w:cs="宋体"/>
      <w:bCs/>
    </w:rPr>
  </w:style>
  <w:style w:type="paragraph" w:customStyle="1" w:styleId="270">
    <w:name w:val="文档类别"/>
    <w:basedOn w:val="1"/>
    <w:qFormat/>
    <w:locked/>
    <w:uiPriority w:val="0"/>
    <w:pPr>
      <w:jc w:val="center"/>
    </w:pPr>
    <w:rPr>
      <w:rFonts w:eastAsia="黑体" w:cs="宋体"/>
      <w:bCs/>
      <w:sz w:val="30"/>
    </w:rPr>
  </w:style>
  <w:style w:type="paragraph" w:customStyle="1" w:styleId="271">
    <w:name w:val="3"/>
    <w:basedOn w:val="1"/>
    <w:qFormat/>
    <w:uiPriority w:val="0"/>
    <w:rPr>
      <w:rFonts w:ascii="Tahoma" w:hAnsi="Tahoma"/>
      <w:sz w:val="24"/>
    </w:rPr>
  </w:style>
  <w:style w:type="paragraph" w:customStyle="1" w:styleId="272">
    <w:name w:val="xl34"/>
    <w:basedOn w:val="1"/>
    <w:qFormat/>
    <w:uiPriority w:val="0"/>
    <w:pPr>
      <w:pBdr>
        <w:top w:val="single" w:color="auto" w:sz="4" w:space="0"/>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color w:val="FF0000"/>
      <w:kern w:val="0"/>
      <w:sz w:val="20"/>
      <w:szCs w:val="21"/>
    </w:rPr>
  </w:style>
  <w:style w:type="paragraph" w:customStyle="1" w:styleId="273">
    <w:name w:val="xl25"/>
    <w:basedOn w:val="1"/>
    <w:qFormat/>
    <w:uiPriority w:val="0"/>
    <w:pPr>
      <w:pBdr>
        <w:top w:val="double" w:color="auto" w:sz="6" w:space="0"/>
        <w:left w:val="single" w:color="auto" w:sz="4" w:space="0"/>
        <w:bottom w:val="double" w:color="auto" w:sz="6" w:space="0"/>
        <w:right w:val="single" w:color="auto" w:sz="4" w:space="0"/>
      </w:pBdr>
      <w:shd w:val="clear" w:color="auto" w:fill="FFFF99"/>
      <w:adjustRightInd w:val="0"/>
      <w:spacing w:before="100" w:beforeAutospacing="1" w:after="100" w:afterAutospacing="1"/>
      <w:jc w:val="center"/>
      <w:textAlignment w:val="baseline"/>
    </w:pPr>
    <w:rPr>
      <w:rFonts w:ascii="宋体" w:hAnsi="宋体"/>
      <w:b/>
      <w:bCs/>
      <w:kern w:val="0"/>
      <w:szCs w:val="24"/>
    </w:rPr>
  </w:style>
  <w:style w:type="paragraph" w:customStyle="1" w:styleId="274">
    <w:name w:val="标题小四"/>
    <w:basedOn w:val="3"/>
    <w:qFormat/>
    <w:uiPriority w:val="0"/>
    <w:pPr>
      <w:keepNext w:val="0"/>
      <w:keepLines w:val="0"/>
      <w:spacing w:before="0" w:after="0" w:line="360" w:lineRule="auto"/>
      <w:ind w:right="90"/>
      <w:jc w:val="both"/>
      <w:outlineLvl w:val="9"/>
    </w:pPr>
    <w:rPr>
      <w:rFonts w:ascii="仿宋_GB2312" w:hAnsi="宋体" w:eastAsia="仿宋_GB2312" w:cs="Arial Unicode MS"/>
      <w:b w:val="0"/>
      <w:color w:val="000000"/>
      <w:sz w:val="21"/>
      <w:szCs w:val="21"/>
    </w:rPr>
  </w:style>
  <w:style w:type="paragraph" w:customStyle="1" w:styleId="275">
    <w:name w:val="分类格式缩进"/>
    <w:qFormat/>
    <w:uiPriority w:val="0"/>
    <w:pPr>
      <w:numPr>
        <w:ilvl w:val="0"/>
        <w:numId w:val="11"/>
      </w:numPr>
      <w:tabs>
        <w:tab w:val="left" w:pos="250"/>
      </w:tabs>
      <w:spacing w:line="360" w:lineRule="auto"/>
      <w:ind w:left="907" w:hanging="397"/>
    </w:pPr>
    <w:rPr>
      <w:rFonts w:ascii="宋体" w:hAnsi="宋体" w:eastAsia="宋体" w:cs="Times New Roman"/>
      <w:kern w:val="2"/>
      <w:sz w:val="24"/>
      <w:lang w:val="en-US" w:eastAsia="zh-CN" w:bidi="ar-SA"/>
    </w:rPr>
  </w:style>
  <w:style w:type="paragraph" w:customStyle="1" w:styleId="276">
    <w:name w:val="表格标题"/>
    <w:basedOn w:val="1"/>
    <w:next w:val="1"/>
    <w:qFormat/>
    <w:uiPriority w:val="0"/>
    <w:pPr>
      <w:numPr>
        <w:ilvl w:val="0"/>
        <w:numId w:val="12"/>
      </w:numPr>
      <w:jc w:val="center"/>
    </w:pPr>
    <w:rPr>
      <w:rFonts w:ascii="宋体"/>
      <w:b/>
      <w:sz w:val="24"/>
    </w:rPr>
  </w:style>
  <w:style w:type="paragraph" w:customStyle="1" w:styleId="277">
    <w:name w:val="并列项-点"/>
    <w:basedOn w:val="1"/>
    <w:qFormat/>
    <w:uiPriority w:val="0"/>
    <w:pPr>
      <w:widowControl/>
      <w:tabs>
        <w:tab w:val="left" w:pos="851"/>
      </w:tabs>
      <w:adjustRightInd w:val="0"/>
      <w:snapToGrid w:val="0"/>
      <w:spacing w:line="360" w:lineRule="atLeast"/>
      <w:ind w:left="900" w:hanging="420"/>
      <w:textAlignment w:val="baseline"/>
    </w:pPr>
    <w:rPr>
      <w:kern w:val="0"/>
      <w:sz w:val="24"/>
    </w:rPr>
  </w:style>
  <w:style w:type="paragraph" w:customStyle="1" w:styleId="278">
    <w:name w:val=" Char Char3"/>
    <w:basedOn w:val="1"/>
    <w:qFormat/>
    <w:uiPriority w:val="0"/>
    <w:pPr>
      <w:spacing w:line="360" w:lineRule="auto"/>
      <w:ind w:firstLine="200" w:firstLineChars="200"/>
    </w:pPr>
    <w:rPr>
      <w:rFonts w:ascii="Tahoma" w:hAnsi="Tahoma"/>
      <w:sz w:val="24"/>
      <w:szCs w:val="24"/>
    </w:rPr>
  </w:style>
  <w:style w:type="paragraph" w:customStyle="1" w:styleId="279">
    <w:name w:val="正文_29_3_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0">
    <w:name w:val="标3"/>
    <w:basedOn w:val="1"/>
    <w:qFormat/>
    <w:uiPriority w:val="0"/>
    <w:pPr>
      <w:tabs>
        <w:tab w:val="left" w:pos="1740"/>
      </w:tabs>
      <w:adjustRightInd w:val="0"/>
      <w:snapToGrid w:val="0"/>
      <w:spacing w:before="50"/>
      <w:ind w:left="1740" w:hanging="420"/>
      <w:outlineLvl w:val="2"/>
    </w:pPr>
    <w:rPr>
      <w:rFonts w:ascii="Arial Narrow" w:hAnsi="Arial Narrow" w:eastAsia="仿宋_GB2312"/>
      <w:sz w:val="28"/>
    </w:rPr>
  </w:style>
  <w:style w:type="paragraph" w:customStyle="1" w:styleId="281">
    <w:name w:val="Char Char Char Char Char Char Char Char Char Char"/>
    <w:basedOn w:val="1"/>
    <w:qFormat/>
    <w:uiPriority w:val="0"/>
    <w:rPr>
      <w:rFonts w:ascii="Tahoma" w:hAnsi="Tahoma"/>
      <w:sz w:val="24"/>
    </w:rPr>
  </w:style>
  <w:style w:type="paragraph" w:customStyle="1" w:styleId="282">
    <w:name w:val="数字标题3"/>
    <w:basedOn w:val="4"/>
    <w:next w:val="1"/>
    <w:qFormat/>
    <w:uiPriority w:val="0"/>
    <w:pPr>
      <w:tabs>
        <w:tab w:val="clear" w:pos="5852"/>
      </w:tabs>
      <w:snapToGrid/>
      <w:spacing w:before="0" w:line="360" w:lineRule="auto"/>
      <w:ind w:left="0" w:firstLine="422" w:firstLineChars="200"/>
    </w:pPr>
    <w:rPr>
      <w:rFonts w:ascii="宋体" w:hAnsi="宋体"/>
      <w:bCs/>
      <w:sz w:val="21"/>
      <w:szCs w:val="21"/>
    </w:rPr>
  </w:style>
  <w:style w:type="paragraph" w:customStyle="1" w:styleId="283">
    <w:name w:val="a"/>
    <w:basedOn w:val="1"/>
    <w:qFormat/>
    <w:uiPriority w:val="0"/>
    <w:pPr>
      <w:adjustRightInd w:val="0"/>
      <w:spacing w:before="100" w:beforeAutospacing="1" w:after="100" w:afterAutospacing="1"/>
      <w:textAlignment w:val="baseline"/>
    </w:pPr>
    <w:rPr>
      <w:rFonts w:ascii="宋体" w:hAnsi="宋体"/>
      <w:kern w:val="0"/>
      <w:szCs w:val="24"/>
    </w:rPr>
  </w:style>
  <w:style w:type="paragraph" w:customStyle="1" w:styleId="284">
    <w:name w:val="正文2级项目符号"/>
    <w:basedOn w:val="20"/>
    <w:qFormat/>
    <w:uiPriority w:val="0"/>
    <w:pPr>
      <w:numPr>
        <w:ilvl w:val="0"/>
        <w:numId w:val="13"/>
      </w:numPr>
      <w:tabs>
        <w:tab w:val="left" w:pos="1928"/>
      </w:tabs>
      <w:adjustRightInd w:val="0"/>
      <w:spacing w:before="120" w:after="120" w:line="360" w:lineRule="exact"/>
      <w:textAlignment w:val="baseline"/>
    </w:pPr>
    <w:rPr>
      <w:kern w:val="0"/>
      <w:sz w:val="21"/>
      <w:szCs w:val="21"/>
    </w:rPr>
  </w:style>
  <w:style w:type="paragraph" w:customStyle="1" w:styleId="285">
    <w:name w:val="Char1 Char Char Char Char Char Char"/>
    <w:basedOn w:val="1"/>
    <w:qFormat/>
    <w:uiPriority w:val="0"/>
    <w:rPr>
      <w:rFonts w:ascii="Tahoma" w:hAnsi="Tahoma"/>
      <w:sz w:val="24"/>
    </w:rPr>
  </w:style>
  <w:style w:type="paragraph" w:customStyle="1" w:styleId="286">
    <w:name w:val="样式 (西文) 宋体 小四 首行缩进:  2 字符1"/>
    <w:basedOn w:val="1"/>
    <w:qFormat/>
    <w:uiPriority w:val="0"/>
    <w:pPr>
      <w:ind w:firstLine="480" w:firstLineChars="200"/>
    </w:pPr>
    <w:rPr>
      <w:rFonts w:ascii="宋体" w:hAnsi="宋体" w:cs="宋体"/>
      <w:sz w:val="24"/>
    </w:rPr>
  </w:style>
  <w:style w:type="paragraph" w:customStyle="1" w:styleId="287">
    <w:name w:val="文本框"/>
    <w:basedOn w:val="20"/>
    <w:next w:val="20"/>
    <w:qFormat/>
    <w:uiPriority w:val="0"/>
    <w:pPr>
      <w:adjustRightInd w:val="0"/>
      <w:snapToGrid w:val="0"/>
      <w:spacing w:after="120" w:line="240" w:lineRule="auto"/>
      <w:jc w:val="center"/>
      <w:textAlignment w:val="baseline"/>
    </w:pPr>
    <w:rPr>
      <w:kern w:val="0"/>
      <w:sz w:val="21"/>
      <w:szCs w:val="21"/>
    </w:rPr>
  </w:style>
  <w:style w:type="paragraph" w:customStyle="1" w:styleId="288">
    <w:name w:val="样式 (西文) 宋体 小四 首行缩进:  2 字符1 Char"/>
    <w:basedOn w:val="1"/>
    <w:qFormat/>
    <w:uiPriority w:val="0"/>
    <w:pPr>
      <w:ind w:firstLine="480" w:firstLineChars="200"/>
    </w:pPr>
    <w:rPr>
      <w:rFonts w:ascii="宋体" w:hAnsi="宋体" w:cs="宋体"/>
      <w:sz w:val="24"/>
    </w:rPr>
  </w:style>
  <w:style w:type="paragraph" w:customStyle="1" w:styleId="289">
    <w:name w:val="列出段落1"/>
    <w:basedOn w:val="1"/>
    <w:qFormat/>
    <w:uiPriority w:val="0"/>
    <w:pPr>
      <w:spacing w:after="100" w:afterAutospacing="1" w:line="360" w:lineRule="auto"/>
      <w:ind w:firstLine="420" w:firstLineChars="200"/>
    </w:pPr>
    <w:rPr>
      <w:rFonts w:ascii="Calibri" w:hAnsi="Calibri" w:cs="黑体"/>
      <w:szCs w:val="22"/>
    </w:rPr>
  </w:style>
  <w:style w:type="paragraph" w:customStyle="1" w:styleId="290">
    <w:name w:val="样式 小四 左侧:  2.86 厘米 首行缩进:  2 字符1"/>
    <w:basedOn w:val="1"/>
    <w:qFormat/>
    <w:uiPriority w:val="0"/>
    <w:pPr>
      <w:numPr>
        <w:ilvl w:val="0"/>
        <w:numId w:val="14"/>
      </w:numPr>
      <w:ind w:left="0" w:firstLine="200" w:firstLineChars="200"/>
    </w:pPr>
    <w:rPr>
      <w:rFonts w:cs="宋体"/>
      <w:sz w:val="24"/>
    </w:rPr>
  </w:style>
  <w:style w:type="paragraph" w:customStyle="1" w:styleId="291">
    <w:name w:val="新正文"/>
    <w:basedOn w:val="1"/>
    <w:qFormat/>
    <w:uiPriority w:val="0"/>
    <w:pPr>
      <w:spacing w:after="120" w:line="360" w:lineRule="auto"/>
      <w:ind w:firstLine="200" w:firstLineChars="200"/>
    </w:pPr>
    <w:rPr>
      <w:sz w:val="24"/>
      <w:szCs w:val="24"/>
    </w:rPr>
  </w:style>
  <w:style w:type="paragraph" w:customStyle="1" w:styleId="292">
    <w:name w:val="±íÉí"/>
    <w:basedOn w:val="1"/>
    <w:qFormat/>
    <w:uiPriority w:val="0"/>
    <w:pPr>
      <w:widowControl/>
      <w:overflowPunct w:val="0"/>
      <w:autoSpaceDE w:val="0"/>
      <w:autoSpaceDN w:val="0"/>
      <w:adjustRightInd w:val="0"/>
      <w:spacing w:line="300" w:lineRule="auto"/>
      <w:jc w:val="left"/>
      <w:textAlignment w:val="baseline"/>
    </w:pPr>
    <w:rPr>
      <w:kern w:val="0"/>
      <w:sz w:val="18"/>
    </w:rPr>
  </w:style>
  <w:style w:type="paragraph" w:customStyle="1" w:styleId="293">
    <w:name w:val=" Char1 Char Char Char Char Char Char Char Char Char Char Char"/>
    <w:basedOn w:val="1"/>
    <w:qFormat/>
    <w:uiPriority w:val="0"/>
    <w:rPr>
      <w:rFonts w:ascii="Tahoma" w:hAnsi="Tahoma"/>
      <w:sz w:val="24"/>
    </w:rPr>
  </w:style>
  <w:style w:type="paragraph" w:customStyle="1" w:styleId="294">
    <w:name w:val="Normal (Web)"/>
    <w:basedOn w:val="1"/>
    <w:qFormat/>
    <w:uiPriority w:val="0"/>
    <w:pPr>
      <w:widowControl/>
      <w:jc w:val="left"/>
    </w:pPr>
    <w:rPr>
      <w:rFonts w:ascii="宋体" w:hAnsi="宋体" w:cs="宋体"/>
      <w:kern w:val="0"/>
      <w:sz w:val="24"/>
      <w:szCs w:val="24"/>
    </w:rPr>
  </w:style>
  <w:style w:type="paragraph" w:customStyle="1" w:styleId="295">
    <w:name w:val=" Char Char1 Char Char Char"/>
    <w:basedOn w:val="17"/>
    <w:qFormat/>
    <w:uiPriority w:val="0"/>
    <w:rPr>
      <w:rFonts w:ascii="Tahoma" w:hAnsi="Tahoma"/>
      <w:sz w:val="24"/>
      <w:szCs w:val="24"/>
    </w:rPr>
  </w:style>
  <w:style w:type="paragraph" w:customStyle="1" w:styleId="296">
    <w:name w:val="Char Char Char"/>
    <w:basedOn w:val="1"/>
    <w:qFormat/>
    <w:uiPriority w:val="0"/>
    <w:rPr>
      <w:rFonts w:ascii="Tahoma" w:hAnsi="Tahoma"/>
      <w:sz w:val="24"/>
    </w:rPr>
  </w:style>
  <w:style w:type="paragraph" w:customStyle="1" w:styleId="297">
    <w:name w:val="政务正文"/>
    <w:basedOn w:val="1"/>
    <w:qFormat/>
    <w:uiPriority w:val="0"/>
    <w:pPr>
      <w:spacing w:before="93" w:after="93" w:line="440" w:lineRule="atLeast"/>
      <w:ind w:firstLine="480" w:firstLineChars="200"/>
    </w:pPr>
    <w:rPr>
      <w:rFonts w:hint="eastAsia" w:ascii="宋体" w:hAnsi="宋体" w:cs="Arial"/>
      <w:sz w:val="24"/>
      <w:szCs w:val="21"/>
    </w:rPr>
  </w:style>
  <w:style w:type="paragraph" w:customStyle="1" w:styleId="298">
    <w:name w:val="font5"/>
    <w:basedOn w:val="1"/>
    <w:qFormat/>
    <w:uiPriority w:val="0"/>
    <w:pPr>
      <w:adjustRightInd w:val="0"/>
      <w:spacing w:before="100" w:beforeAutospacing="1" w:after="100" w:afterAutospacing="1"/>
      <w:textAlignment w:val="baseline"/>
    </w:pPr>
    <w:rPr>
      <w:rFonts w:hint="eastAsia" w:ascii="宋体" w:hAnsi="宋体"/>
      <w:kern w:val="0"/>
      <w:sz w:val="18"/>
      <w:szCs w:val="18"/>
    </w:rPr>
  </w:style>
  <w:style w:type="paragraph" w:customStyle="1" w:styleId="299">
    <w:name w:val="样式 标题 5 + 小四"/>
    <w:basedOn w:val="6"/>
    <w:qFormat/>
    <w:uiPriority w:val="0"/>
    <w:pPr>
      <w:spacing w:before="0" w:after="0" w:line="360" w:lineRule="auto"/>
      <w:ind w:left="2072" w:hanging="992"/>
    </w:pPr>
    <w:rPr>
      <w:rFonts w:ascii="宋体" w:hAnsi="宋体"/>
      <w:b w:val="0"/>
      <w:szCs w:val="28"/>
    </w:rPr>
  </w:style>
  <w:style w:type="paragraph" w:customStyle="1" w:styleId="300">
    <w:name w:val="标题8"/>
    <w:basedOn w:val="10"/>
    <w:qFormat/>
    <w:uiPriority w:val="0"/>
    <w:pPr>
      <w:spacing w:before="0" w:after="0" w:line="360" w:lineRule="auto"/>
      <w:ind w:hanging="420" w:firstLineChars="200"/>
      <w:outlineLvl w:val="4"/>
    </w:pPr>
    <w:rPr>
      <w:rFonts w:ascii="Times New Roman" w:hAnsi="Times New Roman" w:eastAsia="宋体"/>
      <w:szCs w:val="28"/>
    </w:rPr>
  </w:style>
  <w:style w:type="paragraph" w:customStyle="1" w:styleId="301">
    <w:name w:val="null3"/>
    <w:qFormat/>
    <w:uiPriority w:val="0"/>
    <w:rPr>
      <w:rFonts w:hint="eastAsia" w:ascii="Calibri" w:hAnsi="Calibri" w:eastAsia="宋体" w:cs="Times New Roman"/>
      <w:lang w:val="en-US" w:eastAsia="zh-Hans" w:bidi="ar-SA"/>
    </w:rPr>
  </w:style>
  <w:style w:type="paragraph" w:customStyle="1" w:styleId="302">
    <w:name w:val="标题2"/>
    <w:basedOn w:val="3"/>
    <w:qFormat/>
    <w:uiPriority w:val="0"/>
    <w:pPr>
      <w:spacing w:before="120" w:after="120" w:line="240" w:lineRule="auto"/>
      <w:ind w:left="288" w:hanging="288"/>
      <w:jc w:val="both"/>
    </w:pPr>
    <w:rPr>
      <w:rFonts w:ascii="Times New Roman" w:hAnsi="Times New Roman" w:eastAsia="楷体_GB2312"/>
      <w:color w:val="003366"/>
      <w:sz w:val="32"/>
    </w:rPr>
  </w:style>
  <w:style w:type="paragraph" w:customStyle="1" w:styleId="303">
    <w:name w:val="xl28"/>
    <w:basedOn w:val="1"/>
    <w:qFormat/>
    <w:uiPriority w:val="0"/>
    <w:pPr>
      <w:pBdr>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kern w:val="0"/>
      <w:sz w:val="20"/>
      <w:szCs w:val="21"/>
    </w:rPr>
  </w:style>
  <w:style w:type="paragraph" w:customStyle="1" w:styleId="304">
    <w:name w:val="样式 段前: 7.8 磅 段后: 7.8 磅"/>
    <w:basedOn w:val="1"/>
    <w:qFormat/>
    <w:uiPriority w:val="0"/>
    <w:pPr>
      <w:adjustRightInd w:val="0"/>
      <w:spacing w:before="156" w:after="156" w:line="360" w:lineRule="auto"/>
      <w:ind w:firstLine="480" w:firstLineChars="200"/>
      <w:textAlignment w:val="baseline"/>
    </w:pPr>
    <w:rPr>
      <w:rFonts w:cs="宋体"/>
      <w:sz w:val="24"/>
    </w:rPr>
  </w:style>
  <w:style w:type="paragraph" w:customStyle="1" w:styleId="305">
    <w:name w:val=" Char2 Char Char Char Char Char Char Char Char Char Char Char Char"/>
    <w:basedOn w:val="1"/>
    <w:qFormat/>
    <w:uiPriority w:val="0"/>
    <w:pPr>
      <w:spacing w:line="360" w:lineRule="auto"/>
      <w:ind w:firstLine="200" w:firstLineChars="200"/>
    </w:pPr>
    <w:rPr>
      <w:rFonts w:ascii="Tahoma" w:hAnsi="Tahoma"/>
      <w:sz w:val="24"/>
      <w:szCs w:val="24"/>
    </w:rPr>
  </w:style>
  <w:style w:type="paragraph" w:customStyle="1" w:styleId="306">
    <w:name w:val=" Char Char2 Char Char Char Char Char Char Char"/>
    <w:basedOn w:val="1"/>
    <w:qFormat/>
    <w:uiPriority w:val="0"/>
    <w:rPr>
      <w:rFonts w:ascii="Tahoma" w:hAnsi="Tahoma"/>
      <w:sz w:val="24"/>
    </w:rPr>
  </w:style>
  <w:style w:type="paragraph" w:customStyle="1" w:styleId="307">
    <w:name w:val="沈阳设备功能编号"/>
    <w:basedOn w:val="47"/>
    <w:qFormat/>
    <w:uiPriority w:val="0"/>
    <w:pPr>
      <w:numPr>
        <w:ilvl w:val="0"/>
        <w:numId w:val="15"/>
      </w:numPr>
      <w:tabs>
        <w:tab w:val="left" w:pos="0"/>
        <w:tab w:val="left" w:pos="360"/>
        <w:tab w:val="left" w:pos="1387"/>
      </w:tabs>
      <w:adjustRightInd w:val="0"/>
      <w:spacing w:after="0" w:line="300" w:lineRule="auto"/>
      <w:ind w:left="0" w:firstLine="420" w:firstLineChars="0"/>
      <w:textAlignment w:val="baseline"/>
    </w:pPr>
    <w:rPr>
      <w:kern w:val="0"/>
      <w:szCs w:val="21"/>
    </w:rPr>
  </w:style>
  <w:style w:type="paragraph" w:customStyle="1" w:styleId="308">
    <w:name w:val="标准正文"/>
    <w:basedOn w:val="21"/>
    <w:qFormat/>
    <w:uiPriority w:val="0"/>
    <w:pPr>
      <w:spacing w:before="60" w:after="60" w:line="360" w:lineRule="auto"/>
      <w:ind w:left="0" w:leftChars="0" w:firstLine="482"/>
    </w:pPr>
    <w:rPr>
      <w:sz w:val="24"/>
    </w:rPr>
  </w:style>
  <w:style w:type="paragraph" w:customStyle="1" w:styleId="309">
    <w:name w:val="图标号"/>
    <w:basedOn w:val="1"/>
    <w:next w:val="1"/>
    <w:qFormat/>
    <w:uiPriority w:val="0"/>
    <w:pPr>
      <w:adjustRightInd w:val="0"/>
      <w:snapToGrid w:val="0"/>
      <w:jc w:val="center"/>
      <w:textAlignment w:val="baseline"/>
    </w:pPr>
    <w:rPr>
      <w:b/>
      <w:szCs w:val="21"/>
    </w:rPr>
  </w:style>
  <w:style w:type="paragraph" w:customStyle="1" w:styleId="310">
    <w:name w:val="表内正文"/>
    <w:basedOn w:val="1"/>
    <w:qFormat/>
    <w:uiPriority w:val="0"/>
    <w:pPr>
      <w:keepNext/>
      <w:widowControl/>
      <w:adjustRightInd w:val="0"/>
      <w:spacing w:before="156" w:beforeLines="50"/>
      <w:jc w:val="left"/>
      <w:textAlignment w:val="baseline"/>
    </w:pPr>
    <w:rPr>
      <w:rFonts w:ascii="宋体" w:hAnsi="宋体"/>
      <w:kern w:val="0"/>
      <w:szCs w:val="21"/>
    </w:rPr>
  </w:style>
  <w:style w:type="paragraph" w:customStyle="1" w:styleId="311">
    <w:name w:val="font8"/>
    <w:basedOn w:val="1"/>
    <w:qFormat/>
    <w:uiPriority w:val="0"/>
    <w:pPr>
      <w:adjustRightInd w:val="0"/>
      <w:spacing w:before="100" w:beforeAutospacing="1" w:after="100" w:afterAutospacing="1"/>
      <w:textAlignment w:val="baseline"/>
    </w:pPr>
    <w:rPr>
      <w:color w:val="FF0000"/>
      <w:kern w:val="0"/>
      <w:sz w:val="20"/>
      <w:szCs w:val="21"/>
    </w:rPr>
  </w:style>
  <w:style w:type="paragraph" w:customStyle="1" w:styleId="312">
    <w:name w:val="表格正文"/>
    <w:basedOn w:val="1"/>
    <w:qFormat/>
    <w:uiPriority w:val="0"/>
    <w:pPr>
      <w:spacing w:before="156" w:beforeLines="50"/>
    </w:pPr>
    <w:rPr>
      <w:rFonts w:ascii="Arial" w:hAnsi="Arial"/>
    </w:rPr>
  </w:style>
  <w:style w:type="paragraph" w:customStyle="1" w:styleId="313">
    <w:name w:val="font6"/>
    <w:basedOn w:val="1"/>
    <w:qFormat/>
    <w:uiPriority w:val="0"/>
    <w:pPr>
      <w:adjustRightInd w:val="0"/>
      <w:spacing w:before="100" w:beforeAutospacing="1" w:after="100" w:afterAutospacing="1"/>
      <w:textAlignment w:val="baseline"/>
    </w:pPr>
    <w:rPr>
      <w:rFonts w:hint="eastAsia" w:ascii="宋体" w:hAnsi="宋体"/>
      <w:kern w:val="0"/>
      <w:sz w:val="20"/>
      <w:szCs w:val="21"/>
    </w:rPr>
  </w:style>
  <w:style w:type="paragraph" w:customStyle="1" w:styleId="314">
    <w:name w:val=" Char Char Char Char"/>
    <w:basedOn w:val="1"/>
    <w:qFormat/>
    <w:uiPriority w:val="0"/>
    <w:rPr>
      <w:rFonts w:ascii="Tahoma" w:hAnsi="Tahoma"/>
      <w:sz w:val="24"/>
    </w:rPr>
  </w:style>
  <w:style w:type="paragraph" w:customStyle="1" w:styleId="315">
    <w:name w:val="Table Heading"/>
    <w:qFormat/>
    <w:uiPriority w:val="0"/>
    <w:pPr>
      <w:keepNext/>
      <w:snapToGrid w:val="0"/>
      <w:spacing w:before="80" w:after="80"/>
      <w:jc w:val="center"/>
    </w:pPr>
    <w:rPr>
      <w:rFonts w:ascii="Arial" w:hAnsi="Arial" w:eastAsia="黑体" w:cs="Arial"/>
      <w:sz w:val="18"/>
      <w:szCs w:val="18"/>
      <w:lang w:val="en-US" w:eastAsia="zh-CN" w:bidi="ar-SA"/>
    </w:rPr>
  </w:style>
  <w:style w:type="paragraph" w:customStyle="1" w:styleId="316">
    <w:name w:val="默认段落字体 Para Char Char Char Char Char Char Char"/>
    <w:basedOn w:val="17"/>
    <w:qFormat/>
    <w:uiPriority w:val="0"/>
    <w:pPr>
      <w:adjustRightInd w:val="0"/>
      <w:spacing w:line="436" w:lineRule="exact"/>
      <w:ind w:left="357"/>
      <w:jc w:val="left"/>
      <w:textAlignment w:val="baseline"/>
      <w:outlineLvl w:val="3"/>
    </w:pPr>
    <w:rPr>
      <w:rFonts w:eastAsia="Times New Roman"/>
      <w:kern w:val="0"/>
      <w:sz w:val="20"/>
    </w:rPr>
  </w:style>
  <w:style w:type="paragraph" w:customStyle="1" w:styleId="317">
    <w:name w:val="È±Ê¡ÎÄ±¾"/>
    <w:basedOn w:val="1"/>
    <w:qFormat/>
    <w:uiPriority w:val="0"/>
    <w:pPr>
      <w:widowControl/>
      <w:overflowPunct w:val="0"/>
      <w:autoSpaceDE w:val="0"/>
      <w:autoSpaceDN w:val="0"/>
      <w:adjustRightInd w:val="0"/>
      <w:spacing w:line="360" w:lineRule="auto"/>
      <w:textAlignment w:val="baseline"/>
    </w:pPr>
    <w:rPr>
      <w:kern w:val="0"/>
    </w:rPr>
  </w:style>
  <w:style w:type="paragraph" w:customStyle="1" w:styleId="318">
    <w:name w:val="默认段落字体 Para Char Char Char Char Char Char Char Char Char1 Char Char Char Char Char Char Char"/>
    <w:basedOn w:val="17"/>
    <w:qFormat/>
    <w:uiPriority w:val="0"/>
    <w:rPr>
      <w:rFonts w:ascii="Tahoma" w:hAnsi="Tahoma"/>
      <w:sz w:val="24"/>
      <w:szCs w:val="24"/>
    </w:rPr>
  </w:style>
  <w:style w:type="paragraph" w:customStyle="1" w:styleId="319">
    <w:name w:val="样式4"/>
    <w:basedOn w:val="6"/>
    <w:qFormat/>
    <w:uiPriority w:val="0"/>
    <w:pPr>
      <w:numPr>
        <w:ilvl w:val="0"/>
        <w:numId w:val="16"/>
      </w:numPr>
      <w:tabs>
        <w:tab w:val="left" w:pos="1130"/>
      </w:tabs>
      <w:spacing w:before="0" w:after="0" w:line="360" w:lineRule="auto"/>
      <w:ind w:firstLineChars="200"/>
    </w:pPr>
    <w:rPr>
      <w:rFonts w:ascii="宋体" w:hAnsi="宋体"/>
      <w:b w:val="0"/>
      <w:sz w:val="24"/>
      <w:szCs w:val="24"/>
    </w:rPr>
  </w:style>
  <w:style w:type="paragraph" w:customStyle="1" w:styleId="320">
    <w:name w:val="样式 正文首行缩进 + 首行缩进:  1 字符"/>
    <w:basedOn w:val="47"/>
    <w:qFormat/>
    <w:uiPriority w:val="0"/>
    <w:pPr>
      <w:adjustRightInd w:val="0"/>
      <w:spacing w:after="0" w:line="300" w:lineRule="auto"/>
      <w:ind w:firstLine="200" w:firstLineChars="200"/>
      <w:textAlignment w:val="baseline"/>
    </w:pPr>
    <w:rPr>
      <w:rFonts w:cs="宋体"/>
      <w:kern w:val="0"/>
      <w:szCs w:val="21"/>
    </w:rPr>
  </w:style>
  <w:style w:type="paragraph" w:customStyle="1" w:styleId="321">
    <w:name w:val="正文首行缩进4"/>
    <w:basedOn w:val="1"/>
    <w:qFormat/>
    <w:uiPriority w:val="0"/>
    <w:pPr>
      <w:adjustRightInd w:val="0"/>
      <w:spacing w:line="300" w:lineRule="auto"/>
      <w:ind w:firstLine="200" w:firstLineChars="200"/>
      <w:textAlignment w:val="baseline"/>
    </w:pPr>
    <w:rPr>
      <w:kern w:val="0"/>
      <w:szCs w:val="21"/>
    </w:rPr>
  </w:style>
  <w:style w:type="paragraph" w:customStyle="1" w:styleId="322">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323">
    <w:name w:val="font9"/>
    <w:basedOn w:val="1"/>
    <w:qFormat/>
    <w:uiPriority w:val="0"/>
    <w:pPr>
      <w:adjustRightInd w:val="0"/>
      <w:spacing w:before="100" w:beforeAutospacing="1" w:after="100" w:afterAutospacing="1"/>
      <w:textAlignment w:val="baseline"/>
    </w:pPr>
    <w:rPr>
      <w:kern w:val="0"/>
      <w:sz w:val="20"/>
      <w:szCs w:val="21"/>
    </w:rPr>
  </w:style>
  <w:style w:type="paragraph" w:customStyle="1" w:styleId="324">
    <w:name w:val="xl35"/>
    <w:basedOn w:val="1"/>
    <w:qFormat/>
    <w:uiPriority w:val="0"/>
    <w:pPr>
      <w:pBdr>
        <w:top w:val="single" w:color="auto" w:sz="4" w:space="0"/>
        <w:left w:val="single" w:color="auto" w:sz="4" w:space="0"/>
        <w:bottom w:val="single" w:color="auto" w:sz="4" w:space="0"/>
        <w:right w:val="single" w:color="auto" w:sz="4" w:space="0"/>
      </w:pBdr>
      <w:adjustRightInd w:val="0"/>
      <w:spacing w:before="100" w:beforeAutospacing="1" w:after="100" w:afterAutospacing="1"/>
      <w:textAlignment w:val="baseline"/>
    </w:pPr>
    <w:rPr>
      <w:rFonts w:ascii="宋体" w:hAnsi="宋体"/>
      <w:color w:val="0000FF"/>
      <w:kern w:val="0"/>
      <w:sz w:val="20"/>
      <w:szCs w:val="21"/>
    </w:rPr>
  </w:style>
  <w:style w:type="paragraph" w:customStyle="1" w:styleId="325">
    <w:name w:val=" Char Char1 Char Char2 Char Char"/>
    <w:basedOn w:val="1"/>
    <w:qFormat/>
    <w:uiPriority w:val="0"/>
    <w:pPr>
      <w:widowControl/>
      <w:spacing w:after="160" w:line="240" w:lineRule="exact"/>
      <w:jc w:val="left"/>
    </w:pPr>
    <w:rPr>
      <w:rFonts w:ascii="Verdana" w:hAnsi="Verdana" w:eastAsia="方正仿宋简体"/>
      <w:kern w:val="0"/>
      <w:sz w:val="20"/>
      <w:lang w:eastAsia="en-US"/>
    </w:rPr>
  </w:style>
  <w:style w:type="paragraph" w:customStyle="1" w:styleId="326">
    <w:name w:val="Table Text Char Char Char Char Char Char1"/>
    <w:qFormat/>
    <w:uiPriority w:val="0"/>
    <w:pPr>
      <w:snapToGrid w:val="0"/>
      <w:spacing w:before="80" w:after="80"/>
    </w:pPr>
    <w:rPr>
      <w:rFonts w:ascii="Arial" w:hAnsi="Arial" w:eastAsia="宋体" w:cs="Arial"/>
      <w:sz w:val="18"/>
      <w:szCs w:val="21"/>
      <w:lang w:val="en-US" w:eastAsia="zh-CN" w:bidi="ar-SA"/>
    </w:rPr>
  </w:style>
  <w:style w:type="paragraph" w:customStyle="1" w:styleId="327">
    <w:name w:val="xl33"/>
    <w:basedOn w:val="1"/>
    <w:qFormat/>
    <w:uiPriority w:val="0"/>
    <w:pPr>
      <w:pBdr>
        <w:top w:val="single" w:color="auto" w:sz="4" w:space="0"/>
        <w:left w:val="single" w:color="auto" w:sz="4" w:space="0"/>
        <w:bottom w:val="single" w:color="auto" w:sz="4" w:space="0"/>
        <w:right w:val="double" w:color="auto" w:sz="6" w:space="0"/>
      </w:pBdr>
      <w:adjustRightInd w:val="0"/>
      <w:spacing w:before="100" w:beforeAutospacing="1" w:after="100" w:afterAutospacing="1"/>
      <w:textAlignment w:val="baseline"/>
    </w:pPr>
    <w:rPr>
      <w:rFonts w:ascii="宋体" w:hAnsi="宋体"/>
      <w:kern w:val="0"/>
      <w:sz w:val="20"/>
      <w:szCs w:val="21"/>
    </w:rPr>
  </w:style>
  <w:style w:type="paragraph" w:customStyle="1" w:styleId="328">
    <w:name w:val="WPSOffice手动目录 1"/>
    <w:qFormat/>
    <w:uiPriority w:val="0"/>
    <w:rPr>
      <w:rFonts w:ascii="Times New Roman" w:hAnsi="Times New Roman" w:eastAsia="宋体" w:cs="Times New Roman"/>
      <w:lang w:val="en-US" w:eastAsia="zh-CN" w:bidi="ar-SA"/>
    </w:rPr>
  </w:style>
  <w:style w:type="paragraph" w:customStyle="1" w:styleId="329">
    <w:name w:val="Paragraph1"/>
    <w:basedOn w:val="1"/>
    <w:qFormat/>
    <w:uiPriority w:val="0"/>
    <w:pPr>
      <w:adjustRightInd w:val="0"/>
      <w:spacing w:before="80"/>
      <w:textAlignment w:val="baseline"/>
    </w:pPr>
    <w:rPr>
      <w:rFonts w:ascii="宋体"/>
      <w:snapToGrid w:val="0"/>
      <w:kern w:val="0"/>
      <w:sz w:val="20"/>
      <w:szCs w:val="24"/>
    </w:rPr>
  </w:style>
  <w:style w:type="paragraph" w:customStyle="1" w:styleId="330">
    <w:name w:val="样式 标题 3level_3PIM 3H3Level 3 Head + 行距: 多倍行距 1.73 字行"/>
    <w:basedOn w:val="4"/>
    <w:qFormat/>
    <w:uiPriority w:val="0"/>
    <w:pPr>
      <w:tabs>
        <w:tab w:val="clear" w:pos="5852"/>
      </w:tabs>
      <w:adjustRightInd w:val="0"/>
      <w:snapToGrid/>
      <w:spacing w:before="260" w:after="260" w:line="415" w:lineRule="auto"/>
      <w:ind w:left="851" w:hanging="851"/>
      <w:textAlignment w:val="baseline"/>
    </w:pPr>
    <w:rPr>
      <w:rFonts w:eastAsia="黑体"/>
      <w:sz w:val="30"/>
      <w:szCs w:val="24"/>
    </w:rPr>
  </w:style>
  <w:style w:type="paragraph" w:customStyle="1" w:styleId="331">
    <w:name w:val=" Char Char Char Char Char Char Char Char Char Char"/>
    <w:basedOn w:val="1"/>
    <w:qFormat/>
    <w:uiPriority w:val="0"/>
    <w:rPr>
      <w:rFonts w:ascii="Tahoma" w:hAnsi="Tahoma"/>
      <w:sz w:val="24"/>
    </w:rPr>
  </w:style>
  <w:style w:type="paragraph" w:customStyle="1" w:styleId="332">
    <w:name w:val="正文要求，小四"/>
    <w:basedOn w:val="1"/>
    <w:qFormat/>
    <w:uiPriority w:val="0"/>
    <w:pPr>
      <w:numPr>
        <w:ilvl w:val="0"/>
        <w:numId w:val="17"/>
      </w:numPr>
      <w:spacing w:line="360" w:lineRule="auto"/>
    </w:pPr>
    <w:rPr>
      <w:rFonts w:ascii="宋体" w:hAnsi="宋体"/>
      <w:sz w:val="24"/>
      <w:szCs w:val="24"/>
    </w:rPr>
  </w:style>
  <w:style w:type="paragraph" w:customStyle="1" w:styleId="333">
    <w:name w:val=" Char3 Char Char Char"/>
    <w:basedOn w:val="1"/>
    <w:qFormat/>
    <w:uiPriority w:val="0"/>
    <w:rPr>
      <w:rFonts w:ascii="Tahoma" w:hAnsi="Tahoma"/>
      <w:sz w:val="24"/>
    </w:rPr>
  </w:style>
  <w:style w:type="paragraph" w:customStyle="1" w:styleId="334">
    <w:name w:val="正文1级编号"/>
    <w:basedOn w:val="20"/>
    <w:qFormat/>
    <w:uiPriority w:val="0"/>
    <w:pPr>
      <w:numPr>
        <w:ilvl w:val="0"/>
        <w:numId w:val="18"/>
      </w:numPr>
      <w:tabs>
        <w:tab w:val="left" w:pos="1474"/>
      </w:tabs>
      <w:adjustRightInd w:val="0"/>
      <w:snapToGrid w:val="0"/>
      <w:spacing w:before="120" w:after="120" w:line="360" w:lineRule="exact"/>
      <w:textAlignment w:val="baseline"/>
    </w:pPr>
    <w:rPr>
      <w:kern w:val="0"/>
      <w:sz w:val="21"/>
      <w:szCs w:val="21"/>
    </w:rPr>
  </w:style>
  <w:style w:type="paragraph" w:customStyle="1" w:styleId="335">
    <w:name w:val="infoblue"/>
    <w:basedOn w:val="1"/>
    <w:qFormat/>
    <w:uiPriority w:val="0"/>
    <w:pPr>
      <w:adjustRightInd w:val="0"/>
      <w:spacing w:after="120" w:line="240" w:lineRule="atLeast"/>
      <w:ind w:left="450"/>
      <w:textAlignment w:val="baseline"/>
    </w:pPr>
    <w:rPr>
      <w:rFonts w:eastAsia="楷体_GB2312"/>
      <w:i/>
      <w:color w:val="0000FF"/>
      <w:kern w:val="0"/>
      <w:szCs w:val="21"/>
    </w:rPr>
  </w:style>
  <w:style w:type="paragraph" w:customStyle="1" w:styleId="336">
    <w:name w:val=" Char"/>
    <w:basedOn w:val="1"/>
    <w:qFormat/>
    <w:uiPriority w:val="0"/>
    <w:rPr>
      <w:rFonts w:ascii="Tahoma" w:hAnsi="Tahoma"/>
      <w:sz w:val="24"/>
    </w:rPr>
  </w:style>
  <w:style w:type="paragraph" w:customStyle="1" w:styleId="337">
    <w:name w:val="style2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38">
    <w:name w:val="_Style 331"/>
    <w:semiHidden/>
    <w:qFormat/>
    <w:uiPriority w:val="99"/>
    <w:rPr>
      <w:rFonts w:ascii="Times New Roman" w:hAnsi="Times New Roman" w:eastAsia="宋体" w:cs="Times New Roman"/>
      <w:kern w:val="2"/>
      <w:sz w:val="21"/>
      <w:lang w:val="en-US" w:eastAsia="zh-CN" w:bidi="ar-SA"/>
    </w:rPr>
  </w:style>
  <w:style w:type="paragraph" w:customStyle="1" w:styleId="339">
    <w:name w:val="正文3级项目符号"/>
    <w:basedOn w:val="20"/>
    <w:qFormat/>
    <w:uiPriority w:val="0"/>
    <w:pPr>
      <w:adjustRightInd w:val="0"/>
      <w:spacing w:before="120" w:after="120" w:line="360" w:lineRule="exact"/>
      <w:textAlignment w:val="baseline"/>
    </w:pPr>
    <w:rPr>
      <w:kern w:val="0"/>
      <w:sz w:val="21"/>
      <w:szCs w:val="21"/>
    </w:rPr>
  </w:style>
  <w:style w:type="paragraph" w:customStyle="1" w:styleId="340">
    <w:name w:val="标题 4 + 小三"/>
    <w:basedOn w:val="4"/>
    <w:qFormat/>
    <w:uiPriority w:val="0"/>
    <w:pPr>
      <w:tabs>
        <w:tab w:val="clear" w:pos="5852"/>
      </w:tabs>
      <w:snapToGrid/>
      <w:spacing w:before="0" w:line="400" w:lineRule="exact"/>
      <w:ind w:left="1260" w:hanging="420"/>
      <w:outlineLvl w:val="3"/>
    </w:pPr>
    <w:rPr>
      <w:bCs/>
      <w:szCs w:val="28"/>
    </w:rPr>
  </w:style>
  <w:style w:type="paragraph" w:customStyle="1" w:styleId="341">
    <w:name w:val=" Char2"/>
    <w:basedOn w:val="1"/>
    <w:qFormat/>
    <w:uiPriority w:val="0"/>
    <w:rPr>
      <w:rFonts w:ascii="Tahoma" w:hAnsi="Tahoma"/>
      <w:sz w:val="24"/>
    </w:rPr>
  </w:style>
  <w:style w:type="paragraph" w:customStyle="1" w:styleId="342">
    <w:name w:val="正文_0_0_0_0"/>
    <w:basedOn w:val="343"/>
    <w:qFormat/>
    <w:uiPriority w:val="0"/>
    <w:rPr>
      <w:rFonts w:ascii="Calibri" w:hAnsi="Calibri" w:eastAsia="宋体" w:cs="Calibri"/>
      <w:szCs w:val="21"/>
    </w:rPr>
  </w:style>
  <w:style w:type="paragraph" w:customStyle="1" w:styleId="343">
    <w:name w:val="正文_0_0_1"/>
    <w:basedOn w:val="344"/>
    <w:qFormat/>
    <w:uiPriority w:val="0"/>
    <w:rPr>
      <w:rFonts w:ascii="Times New Roman" w:hAnsi="Times New Roman" w:eastAsia="宋体"/>
      <w:szCs w:val="21"/>
    </w:rPr>
  </w:style>
  <w:style w:type="paragraph" w:customStyle="1" w:styleId="344">
    <w:name w:val="正文_0_0_2"/>
    <w:basedOn w:val="345"/>
    <w:qFormat/>
    <w:uiPriority w:val="0"/>
    <w:rPr>
      <w:rFonts w:ascii="Times New Roman" w:hAnsi="Times New Roman"/>
      <w:szCs w:val="21"/>
    </w:rPr>
  </w:style>
  <w:style w:type="paragraph" w:customStyle="1" w:styleId="345">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46">
    <w:name w:val="font21"/>
    <w:basedOn w:val="51"/>
    <w:qFormat/>
    <w:uiPriority w:val="0"/>
    <w:rPr>
      <w:rFonts w:hint="eastAsia" w:ascii="宋体" w:hAnsi="宋体" w:eastAsia="宋体" w:cs="宋体"/>
      <w:b/>
      <w:color w:val="000000"/>
      <w:sz w:val="22"/>
      <w:szCs w:val="22"/>
      <w:u w:val="none"/>
    </w:rPr>
  </w:style>
  <w:style w:type="character" w:customStyle="1" w:styleId="347">
    <w:name w:val="font61"/>
    <w:basedOn w:val="51"/>
    <w:qFormat/>
    <w:uiPriority w:val="0"/>
    <w:rPr>
      <w:rFonts w:hint="eastAsia" w:ascii="宋体" w:hAnsi="宋体" w:eastAsia="宋体" w:cs="宋体"/>
      <w:color w:val="000000"/>
      <w:sz w:val="20"/>
      <w:szCs w:val="20"/>
      <w:u w:val="none"/>
    </w:rPr>
  </w:style>
  <w:style w:type="character" w:customStyle="1" w:styleId="348">
    <w:name w:val="font41"/>
    <w:basedOn w:val="51"/>
    <w:qFormat/>
    <w:uiPriority w:val="0"/>
    <w:rPr>
      <w:rFonts w:hint="eastAsia" w:ascii="宋体" w:hAnsi="宋体" w:eastAsia="宋体" w:cs="宋体"/>
      <w:color w:val="000000"/>
      <w:sz w:val="22"/>
      <w:szCs w:val="22"/>
      <w:u w:val="none"/>
    </w:rPr>
  </w:style>
  <w:style w:type="character" w:customStyle="1" w:styleId="349">
    <w:name w:val="font31"/>
    <w:basedOn w:val="51"/>
    <w:qFormat/>
    <w:uiPriority w:val="0"/>
    <w:rPr>
      <w:rFonts w:hint="eastAsia" w:ascii="宋体" w:hAnsi="宋体" w:eastAsia="宋体" w:cs="宋体"/>
      <w:b/>
      <w:color w:val="000000"/>
      <w:sz w:val="22"/>
      <w:szCs w:val="22"/>
      <w:u w:val="none"/>
    </w:rPr>
  </w:style>
  <w:style w:type="character" w:customStyle="1" w:styleId="350">
    <w:name w:val="font11"/>
    <w:basedOn w:val="51"/>
    <w:qFormat/>
    <w:uiPriority w:val="0"/>
    <w:rPr>
      <w:rFonts w:hint="eastAsia" w:ascii="宋体" w:hAnsi="宋体" w:eastAsia="宋体" w:cs="宋体"/>
      <w:color w:val="000000"/>
      <w:sz w:val="20"/>
      <w:szCs w:val="20"/>
      <w:u w:val="none"/>
    </w:rPr>
  </w:style>
  <w:style w:type="character" w:customStyle="1" w:styleId="351">
    <w:name w:val="15"/>
    <w:basedOn w:val="51"/>
    <w:qFormat/>
    <w:uiPriority w:val="0"/>
    <w:rPr>
      <w:rFonts w:hint="eastAsia" w:ascii="宋体" w:hAnsi="宋体" w:eastAsia="宋体" w:cs="宋体"/>
      <w:color w:val="000000"/>
      <w:sz w:val="20"/>
      <w:szCs w:val="20"/>
    </w:rPr>
  </w:style>
  <w:style w:type="paragraph" w:customStyle="1" w:styleId="352">
    <w:name w:val="列出段落3"/>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80</Pages>
  <Words>1729</Words>
  <Characters>2027</Characters>
  <Lines>1</Lines>
  <Paragraphs>1</Paragraphs>
  <TotalTime>4</TotalTime>
  <ScaleCrop>false</ScaleCrop>
  <LinksUpToDate>false</LinksUpToDate>
  <CharactersWithSpaces>2197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2024-01-19T07:40:00Z</dcterms:created>
  <dc:creator>yanjun</dc:creator>
  <cp:lastModifiedBy> </cp:lastModifiedBy>
  <cp:lastPrinted>2024-04-16T02:19:00Z</cp:lastPrinted>
  <dcterms:modified xsi:type="dcterms:W3CDTF">2026-01-21T02:31:14Z</dcterms:modified>
  <dc:title>政府采购招标文件 (2006版) （修改1稿）</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E587CD0A0FEA4BD7A070543D9BF9D213_13</vt:lpwstr>
  </property>
  <property fmtid="{D5CDD505-2E9C-101B-9397-08002B2CF9AE}" pid="4" name="KSOTemplateDocerSaveRecord">
    <vt:lpwstr>eyJoZGlkIjoiYzUwMzliZDJmZWRlOGY2ZWFkMGU3YjcxZTBmNzA1YjQiLCJ1c2VySWQiOiI3NDQwMjUzNjUifQ==</vt:lpwstr>
  </property>
</Properties>
</file>